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1"/>
        </w:rPr>
        <w:t>2023008043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17"/>
          <w:b/>
          <w:bCs/>
        </w:rPr>
        <w:t>RÁMCOVÁ SMLOUVA O DÍLO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rStyle w:val="CharStyle3"/>
        </w:rPr>
        <w:t>podle ust. § 2586 a násl. občanského zákoníku, uzavřená mezi níže uvedenými smluvními stranami</w:t>
      </w:r>
    </w:p>
    <w:tbl>
      <w:tblPr>
        <w:tblOverlap w:val="never"/>
        <w:jc w:val="left"/>
        <w:tblLayout w:type="fixed"/>
      </w:tblPr>
      <w:tblGrid>
        <w:gridCol w:w="2621"/>
        <w:gridCol w:w="5093"/>
      </w:tblGrid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3"/>
                <w:b/>
                <w:bCs/>
                <w:sz w:val="16"/>
                <w:szCs w:val="16"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Sídlo;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Kamenice 798/ld, 625 00 Brno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Jednající: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3"/>
              </w:rPr>
              <w:t>MUDr. Hana Albrechtová, ředitelka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3"/>
                <w:spacing w:val="8"/>
                <w:shd w:val="clear" w:color="auto" w:fill="000000"/>
              </w:rPr>
              <w:t>....</w:t>
            </w:r>
            <w:r>
              <w:rPr>
                <w:rStyle w:val="CharStyle23"/>
                <w:spacing w:val="9"/>
                <w:shd w:val="clear" w:color="auto" w:fill="000000"/>
              </w:rPr>
              <w:t>.</w:t>
            </w:r>
            <w:r>
              <w:rPr>
                <w:rStyle w:val="CharStyle23"/>
                <w:shd w:val="clear" w:color="auto" w:fill="000000"/>
              </w:rPr>
              <w:t>​</w:t>
            </w:r>
            <w:r>
              <w:rPr>
                <w:rStyle w:val="CharStyle23"/>
                <w:spacing w:val="2"/>
                <w:shd w:val="clear" w:color="auto" w:fill="000000"/>
              </w:rPr>
              <w:t>...............</w:t>
            </w:r>
            <w:r>
              <w:rPr>
                <w:rStyle w:val="CharStyle23"/>
                <w:shd w:val="clear" w:color="auto" w:fill="000000"/>
              </w:rPr>
              <w:t>​</w:t>
            </w:r>
            <w:r>
              <w:rPr>
                <w:rStyle w:val="CharStyle23"/>
                <w:spacing w:val="3"/>
                <w:shd w:val="clear" w:color="auto" w:fill="000000"/>
              </w:rPr>
              <w:t>..</w:t>
            </w:r>
            <w:r>
              <w:rPr>
                <w:rStyle w:val="CharStyle23"/>
                <w:spacing w:val="4"/>
                <w:shd w:val="clear" w:color="auto" w:fill="000000"/>
              </w:rPr>
              <w:t>.</w:t>
            </w:r>
            <w:r>
              <w:rPr>
                <w:rStyle w:val="CharStyle23"/>
                <w:shd w:val="clear" w:color="auto" w:fill="000000"/>
              </w:rPr>
              <w:t>​</w:t>
            </w:r>
            <w:r>
              <w:rPr>
                <w:rStyle w:val="CharStyle23"/>
                <w:spacing w:val="3"/>
                <w:shd w:val="clear" w:color="auto" w:fill="000000"/>
              </w:rPr>
              <w:t>..</w:t>
            </w:r>
            <w:r>
              <w:rPr>
                <w:rStyle w:val="CharStyle23"/>
                <w:spacing w:val="4"/>
                <w:shd w:val="clear" w:color="auto" w:fill="000000"/>
              </w:rPr>
              <w:t>......</w:t>
            </w:r>
            <w:r>
              <w:rPr>
                <w:rStyle w:val="CharStyle23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3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23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23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3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23"/>
                <w:shd w:val="clear" w:color="auto" w:fill="000000"/>
              </w:rPr>
              <w:t>​</w:t>
            </w:r>
            <w:r>
              <w:rPr>
                <w:rStyle w:val="CharStyle23"/>
                <w:spacing w:val="7"/>
                <w:shd w:val="clear" w:color="auto" w:fill="000000"/>
              </w:rPr>
              <w:t>......</w:t>
            </w:r>
            <w:r>
              <w:rPr>
                <w:rStyle w:val="CharStyle23"/>
                <w:shd w:val="clear" w:color="auto" w:fill="000000"/>
              </w:rPr>
              <w:t>​....</w:t>
            </w:r>
            <w:r>
              <w:rPr>
                <w:rStyle w:val="CharStyle23"/>
                <w:spacing w:val="1"/>
                <w:shd w:val="clear" w:color="auto" w:fill="000000"/>
              </w:rPr>
              <w:t>.....</w:t>
            </w:r>
            <w:r>
              <w:rPr>
                <w:rStyle w:val="CharStyle23"/>
                <w:shd w:val="clear" w:color="auto" w:fill="000000"/>
              </w:rPr>
              <w:t>​.......​</w:t>
            </w:r>
            <w:r>
              <w:rPr>
                <w:rStyle w:val="CharStyle23"/>
                <w:spacing w:val="6"/>
                <w:shd w:val="clear" w:color="auto" w:fill="000000"/>
              </w:rPr>
              <w:t>...</w:t>
            </w:r>
            <w:r>
              <w:rPr>
                <w:rStyle w:val="CharStyle23"/>
                <w:spacing w:val="7"/>
                <w:shd w:val="clear" w:color="auto" w:fill="000000"/>
              </w:rPr>
              <w:t>...</w:t>
            </w:r>
            <w:r>
              <w:rPr>
                <w:rStyle w:val="CharStyle23"/>
                <w:shd w:val="clear" w:color="auto" w:fill="000000"/>
              </w:rPr>
              <w:t>​........​</w:t>
            </w:r>
            <w:r>
              <w:rPr>
                <w:rStyle w:val="CharStyle23"/>
                <w:spacing w:val="6"/>
                <w:shd w:val="clear" w:color="auto" w:fill="000000"/>
              </w:rPr>
              <w:t>....</w:t>
            </w:r>
            <w:r>
              <w:rPr>
                <w:rStyle w:val="CharStyle23"/>
                <w:spacing w:val="7"/>
                <w:shd w:val="clear" w:color="auto" w:fill="000000"/>
              </w:rPr>
              <w:t>....</w:t>
            </w:r>
            <w:r>
              <w:rPr>
                <w:rStyle w:val="CharStyle23"/>
                <w:shd w:val="clear" w:color="auto" w:fill="000000"/>
              </w:rPr>
              <w:t>​....</w:t>
            </w:r>
            <w:r>
              <w:rPr>
                <w:rStyle w:val="CharStyle23"/>
                <w:spacing w:val="1"/>
                <w:shd w:val="clear" w:color="auto" w:fill="000000"/>
              </w:rPr>
              <w:t>.....</w:t>
            </w:r>
            <w:r>
              <w:rPr>
                <w:rStyle w:val="CharStyle23"/>
                <w:shd w:val="clear" w:color="auto" w:fill="000000"/>
              </w:rPr>
              <w:t>​.......​.......​......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CZ00346292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Bankovní spojeni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MONETA Money Bank, a.s., č. ú. 117203514/0600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9"/>
        </w:rPr>
        <w:t xml:space="preserve">(dále jen </w:t>
      </w:r>
      <w:r>
        <w:rPr>
          <w:rStyle w:val="CharStyle19"/>
          <w:b/>
          <w:bCs/>
          <w:i/>
          <w:iCs/>
          <w:sz w:val="18"/>
          <w:szCs w:val="18"/>
        </w:rPr>
        <w:t>„objednatel')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21"/>
        <w:gridCol w:w="5088"/>
      </w:tblGrid>
      <w:tr>
        <w:trPr>
          <w:trHeight w:val="6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d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3"/>
                <w:b/>
                <w:bCs/>
                <w:sz w:val="16"/>
                <w:szCs w:val="16"/>
              </w:rPr>
              <w:t>AsisTrans s.r.o.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Sídlo: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3"/>
              </w:rPr>
              <w:t>Jahodová 503/50, Brněnské Ivanovice, 620 00 Brno Petr Šenkyřík, jednatel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spacing w:val="4"/>
                <w:shd w:val="clear" w:color="auto" w:fill="000000"/>
              </w:rPr>
              <w:t>....</w:t>
            </w:r>
            <w:r>
              <w:rPr>
                <w:rStyle w:val="CharStyle23"/>
                <w:spacing w:val="5"/>
                <w:shd w:val="clear" w:color="auto" w:fill="000000"/>
              </w:rPr>
              <w:t>...</w:t>
            </w:r>
            <w:r>
              <w:rPr>
                <w:rStyle w:val="CharStyle23"/>
                <w:shd w:val="clear" w:color="auto" w:fill="000000"/>
              </w:rPr>
              <w:t>​</w:t>
            </w:r>
            <w:r>
              <w:rPr>
                <w:rStyle w:val="CharStyle23"/>
                <w:spacing w:val="3"/>
                <w:shd w:val="clear" w:color="auto" w:fill="000000"/>
              </w:rPr>
              <w:t>..........</w:t>
            </w:r>
            <w:r>
              <w:rPr>
                <w:rStyle w:val="CharStyle23"/>
                <w:spacing w:val="4"/>
                <w:shd w:val="clear" w:color="auto" w:fill="000000"/>
              </w:rPr>
              <w:t>.....</w:t>
            </w:r>
            <w:r>
              <w:rPr>
                <w:rStyle w:val="CharStyle23"/>
                <w:shd w:val="clear" w:color="auto" w:fill="000000"/>
              </w:rPr>
              <w:t>​</w:t>
            </w:r>
            <w:r>
              <w:rPr>
                <w:rStyle w:val="CharStyle23"/>
                <w:spacing w:val="2"/>
                <w:shd w:val="clear" w:color="auto" w:fill="000000"/>
              </w:rPr>
              <w:t>.....</w:t>
            </w:r>
            <w:r>
              <w:rPr>
                <w:rStyle w:val="CharStyle23"/>
                <w:spacing w:val="3"/>
                <w:shd w:val="clear" w:color="auto" w:fill="000000"/>
              </w:rPr>
              <w:t>.......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IČO: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26931761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CZ26931761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Zápis v OR: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</w:rPr>
              <w:t>Krajský soud v Brně sp. zn. C 46303 Č.Ú. 1666158001/5500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9"/>
        </w:rPr>
        <w:t xml:space="preserve">(dále jen </w:t>
      </w:r>
      <w:r>
        <w:rPr>
          <w:rStyle w:val="CharStyle19"/>
          <w:b/>
          <w:bCs/>
          <w:i/>
          <w:iCs/>
          <w:sz w:val="18"/>
          <w:szCs w:val="18"/>
        </w:rPr>
        <w:t>„zhotovitel )</w:t>
      </w:r>
    </w:p>
    <w:p>
      <w:pPr>
        <w:widowControl w:val="0"/>
        <w:spacing w:after="9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Zhotovitel je samostatnou fyzickou/právnickou osobou, oprávněnou na základě svého živnostenského oprávněni k opravám silničních motorových vozidel a k provádění silniční nákladní motorové dopravy, a k činnostem s tím spojených,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Zhotovitel se zavazuje v rámci svého oprávnění podle čl. 1 této smlouvy provádět pro objednatele odtahy jeho silničních motorových vozidel, včetně případného vyproštění, naložení a složení těchto vozidel v místě jejich doručení, a to v tuzemsku i v cizině. Zhotovitel se zavazuje tak Činit non-stop vždy nejpozději do 60-ti minut od doručení výzvy (objednávky)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33" w:lineRule="auto"/>
        <w:ind w:left="380" w:right="0" w:hanging="380"/>
        <w:jc w:val="both"/>
      </w:pPr>
      <w:r>
        <w:rPr>
          <w:rStyle w:val="CharStyle3"/>
        </w:rPr>
        <w:t>Závazek zhotovitele podle čl. 2 této smlouvy bude plněn formou dílčích plnění v rozsahu a specifikaci dle jednotlivých dílčích smluv o dílo,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80" w:line="240" w:lineRule="auto"/>
        <w:ind w:left="380" w:right="0" w:hanging="380"/>
        <w:jc w:val="both"/>
      </w:pPr>
      <w:r>
        <w:rPr>
          <w:rStyle w:val="CharStyle3"/>
        </w:rPr>
        <w:t>Jednotlivá dílčí smlouva o dílo se považuje za uzavřenou doručením jednotlivé písemné nebo telefonické výzvy (objednávky) objednatele do rukou zhotovitele, a to ve znění, daném touto výzvou a touto rámcovou smlouvou o dílo. Výzva (objednávka) podle tohoto článku této smlouvy musí obsahovat specifikaci příslušného plněni, místa naloženi a místa vyložení příslušného vozidla, termín plnění, datum a podpis objednatele. Písemná forma výzvy (objednávky) se považuje za dodrženou i v případě jejího odeslání elektronickou formou.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Závazek zhotovitele k provedeni jeho díla podle či. 2 této smlouvy se považuje za splněný po jeho faktickém provedení dnem předáni a převzetí příslušného díla, prostého všech vad a nedodělků, formou písemného předávacího protokolu, podepsaného oběma stranami. V tomto smyslu objednatel není povinen převzít dílo, bude-Ii vykazovat jakoukoliv vadu nebo nedodělek.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57" w:lineRule="auto"/>
        <w:ind w:left="380" w:right="0" w:hanging="380"/>
        <w:jc w:val="both"/>
      </w:pPr>
      <w:r>
        <w:rPr>
          <w:rStyle w:val="CharStyle3"/>
        </w:rPr>
        <w:t>Zhotovitel se zavazuje při provádění díla podle čl. 2 této smlouvy postupovat svědomitě a s náležitou odbornou péči. Zhotovitel přitom poskytuje objednateli záruku za jakost svého díla, a to po celou dobu, po kterou to bude mít pro objednatele ještě nějaký ekonomický význam.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Pro případ prodleni zhotovitele s provedením díla podle čl, 2 této smlouvy ve lhůtě podle čl. 2 této smlouvy nebo v jiné dohodnuté lhůtě se zhotovitel zavazuje zaplatit objednateli smluvní pokutu ve výši 5 % z ceny díla podle čl. 10 této smlouvy za každých započatých 60 minut tohoto prodlení. Zaplacením smluvní pokuty podle této smlouvy není nijak dotčeno právo strany na náhradu škody v plné výši. Tímto ujednáním se přitom vylučuje aplikace ust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Pro případ prodleni zhotovitele s provedením díla podle čl. 2 této smlouvy ve lhůtě podle čl. 2 této smlouvy nebo v jiné dohodnuté lhůtě o víc, než 90 minut, si objednatel vyhrazuje právo odstoupit od příslušné dílčí smlouvy o dílo a zadat příslušné dílo jinému zhotoviteli, a to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57" w:lineRule="auto"/>
        <w:ind w:left="380" w:right="0" w:hanging="380"/>
        <w:jc w:val="both"/>
      </w:pPr>
      <w:r>
        <w:rPr>
          <w:rStyle w:val="CharStyle3"/>
        </w:rPr>
        <w:t>Zhotovitel se zavazuje zachovávat mlčenlivost o všech skutečnost o poměrech objednatele, jeho klientů, jeho zaměstnanců a dalších osob, s nimiž se při plněni povinností podle této smlouvy seznámí.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Objednatel se zavazuje platit zhotoviteli za provedeni díla podle čl. 2 této smlouvy cenu ve výši dle ceníku, který je jako příloha č. 1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0" w:val="left"/>
        </w:tabs>
        <w:bidi w:val="0"/>
        <w:spacing w:before="0" w:line="259" w:lineRule="auto"/>
        <w:ind w:left="380" w:right="0" w:hanging="380"/>
        <w:jc w:val="both"/>
      </w:pPr>
      <w:r>
        <w:rPr>
          <w:rStyle w:val="CharStyle3"/>
        </w:rPr>
        <w:t>Součástí ceny podle čl. 10 této smlouvy je náhrada všech nákladů, které zhotovitel vynaloží ke splněni svých závazků podle této smlouvy, a dan z přidané hodnoty v její výši podle příslušných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0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 xml:space="preserve">Cena podle čL 10 této smlouvy je splatná vždy po provedení příslušného díla ve lhůtě do 30-ti dnů od doručení jejího písemného vyúčtováni (faktury/danového dokladu). Faktura musí mít náležitosti účetního a daňového dokladu podle zákona a musí být doloženo přílohami dle pokynů objednatele. Faktury budou doručeny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čislo veřejné zakázky, ke které se faktura vztahuje: </w:t>
      </w:r>
      <w:r>
        <w:rPr>
          <w:rStyle w:val="CharStyle3"/>
          <w:b/>
          <w:bCs/>
          <w:sz w:val="16"/>
          <w:szCs w:val="16"/>
        </w:rPr>
        <w:t xml:space="preserve">P23V00003199. </w:t>
      </w:r>
      <w:r>
        <w:rPr>
          <w:rStyle w:val="CharStyle3"/>
        </w:rPr>
        <w:t>Přílohou faktury bude rovněž kopie písemného předávacího protokolu podepsaného oběma stranami. Nebude-Ii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54" w:lineRule="auto"/>
        <w:ind w:left="380" w:right="0" w:hanging="380"/>
        <w:jc w:val="both"/>
      </w:pPr>
      <w:r>
        <w:rPr>
          <w:rStyle w:val="CharStyle3"/>
        </w:rPr>
        <w:t>Pro případ prodlení se zaplacením ceny podle čl. 10 této smlouvy ve lhůtě podle čl. 12 této smlouvy se zhotovitel zavazuje zaplatit objednateli úrok z prodlení ve výši dle příslušných právních předpisů v jejich aktuálním zněni.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Objednatel se zavazuje poskytnout zhotoviteli, nezbytnou ke splnění jeho závazků podle této smlouvy. Za tímto účelem je objednatel povinen zhotoviteli zejména poskytovat potřebné informace a podklady.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88" w:lineRule="auto"/>
        <w:ind w:left="0" w:right="0" w:firstLine="0"/>
        <w:jc w:val="both"/>
        <w:rPr>
          <w:sz w:val="16"/>
          <w:szCs w:val="16"/>
        </w:rPr>
      </w:pPr>
      <w:r>
        <w:rPr>
          <w:rStyle w:val="CharStyle3"/>
        </w:rPr>
        <w:t xml:space="preserve">Tato smlouva se uzavírá na dobu určitou, a to od </w:t>
      </w:r>
      <w:r>
        <w:rPr>
          <w:rStyle w:val="CharStyle3"/>
          <w:b/>
          <w:bCs/>
          <w:sz w:val="16"/>
          <w:szCs w:val="16"/>
        </w:rPr>
        <w:t xml:space="preserve">1.1.2024 </w:t>
      </w:r>
      <w:r>
        <w:rPr>
          <w:rStyle w:val="CharStyle3"/>
        </w:rPr>
        <w:t xml:space="preserve">do </w:t>
      </w:r>
      <w:r>
        <w:rPr>
          <w:rStyle w:val="CharStyle3"/>
          <w:b/>
          <w:bCs/>
          <w:sz w:val="16"/>
          <w:szCs w:val="16"/>
        </w:rPr>
        <w:t>31.12.2024.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380" w:right="0" w:hanging="380"/>
        <w:jc w:val="both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1232" w:right="1539" w:bottom="2184" w:left="157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3"/>
        </w:rPr>
        <w:t>Tuto smlouvu lze změnit nebo zrušit pouze jinou písemnou dohodou obou smluvních stran. Tuto smlouvu lze také vypovědět písemnou výpovědí s tříměsíční výpovědní lhůtou, která počne běžet prvním dnem měsíce následujícího po doručení výpovědi druhé smluvní straně. Zrušením nebo výpovědí této smlouvy nejsou nijak dotčeny jednotlivé již uzavřené dílčí smlouvy o dílo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400" w:right="0" w:hanging="400"/>
        <w:jc w:val="both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4587240</wp:posOffset>
            </wp:positionV>
            <wp:extent cx="1926590" cy="80454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926590" cy="804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2933700</wp:posOffset>
            </wp:positionH>
            <wp:positionV relativeFrom="margin">
              <wp:posOffset>3947160</wp:posOffset>
            </wp:positionV>
            <wp:extent cx="2249170" cy="168275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249170" cy="16827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Jednotlivou dílčí smlouvu o dílo podle čl. 4 této smlouvy lze změnit nebo zrušit pouze jinou písemnou dohodu obou smluvních stran Od jednotlivé dílčí smlouvy o dílo lze také odstoup t z důvodů jejího podstatného porušeni.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Neni-li touto smlouvou ujednáno jinak řidl se vzájemný právní vztah mezi zhotoviteem a objednatelem ust. § 2586 až 2620 občanského zákoníku, přičemž tato právní úprava má přednost před nepsanými obchodními zvyklostmi. Tímto ujednáním se přitom vylučuje aplikaci ust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22 této smlouvy. Objednatel přitom předem vylučuje přijeti tohoto návrhu s dodatkem nebo odchylkou ve smyslu ust § 1740 odst. 3 občanského zákoníku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zákona č 106/1999 Sb o svobodném přístupu k informacím a zákona č 340/2015 Sb o registru smluv)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33" w:lineRule="auto"/>
        <w:ind w:left="400" w:right="0" w:hanging="400"/>
        <w:jc w:val="both"/>
      </w:pPr>
      <w:r>
        <w:rPr>
          <w:rStyle w:val="CharStyle3"/>
        </w:rPr>
        <w:t>Tato smlouva nabývá účinnosti po jejím podpisu oběma smluvními stranami dnem jejího uveřejněni v Registru smluv, nejdříve však 1. 1. 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1000" w:line="240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87" w:val="left"/>
        </w:tabs>
        <w:bidi w:val="0"/>
        <w:spacing w:before="0" w:after="1540" w:line="240" w:lineRule="auto"/>
        <w:ind w:left="0" w:right="0" w:firstLine="0"/>
        <w:jc w:val="left"/>
      </w:pPr>
      <w:r>
        <w:rPr>
          <w:rStyle w:val="CharStyle3"/>
        </w:rPr>
        <w:t>V Brně dne</w:t>
        <w:tab/>
        <w:t>V Brně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76" w:lineRule="auto"/>
        <w:ind w:left="0" w:right="0" w:firstLine="0"/>
        <w:jc w:val="left"/>
      </w:pPr>
      <w:r>
        <w:rPr>
          <w:rStyle w:val="CharStyle3"/>
        </w:rPr>
        <w:t xml:space="preserve">MUDr Hana Albrechtová ředitelka </w:t>
      </w:r>
      <w:r>
        <w:rPr>
          <w:rStyle w:val="CharStyle3"/>
          <w:b/>
          <w:bCs/>
        </w:rPr>
        <w:t>Objednatel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4185285</wp:posOffset>
                </wp:positionH>
                <wp:positionV relativeFrom="margin">
                  <wp:posOffset>5139055</wp:posOffset>
                </wp:positionV>
                <wp:extent cx="1664335" cy="67373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4335" cy="673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36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8"/>
                                <w:shd w:val="clear" w:color="auto" w:fill="000000"/>
                              </w:rPr>
                              <w:t>.....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 xml:space="preserve">. - _ It 26931761, Dlí: CZ269JV61 </w:t>
                            </w:r>
                            <w:r>
                              <w:rPr>
                                <w:rStyle w:val="CharStyle7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AsisTranš s r 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Petr Šenkyřík,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9.55000000000001pt;margin-top:404.65000000000003pt;width:131.05000000000001pt;height:53.050000000000004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36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b/>
                          <w:bCs/>
                          <w:spacing w:val="8"/>
                          <w:shd w:val="clear" w:color="auto" w:fill="000000"/>
                        </w:rPr>
                        <w:t>.....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7"/>
                          <w:b/>
                          <w:bCs/>
                        </w:rPr>
                        <w:t xml:space="preserve">. - _ It 26931761, Dlí: CZ269JV61 </w:t>
                      </w:r>
                      <w:r>
                        <w:rPr>
                          <w:rStyle w:val="CharStyle7"/>
                          <w:rFonts w:ascii="Arial" w:eastAsia="Arial" w:hAnsi="Arial" w:cs="Arial"/>
                          <w:sz w:val="19"/>
                          <w:szCs w:val="19"/>
                        </w:rPr>
                        <w:t>AsisTranš s r 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Petr Šenkyřík,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margin">
                  <wp:posOffset>6452870</wp:posOffset>
                </wp:positionV>
                <wp:extent cx="673735" cy="47561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0.200000000000003pt;margin-top:508.10000000000002pt;width:53.050000000000004pt;height:37.450000000000003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3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3"/>
          <w:b/>
          <w:bCs/>
        </w:rPr>
        <w:t>Cenik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Pověřené osoby k objednání přepravy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Pověřené osoby k příjmu objednávek přepravy</w:t>
      </w: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</w:pPr>
      <w:r>
        <w:rPr>
          <w:rStyle w:val="CharStyle19"/>
          <w:b/>
          <w:bCs/>
        </w:rPr>
        <w:t>Příloha č. 1 Ceník</w:t>
      </w:r>
    </w:p>
    <w:tbl>
      <w:tblPr>
        <w:tblOverlap w:val="never"/>
        <w:jc w:val="center"/>
        <w:tblLayout w:type="fixed"/>
      </w:tblPr>
      <w:tblGrid>
        <w:gridCol w:w="3182"/>
        <w:gridCol w:w="1214"/>
        <w:gridCol w:w="2189"/>
        <w:gridCol w:w="2203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Cena za jednotku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Cena za jednotku včetně DPH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Naloženi a složení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úkon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605 Kč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Přeprava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26,62 Kč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Čekání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minuta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rStyle w:val="CharStyle23"/>
              </w:rPr>
              <w:t>3,63 Kč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Vyproštění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minuta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rStyle w:val="CharStyle23"/>
              </w:rPr>
              <w:t>4,84 Kč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leader="underscore" w:pos="446" w:val="left"/>
                <w:tab w:leader="underscore" w:pos="2390" w:val="left"/>
                <w:tab w:leader="underscore" w:pos="2405" w:val="left"/>
                <w:tab w:leader="underscore" w:pos="3154" w:val="left"/>
              </w:tabs>
              <w:bidi w:val="0"/>
              <w:spacing w:before="0" w:after="0" w:line="194" w:lineRule="auto"/>
              <w:ind w:left="0" w:right="0" w:firstLine="0"/>
              <w:jc w:val="left"/>
            </w:pPr>
            <w:r>
              <w:rPr>
                <w:rStyle w:val="CharStyle23"/>
              </w:rPr>
              <w:t xml:space="preserve">Jízda po zpoplatněné silnici (mýto) </w:t>
              <w:tab/>
              <w:t>_</w:t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km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1,67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rStyle w:val="CharStyle23"/>
              </w:rPr>
              <w:t>2,02 Kč</w:t>
            </w:r>
          </w:p>
        </w:tc>
      </w:tr>
    </w:tbl>
    <w:p>
      <w:pPr>
        <w:widowControl w:val="0"/>
        <w:spacing w:after="71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Style w:val="CharStyle19"/>
          <w:b/>
          <w:bCs/>
        </w:rPr>
        <w:t>Příloha č. 2 Pověřené osoby k objednání přepravy</w:t>
      </w:r>
    </w:p>
    <w:tbl>
      <w:tblPr>
        <w:tblOverlap w:val="never"/>
        <w:jc w:val="left"/>
        <w:tblLayout w:type="fixed"/>
      </w:tblPr>
      <w:tblGrid>
        <w:gridCol w:w="5165"/>
        <w:gridCol w:w="2482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Kontaktní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Telefonní kontakt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Dispečeři KOS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545 113 150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Jiří Urbánek, vedoucí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606 824 818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Petr Daniel, technický referent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702 284 435</w:t>
            </w:r>
          </w:p>
        </w:tc>
      </w:tr>
    </w:tbl>
    <w:p>
      <w:pPr>
        <w:widowControl w:val="0"/>
        <w:spacing w:after="959" w:line="1" w:lineRule="exact"/>
      </w:pPr>
    </w:p>
    <w:p>
      <w:pPr>
        <w:widowControl w:val="0"/>
        <w:spacing w:line="1" w:lineRule="exact"/>
      </w:pP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" w:right="0" w:firstLine="0"/>
        <w:jc w:val="left"/>
      </w:pPr>
      <w:r>
        <w:rPr>
          <w:rStyle w:val="CharStyle48"/>
          <w:b/>
          <w:bCs/>
        </w:rPr>
        <w:t>Příloha č. 3 Pověřené osoby k přijmu objednávek přepravy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956175" cy="2932430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4956175" cy="29324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14"/>
      <w:footerReference w:type="even" r:id="rId15"/>
      <w:footnotePr>
        <w:pos w:val="pageBottom"/>
        <w:numFmt w:val="decimal"/>
        <w:numRestart w:val="continuous"/>
      </w:footnotePr>
      <w:pgSz w:w="11900" w:h="16840"/>
      <w:pgMar w:top="1232" w:right="1539" w:bottom="2184" w:left="157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1484630</wp:posOffset>
              </wp:positionH>
              <wp:positionV relativeFrom="page">
                <wp:posOffset>9816465</wp:posOffset>
              </wp:positionV>
              <wp:extent cx="1972310" cy="1250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23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zakázka 40-23. Odt&amp;hy razidel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6.90000000000001pt;margin-top:772.95000000000005pt;width:155.30000000000001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zakázka 40-23. Odt&amp;hy razidel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1484630</wp:posOffset>
              </wp:positionH>
              <wp:positionV relativeFrom="page">
                <wp:posOffset>9816465</wp:posOffset>
              </wp:positionV>
              <wp:extent cx="197231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23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zakázka 40-23. Odt&amp;hy razidel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16.90000000000001pt;margin-top:772.95000000000005pt;width:155.30000000000001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zakázka 40-23. Odt&amp;hy razidel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10078720</wp:posOffset>
              </wp:positionV>
              <wp:extent cx="2423160" cy="13716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2316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W/fe/ně </w:t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zakázka 40^23. Odtahy vozidel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0.900000000000006pt;margin-top:793.60000000000002pt;width:190.80000000000001pt;height:10.8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9"/>
                        <w:szCs w:val="19"/>
                      </w:rPr>
                      <w:t xml:space="preserve">W/fe/ně </w:t>
                    </w: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zakázka 40^23. Odtahy vozidel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9777095</wp:posOffset>
              </wp:positionV>
              <wp:extent cx="2374265" cy="14351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26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3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3"/>
                              <w:lang w:val="1024"/>
                            </w:rPr>
                            <w:tab/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í' </w:t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Odtahy vozidol 202'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80.650000000000006pt;margin-top:769.85000000000002pt;width:186.95000000000002pt;height:11.30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3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3"/>
                        <w:lang w:val="1024"/>
                      </w:rPr>
                      <w:tab/>
                    </w:r>
                    <w:r>
                      <w:rPr>
                        <w:rStyle w:val="CharStyle13"/>
                        <w:rFonts w:ascii="Arial" w:eastAsia="Arial" w:hAnsi="Arial" w:cs="Arial"/>
                        <w:sz w:val="14"/>
                        <w:szCs w:val="14"/>
                      </w:rPr>
                      <w:t xml:space="preserve">í' </w:t>
                    </w: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Odtahy vozidol 202'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1059815</wp:posOffset>
              </wp:positionH>
              <wp:positionV relativeFrom="page">
                <wp:posOffset>9834880</wp:posOffset>
              </wp:positionV>
              <wp:extent cx="2401570" cy="11874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15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40 23 Odtahy vozidel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83.450000000000003pt;margin-top:774.39999999999998pt;width:189.09999999999999pt;height:9.3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40 23 Odtahy vozidel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1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8">
    <w:name w:val="Titulek obrázku_"/>
    <w:basedOn w:val="DefaultParagraphFont"/>
    <w:link w:val="Style4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after="40" w:line="194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after="500"/>
      <w:ind w:right="4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auto"/>
      <w:spacing w:after="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7">
    <w:name w:val="Titulek obrázku"/>
    <w:basedOn w:val="Normal"/>
    <w:link w:val="CharStyle4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1.png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footer" Target="footer4.xml"/><Relationship Id="rId15" Type="http://schemas.openxmlformats.org/officeDocument/2006/relationships/footer" Target="footer5.xml"/></Relationships>
</file>