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WATEX 2017/063K, Írán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WATEX 2017/063K, Írán - NOVUMM KET. Cena bez DPH 239 800,00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290 158,00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Iran International Permanent Fairground ,  Teherán, IR - Írán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