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jc w:val="center"/>
        <w:rPr>
          <w:b w:val="1"/>
          <w:sz w:val="36"/>
          <w:szCs w:val="36"/>
        </w:rPr>
      </w:pPr>
      <w:r w:rsidDel="00000000" w:rsidR="00000000" w:rsidRPr="00000000">
        <w:rPr>
          <w:b w:val="1"/>
          <w:sz w:val="36"/>
          <w:szCs w:val="36"/>
          <w:rtl w:val="0"/>
        </w:rPr>
        <w:t xml:space="preserve">PŘÍKAZNÍ SMLOUVA [č. 5]</w:t>
      </w:r>
    </w:p>
    <w:p w:rsidR="00000000" w:rsidDel="00000000" w:rsidP="00000000" w:rsidRDefault="00000000" w:rsidRPr="00000000" w14:paraId="00000002">
      <w:pPr>
        <w:widowControl w:val="1"/>
        <w:jc w:val="center"/>
        <w:rPr/>
      </w:pPr>
      <w:r w:rsidDel="00000000" w:rsidR="00000000" w:rsidRPr="00000000">
        <w:rPr>
          <w:rtl w:val="0"/>
        </w:rPr>
        <w:t xml:space="preserve">dle ustanovení § 2430 a násl. zákona č. 89/2012 Sb., občanský zákoník,</w:t>
        <w:br w:type="textWrapping"/>
        <w:t xml:space="preserve"> ve znění pozdějších předpisů (dále jen „občanský zákoník“)</w:t>
      </w:r>
    </w:p>
    <w:p w:rsidR="00000000" w:rsidDel="00000000" w:rsidP="00000000" w:rsidRDefault="00000000" w:rsidRPr="00000000" w14:paraId="00000003">
      <w:pPr>
        <w:widowControl w:val="1"/>
        <w:rPr/>
      </w:pPr>
      <w:r w:rsidDel="00000000" w:rsidR="00000000" w:rsidRPr="00000000">
        <w:rPr>
          <w:rtl w:val="0"/>
        </w:rPr>
      </w:r>
    </w:p>
    <w:p w:rsidR="00000000" w:rsidDel="00000000" w:rsidP="00000000" w:rsidRDefault="00000000" w:rsidRPr="00000000" w14:paraId="00000004">
      <w:pPr>
        <w:widowControl w:val="1"/>
        <w:rPr/>
      </w:pPr>
      <w:r w:rsidDel="00000000" w:rsidR="00000000" w:rsidRPr="00000000">
        <w:rPr>
          <w:rtl w:val="0"/>
        </w:rPr>
      </w:r>
    </w:p>
    <w:p w:rsidR="00000000" w:rsidDel="00000000" w:rsidP="00000000" w:rsidRDefault="00000000" w:rsidRPr="00000000" w14:paraId="00000005">
      <w:pPr>
        <w:widowControl w:val="1"/>
        <w:spacing w:line="240" w:lineRule="auto"/>
        <w:rPr>
          <w:b w:val="1"/>
        </w:rPr>
      </w:pPr>
      <w:r w:rsidDel="00000000" w:rsidR="00000000" w:rsidRPr="00000000">
        <w:rPr>
          <w:b w:val="1"/>
          <w:rtl w:val="0"/>
        </w:rPr>
        <w:t xml:space="preserve">Technická univerzita v Liberci</w:t>
      </w:r>
    </w:p>
    <w:p w:rsidR="00000000" w:rsidDel="00000000" w:rsidP="00000000" w:rsidRDefault="00000000" w:rsidRPr="00000000" w14:paraId="00000006">
      <w:pPr>
        <w:widowControl w:val="1"/>
        <w:spacing w:before="0" w:line="240" w:lineRule="auto"/>
        <w:ind w:right="-6"/>
        <w:rPr/>
      </w:pPr>
      <w:r w:rsidDel="00000000" w:rsidR="00000000" w:rsidRPr="00000000">
        <w:rPr>
          <w:rtl w:val="0"/>
        </w:rPr>
        <w:t xml:space="preserve">se sídlem:</w:t>
        <w:tab/>
        <w:t xml:space="preserve">Studentská 1402/2, Liberec 1, 460 01</w:t>
      </w:r>
    </w:p>
    <w:p w:rsidR="00000000" w:rsidDel="00000000" w:rsidP="00000000" w:rsidRDefault="00000000" w:rsidRPr="00000000" w14:paraId="00000007">
      <w:pPr>
        <w:widowControl w:val="1"/>
        <w:spacing w:before="0" w:line="240" w:lineRule="auto"/>
        <w:ind w:right="-6"/>
        <w:rPr/>
      </w:pPr>
      <w:r w:rsidDel="00000000" w:rsidR="00000000" w:rsidRPr="00000000">
        <w:rPr>
          <w:rtl w:val="0"/>
        </w:rPr>
        <w:t xml:space="preserve">zastoupená:</w:t>
        <w:tab/>
        <w:t xml:space="preserve">doc. RNDr. Miroslavem Brzezinou, CSc., rektorem</w:t>
      </w:r>
    </w:p>
    <w:p w:rsidR="00000000" w:rsidDel="00000000" w:rsidP="00000000" w:rsidRDefault="00000000" w:rsidRPr="00000000" w14:paraId="00000008">
      <w:pPr>
        <w:widowControl w:val="1"/>
        <w:spacing w:before="0" w:line="240" w:lineRule="auto"/>
        <w:ind w:right="-6"/>
        <w:rPr/>
      </w:pPr>
      <w:r w:rsidDel="00000000" w:rsidR="00000000" w:rsidRPr="00000000">
        <w:rPr>
          <w:rtl w:val="0"/>
        </w:rPr>
        <w:t xml:space="preserve">IČ:</w:t>
        <w:tab/>
        <w:tab/>
        <w:t xml:space="preserve">46747885</w:t>
      </w:r>
    </w:p>
    <w:p w:rsidR="00000000" w:rsidDel="00000000" w:rsidP="00000000" w:rsidRDefault="00000000" w:rsidRPr="00000000" w14:paraId="00000009">
      <w:pPr>
        <w:widowControl w:val="1"/>
        <w:spacing w:before="0" w:line="240" w:lineRule="auto"/>
        <w:ind w:right="-6"/>
        <w:rPr/>
      </w:pPr>
      <w:r w:rsidDel="00000000" w:rsidR="00000000" w:rsidRPr="00000000">
        <w:rPr>
          <w:rtl w:val="0"/>
        </w:rPr>
        <w:t xml:space="preserve">DIČ:</w:t>
        <w:tab/>
        <w:tab/>
        <w:t xml:space="preserve">CZ46747885</w:t>
      </w:r>
    </w:p>
    <w:p w:rsidR="00000000" w:rsidDel="00000000" w:rsidP="00000000" w:rsidRDefault="00000000" w:rsidRPr="00000000" w14:paraId="0000000A">
      <w:pPr>
        <w:widowControl w:val="1"/>
        <w:spacing w:before="0" w:line="240" w:lineRule="auto"/>
        <w:ind w:right="-6"/>
        <w:rPr/>
      </w:pPr>
      <w:r w:rsidDel="00000000" w:rsidR="00000000" w:rsidRPr="00000000">
        <w:rPr>
          <w:rtl w:val="0"/>
        </w:rPr>
        <w:t xml:space="preserve">Bankovní spojení: XXXXXXXXXXX</w:t>
      </w:r>
    </w:p>
    <w:p w:rsidR="00000000" w:rsidDel="00000000" w:rsidP="00000000" w:rsidRDefault="00000000" w:rsidRPr="00000000" w14:paraId="0000000B">
      <w:pPr>
        <w:widowControl w:val="1"/>
        <w:spacing w:before="0" w:line="240" w:lineRule="auto"/>
        <w:ind w:right="-6"/>
        <w:rPr/>
      </w:pPr>
      <w:r w:rsidDel="00000000" w:rsidR="00000000" w:rsidRPr="00000000">
        <w:rPr>
          <w:rtl w:val="0"/>
        </w:rPr>
        <w:t xml:space="preserve">Účet číslo:</w:t>
        <w:tab/>
        <w:t xml:space="preserve">XXXXXXXXXXX</w:t>
      </w:r>
    </w:p>
    <w:p w:rsidR="00000000" w:rsidDel="00000000" w:rsidP="00000000" w:rsidRDefault="00000000" w:rsidRPr="00000000" w14:paraId="0000000C">
      <w:pPr>
        <w:widowControl w:val="1"/>
        <w:spacing w:before="0" w:line="240" w:lineRule="auto"/>
        <w:ind w:right="-6"/>
        <w:rPr/>
      </w:pPr>
      <w:r w:rsidDel="00000000" w:rsidR="00000000" w:rsidRPr="00000000">
        <w:rPr>
          <w:rtl w:val="0"/>
        </w:rPr>
        <w:t xml:space="preserve">Osoba zodpovědná za smluvní vztah: XXXXXXXXXXXXX</w:t>
      </w:r>
    </w:p>
    <w:p w:rsidR="00000000" w:rsidDel="00000000" w:rsidP="00000000" w:rsidRDefault="00000000" w:rsidRPr="00000000" w14:paraId="0000000D">
      <w:pPr>
        <w:widowControl w:val="1"/>
        <w:spacing w:before="0" w:line="240" w:lineRule="auto"/>
        <w:ind w:right="-6"/>
        <w:rPr/>
      </w:pPr>
      <w:r w:rsidDel="00000000" w:rsidR="00000000" w:rsidRPr="00000000">
        <w:rPr>
          <w:rtl w:val="0"/>
        </w:rPr>
        <w:t xml:space="preserve">Interní číslo smlouvy:</w:t>
      </w:r>
    </w:p>
    <w:p w:rsidR="00000000" w:rsidDel="00000000" w:rsidP="00000000" w:rsidRDefault="00000000" w:rsidRPr="00000000" w14:paraId="0000000E">
      <w:pPr>
        <w:widowControl w:val="1"/>
        <w:spacing w:before="0" w:line="240" w:lineRule="auto"/>
        <w:ind w:right="-6"/>
        <w:rPr/>
      </w:pPr>
      <w:r w:rsidDel="00000000" w:rsidR="00000000" w:rsidRPr="00000000">
        <w:rPr>
          <w:rtl w:val="0"/>
        </w:rPr>
        <w:t xml:space="preserve">(dále také jen „Příkazce“)</w:t>
      </w:r>
    </w:p>
    <w:p w:rsidR="00000000" w:rsidDel="00000000" w:rsidP="00000000" w:rsidRDefault="00000000" w:rsidRPr="00000000" w14:paraId="0000000F">
      <w:pPr>
        <w:widowControl w:val="1"/>
        <w:rPr/>
      </w:pPr>
      <w:r w:rsidDel="00000000" w:rsidR="00000000" w:rsidRPr="00000000">
        <w:rPr>
          <w:rtl w:val="0"/>
        </w:rPr>
      </w:r>
    </w:p>
    <w:p w:rsidR="00000000" w:rsidDel="00000000" w:rsidP="00000000" w:rsidRDefault="00000000" w:rsidRPr="00000000" w14:paraId="00000010">
      <w:pPr>
        <w:widowControl w:val="1"/>
        <w:rPr/>
      </w:pPr>
      <w:r w:rsidDel="00000000" w:rsidR="00000000" w:rsidRPr="00000000">
        <w:rPr>
          <w:rtl w:val="0"/>
        </w:rPr>
        <w:t xml:space="preserve">a</w:t>
      </w:r>
    </w:p>
    <w:p w:rsidR="00000000" w:rsidDel="00000000" w:rsidP="00000000" w:rsidRDefault="00000000" w:rsidRPr="00000000" w14:paraId="00000011">
      <w:pPr>
        <w:widowControl w:val="1"/>
        <w:rPr/>
      </w:pPr>
      <w:r w:rsidDel="00000000" w:rsidR="00000000" w:rsidRPr="00000000">
        <w:rPr>
          <w:rtl w:val="0"/>
        </w:rPr>
      </w:r>
    </w:p>
    <w:p w:rsidR="00000000" w:rsidDel="00000000" w:rsidP="00000000" w:rsidRDefault="00000000" w:rsidRPr="00000000" w14:paraId="00000012">
      <w:pPr>
        <w:widowControl w:val="1"/>
        <w:rPr>
          <w:b w:val="1"/>
        </w:rPr>
      </w:pPr>
      <w:r w:rsidDel="00000000" w:rsidR="00000000" w:rsidRPr="00000000">
        <w:rPr>
          <w:b w:val="1"/>
          <w:rtl w:val="0"/>
        </w:rPr>
        <w:t xml:space="preserve">The University Company TUL, spol. s r.o.</w:t>
      </w:r>
    </w:p>
    <w:p w:rsidR="00000000" w:rsidDel="00000000" w:rsidP="00000000" w:rsidRDefault="00000000" w:rsidRPr="00000000" w14:paraId="00000013">
      <w:pPr>
        <w:widowControl w:val="1"/>
        <w:spacing w:before="0" w:lineRule="auto"/>
        <w:ind w:right="-6"/>
        <w:rPr/>
      </w:pPr>
      <w:r w:rsidDel="00000000" w:rsidR="00000000" w:rsidRPr="00000000">
        <w:rPr>
          <w:rtl w:val="0"/>
        </w:rPr>
        <w:t xml:space="preserve">se sídlem:</w:t>
        <w:tab/>
        <w:t xml:space="preserve">Studentská 1402/2, Liberec I-Staré Město, 460 01 Liberec</w:t>
      </w:r>
    </w:p>
    <w:p w:rsidR="00000000" w:rsidDel="00000000" w:rsidP="00000000" w:rsidRDefault="00000000" w:rsidRPr="00000000" w14:paraId="00000014">
      <w:pPr>
        <w:widowControl w:val="1"/>
        <w:spacing w:before="0" w:lineRule="auto"/>
        <w:ind w:right="-6"/>
        <w:rPr/>
      </w:pPr>
      <w:r w:rsidDel="00000000" w:rsidR="00000000" w:rsidRPr="00000000">
        <w:rPr>
          <w:rtl w:val="0"/>
        </w:rPr>
        <w:t xml:space="preserve">zastoupená:</w:t>
        <w:tab/>
        <w:t xml:space="preserve">Ing. Ondřejem Mošem, MSc., jednatelem </w:t>
      </w:r>
    </w:p>
    <w:p w:rsidR="00000000" w:rsidDel="00000000" w:rsidP="00000000" w:rsidRDefault="00000000" w:rsidRPr="00000000" w14:paraId="00000015">
      <w:pPr>
        <w:widowControl w:val="1"/>
        <w:spacing w:before="0" w:lineRule="auto"/>
        <w:ind w:right="-6"/>
        <w:rPr/>
      </w:pPr>
      <w:r w:rsidDel="00000000" w:rsidR="00000000" w:rsidRPr="00000000">
        <w:rPr>
          <w:rtl w:val="0"/>
        </w:rPr>
        <w:t xml:space="preserve">IČ:</w:t>
        <w:tab/>
        <w:tab/>
        <w:t xml:space="preserve">43227112</w:t>
      </w:r>
    </w:p>
    <w:p w:rsidR="00000000" w:rsidDel="00000000" w:rsidP="00000000" w:rsidRDefault="00000000" w:rsidRPr="00000000" w14:paraId="00000016">
      <w:pPr>
        <w:widowControl w:val="1"/>
        <w:spacing w:before="0" w:lineRule="auto"/>
        <w:ind w:right="-6"/>
        <w:rPr/>
      </w:pPr>
      <w:r w:rsidDel="00000000" w:rsidR="00000000" w:rsidRPr="00000000">
        <w:rPr>
          <w:rtl w:val="0"/>
        </w:rPr>
        <w:t xml:space="preserve">DIČ:</w:t>
        <w:tab/>
        <w:tab/>
        <w:t xml:space="preserve">CZ43227112</w:t>
      </w:r>
    </w:p>
    <w:p w:rsidR="00000000" w:rsidDel="00000000" w:rsidP="00000000" w:rsidRDefault="00000000" w:rsidRPr="00000000" w14:paraId="00000017">
      <w:pPr>
        <w:widowControl w:val="1"/>
        <w:spacing w:before="0" w:lineRule="auto"/>
        <w:ind w:right="-6"/>
        <w:rPr/>
      </w:pPr>
      <w:r w:rsidDel="00000000" w:rsidR="00000000" w:rsidRPr="00000000">
        <w:rPr>
          <w:rtl w:val="0"/>
        </w:rPr>
        <w:t xml:space="preserve">Bankovní spojení: XXXXXXXXXXX</w:t>
      </w:r>
    </w:p>
    <w:p w:rsidR="00000000" w:rsidDel="00000000" w:rsidP="00000000" w:rsidRDefault="00000000" w:rsidRPr="00000000" w14:paraId="00000018">
      <w:pPr>
        <w:widowControl w:val="1"/>
        <w:spacing w:before="0" w:lineRule="auto"/>
        <w:ind w:right="-6"/>
        <w:rPr/>
      </w:pPr>
      <w:r w:rsidDel="00000000" w:rsidR="00000000" w:rsidRPr="00000000">
        <w:rPr>
          <w:rtl w:val="0"/>
        </w:rPr>
        <w:t xml:space="preserve">Účet číslo:</w:t>
        <w:tab/>
        <w:t xml:space="preserve">XXXXXXXXXXX</w:t>
      </w:r>
    </w:p>
    <w:p w:rsidR="00000000" w:rsidDel="00000000" w:rsidP="00000000" w:rsidRDefault="00000000" w:rsidRPr="00000000" w14:paraId="00000019">
      <w:pPr>
        <w:widowControl w:val="1"/>
        <w:spacing w:before="0" w:lineRule="auto"/>
        <w:ind w:right="-6"/>
        <w:rPr/>
      </w:pPr>
      <w:r w:rsidDel="00000000" w:rsidR="00000000" w:rsidRPr="00000000">
        <w:rPr>
          <w:rtl w:val="0"/>
        </w:rPr>
        <w:t xml:space="preserve">zapsaná v obchodním rejstříku vedeném Krajským soudem v Ústí nad Labem, sp.zn. C 1344 </w:t>
      </w:r>
    </w:p>
    <w:p w:rsidR="00000000" w:rsidDel="00000000" w:rsidP="00000000" w:rsidRDefault="00000000" w:rsidRPr="00000000" w14:paraId="0000001A">
      <w:pPr>
        <w:widowControl w:val="1"/>
        <w:spacing w:before="0" w:lineRule="auto"/>
        <w:ind w:right="-6"/>
        <w:rPr/>
      </w:pPr>
      <w:r w:rsidDel="00000000" w:rsidR="00000000" w:rsidRPr="00000000">
        <w:rPr>
          <w:rtl w:val="0"/>
        </w:rPr>
        <w:t xml:space="preserve">(dále také jen „Příkazník“)</w:t>
      </w:r>
    </w:p>
    <w:p w:rsidR="00000000" w:rsidDel="00000000" w:rsidP="00000000" w:rsidRDefault="00000000" w:rsidRPr="00000000" w14:paraId="0000001B">
      <w:pPr>
        <w:widowControl w:val="1"/>
        <w:rPr/>
      </w:pPr>
      <w:r w:rsidDel="00000000" w:rsidR="00000000" w:rsidRPr="00000000">
        <w:rPr>
          <w:rtl w:val="0"/>
        </w:rPr>
      </w:r>
    </w:p>
    <w:p w:rsidR="00000000" w:rsidDel="00000000" w:rsidP="00000000" w:rsidRDefault="00000000" w:rsidRPr="00000000" w14:paraId="0000001C">
      <w:pPr>
        <w:widowControl w:val="1"/>
        <w:rPr/>
      </w:pPr>
      <w:r w:rsidDel="00000000" w:rsidR="00000000" w:rsidRPr="00000000">
        <w:rPr>
          <w:rtl w:val="0"/>
        </w:rPr>
        <w:t xml:space="preserve">Příkazce a Příkazník (dále společně jako „Smluvní strany“, jednotlivě též „Smluvní strana“) uzavírají níže uvedeného dne, měsíce a roku tuto příkazní smlouvu (dále jen „Smlouva“).</w:t>
      </w:r>
    </w:p>
    <w:p w:rsidR="00000000" w:rsidDel="00000000" w:rsidP="00000000" w:rsidRDefault="00000000" w:rsidRPr="00000000" w14:paraId="0000001D">
      <w:pPr>
        <w:widowControl w:val="1"/>
        <w:rPr/>
      </w:pPr>
      <w:r w:rsidDel="00000000" w:rsidR="00000000" w:rsidRPr="00000000">
        <w:rPr>
          <w:rtl w:val="0"/>
        </w:rPr>
      </w:r>
    </w:p>
    <w:p w:rsidR="00000000" w:rsidDel="00000000" w:rsidP="00000000" w:rsidRDefault="00000000" w:rsidRPr="00000000" w14:paraId="0000001E">
      <w:pPr>
        <w:keepNext w:val="1"/>
        <w:keepLines w:val="1"/>
        <w:pageBreakBefore w:val="0"/>
        <w:widowControl w:val="0"/>
        <w:numPr>
          <w:ilvl w:val="0"/>
          <w:numId w:val="2"/>
        </w:numPr>
        <w:pBdr>
          <w:top w:space="0" w:sz="0" w:val="nil"/>
          <w:left w:space="0" w:sz="0" w:val="nil"/>
          <w:bottom w:space="0" w:sz="0" w:val="nil"/>
          <w:right w:space="0" w:sz="0" w:val="nil"/>
          <w:between w:space="0" w:sz="0" w:val="nil"/>
        </w:pBdr>
        <w:shd w:fill="auto" w:val="clear"/>
        <w:spacing w:after="240" w:before="480" w:line="230" w:lineRule="auto"/>
        <w:ind w:left="720" w:right="-4" w:hanging="36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Úvodní ustanovení</w:t>
      </w:r>
    </w:p>
    <w:p w:rsidR="00000000" w:rsidDel="00000000" w:rsidP="00000000" w:rsidRDefault="00000000" w:rsidRPr="00000000" w14:paraId="0000001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120" w:before="0" w:line="240" w:lineRule="auto"/>
        <w:ind w:left="360" w:right="-6" w:hanging="36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Příkazník je dceřinou společností Příkazce, v níž má Příkazce 100 % obchodní podíl a je jejím jediným společníkem. Příkazník je obchodní společností pověřenou ke </w:t>
      </w:r>
      <w:r w:rsidDel="00000000" w:rsidR="00000000" w:rsidRPr="00000000">
        <w:rPr>
          <w:rtl w:val="0"/>
        </w:rPr>
        <w:t xml:space="preserve">komercializaci</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výsledků výzkumu a vývoje Příkazce, tedy jako agentura pro transfer technologií ve smyslu čl. 1.3. písm. ee)  Sdělení Komise - Rámce pro státní podporu výzkumu, vývoje a inovací (2014/C 198/01 – dále jen  „Rámec“), zejména s cílem zajišťování šíření výsledků duševního vlastnictví Příkazce v rámci jeho tvůrčí činnosti v oblasti výzkumu a vývoje prostřednictvím transferu znalostí ve smyslu čl. 2.1.1  odst. 19. písm. b) Rámce, především za účelem zajištění využitelnosti těchto výsledků k obchodním, průmyslovým a obdobným účelům, s tím, že stěžejní činností Příkazníka je vyvíjet aktivity směřující  ke komercializaci práv průmyslového vlastnictví vlastněných Příkazcem a dalších práv duševního  vlastnictví, s nimiž je Příkazce oprávněn nakládat. </w:t>
      </w:r>
    </w:p>
    <w:p w:rsidR="00000000" w:rsidDel="00000000" w:rsidP="00000000" w:rsidRDefault="00000000" w:rsidRPr="00000000" w14:paraId="0000002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120" w:before="0" w:line="240" w:lineRule="auto"/>
        <w:ind w:left="357" w:right="-6" w:hanging="357"/>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Smluvní strany uzavřely dne</w:t>
      </w:r>
      <w:r w:rsidDel="00000000" w:rsidR="00000000" w:rsidRPr="00000000">
        <w:rPr>
          <w:rFonts w:ascii="Arial" w:cs="Arial" w:eastAsia="Arial" w:hAnsi="Arial"/>
          <w:b w:val="0"/>
          <w:i w:val="0"/>
          <w:smallCaps w:val="0"/>
          <w:strike w:val="0"/>
          <w:color w:val="000000"/>
          <w:sz w:val="21"/>
          <w:szCs w:val="21"/>
          <w:u w:val="none"/>
          <w:vertAlign w:val="baseline"/>
          <w:rtl w:val="0"/>
        </w:rPr>
        <w:t xml:space="preserve"> </w:t>
      </w:r>
      <w:r w:rsidDel="00000000" w:rsidR="00000000" w:rsidRPr="00000000">
        <w:rPr>
          <w:rtl w:val="0"/>
        </w:rPr>
        <w:t xml:space="preserve">1</w:t>
      </w:r>
      <w:r w:rsidDel="00000000" w:rsidR="00000000" w:rsidRPr="00000000">
        <w:rPr>
          <w:rFonts w:ascii="Arial" w:cs="Arial" w:eastAsia="Arial" w:hAnsi="Arial"/>
          <w:b w:val="0"/>
          <w:i w:val="0"/>
          <w:smallCaps w:val="0"/>
          <w:strike w:val="0"/>
          <w:color w:val="000000"/>
          <w:sz w:val="21"/>
          <w:szCs w:val="21"/>
          <w:u w:val="none"/>
          <w:vertAlign w:val="baseline"/>
          <w:rtl w:val="0"/>
        </w:rPr>
        <w:t xml:space="preserve">. </w:t>
      </w:r>
      <w:r w:rsidDel="00000000" w:rsidR="00000000" w:rsidRPr="00000000">
        <w:rPr>
          <w:rtl w:val="0"/>
        </w:rPr>
        <w:t xml:space="preserve">5</w:t>
      </w:r>
      <w:r w:rsidDel="00000000" w:rsidR="00000000" w:rsidRPr="00000000">
        <w:rPr>
          <w:rFonts w:ascii="Arial" w:cs="Arial" w:eastAsia="Arial" w:hAnsi="Arial"/>
          <w:b w:val="0"/>
          <w:i w:val="0"/>
          <w:smallCaps w:val="0"/>
          <w:strike w:val="0"/>
          <w:color w:val="000000"/>
          <w:sz w:val="21"/>
          <w:szCs w:val="21"/>
          <w:u w:val="none"/>
          <w:vertAlign w:val="baseline"/>
          <w:rtl w:val="0"/>
        </w:rPr>
        <w:t xml:space="preserve">. 202</w:t>
      </w:r>
      <w:r w:rsidDel="00000000" w:rsidR="00000000" w:rsidRPr="00000000">
        <w:rPr>
          <w:rtl w:val="0"/>
        </w:rPr>
        <w:t xml:space="preserve">2</w:t>
      </w:r>
      <w:r w:rsidDel="00000000" w:rsidR="00000000" w:rsidRPr="00000000">
        <w:rPr>
          <w:rFonts w:ascii="Arial" w:cs="Arial" w:eastAsia="Arial" w:hAnsi="Arial"/>
          <w:b w:val="0"/>
          <w:i w:val="0"/>
          <w:smallCaps w:val="0"/>
          <w:strike w:val="0"/>
          <w:color w:val="000000"/>
          <w:sz w:val="21"/>
          <w:szCs w:val="21"/>
          <w:u w:val="none"/>
          <w:vertAlign w:val="baseline"/>
          <w:rtl w:val="0"/>
        </w:rPr>
        <w:t xml:space="preserve"> R</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ámcovou smlouvu o spolupráci a obchodním zastoupení (dále jen „Rámcová smlouva“), na jejímž základě Příkazník vykonává pro Příkazce činnosti směřující ke komercializaci práv duševního vlastnictví, s nimiž je Příkazce oprávněn nakládat.</w:t>
      </w:r>
    </w:p>
    <w:p w:rsidR="00000000" w:rsidDel="00000000" w:rsidP="00000000" w:rsidRDefault="00000000" w:rsidRPr="00000000" w14:paraId="00000021">
      <w:pPr>
        <w:widowControl w:val="1"/>
        <w:pBdr>
          <w:top w:color="000000" w:space="0" w:sz="0" w:val="none"/>
          <w:left w:color="000000" w:space="0" w:sz="0" w:val="none"/>
          <w:bottom w:color="000000" w:space="0" w:sz="0" w:val="none"/>
          <w:right w:color="000000" w:space="0" w:sz="0" w:val="none"/>
          <w:between w:color="000000" w:space="0" w:sz="0" w:val="none"/>
        </w:pBdr>
        <w:spacing w:before="0" w:line="276" w:lineRule="auto"/>
        <w:ind w:right="0"/>
        <w:jc w:val="left"/>
        <w:rPr/>
      </w:pPr>
      <w:r w:rsidDel="00000000" w:rsidR="00000000" w:rsidRPr="00000000">
        <w:br w:type="page"/>
      </w:r>
      <w:r w:rsidDel="00000000" w:rsidR="00000000" w:rsidRPr="00000000">
        <w:rPr>
          <w:rtl w:val="0"/>
        </w:rPr>
      </w:r>
    </w:p>
    <w:p w:rsidR="00000000" w:rsidDel="00000000" w:rsidP="00000000" w:rsidRDefault="00000000" w:rsidRPr="00000000" w14:paraId="0000002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120" w:before="0" w:line="240" w:lineRule="auto"/>
        <w:ind w:left="357" w:right="-6" w:hanging="357"/>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V souladu s čl. III. Rámcové smlouvy uzavírají Smluvní strany tuto smlouvu s cílem specifikovat oprávnění Příkazníka jednat vůči třetím stranám, přičemž uzavření Smlouvy nemá vliv na Rámcovou smlouvu a Rámcová smlouva zůstává nadále v platnosti. V případě, že by Smlouva plně nepokryla jednání Příkazníka ve věci nakládání s Výsledkem výzkumu (jak je definován níže), uplatní se pro tato jednání Rámcová smlouva. V případě, že by Rámcová smlouva obsahovala omezení jednání Příkazníka nebo odlišnou úpravu ohledně rozsahu oprávnění nebo závazků Smluvních stran, platí ustanovení sjednané v této Smlouvě.</w:t>
      </w:r>
    </w:p>
    <w:p w:rsidR="00000000" w:rsidDel="00000000" w:rsidP="00000000" w:rsidRDefault="00000000" w:rsidRPr="00000000" w14:paraId="00000023">
      <w:pPr>
        <w:keepNext w:val="1"/>
        <w:keepLines w:val="1"/>
        <w:pageBreakBefore w:val="0"/>
        <w:widowControl w:val="0"/>
        <w:numPr>
          <w:ilvl w:val="0"/>
          <w:numId w:val="2"/>
        </w:numPr>
        <w:pBdr>
          <w:top w:space="0" w:sz="0" w:val="nil"/>
          <w:left w:space="0" w:sz="0" w:val="nil"/>
          <w:bottom w:space="0" w:sz="0" w:val="nil"/>
          <w:right w:space="0" w:sz="0" w:val="nil"/>
          <w:between w:space="0" w:sz="0" w:val="nil"/>
        </w:pBdr>
        <w:shd w:fill="auto" w:val="clear"/>
        <w:spacing w:after="240" w:before="480" w:line="230" w:lineRule="auto"/>
        <w:ind w:left="720" w:right="-4" w:hanging="36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Předmět Smlouvy </w:t>
      </w:r>
    </w:p>
    <w:p w:rsidR="00000000" w:rsidDel="00000000" w:rsidP="00000000" w:rsidRDefault="00000000" w:rsidRPr="00000000" w14:paraId="0000002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357" w:right="-6" w:hanging="357"/>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vertAlign w:val="baseline"/>
          <w:rtl w:val="0"/>
        </w:rPr>
        <w:t xml:space="preserve">Příkazce tímto Příkazníka zmocňuje, aby jednal jménem Příkazce ohledně následující záležitosti:  nakládání s právy a komercializace týkající se a/nebo související s vynálezem </w:t>
      </w:r>
      <w:r w:rsidDel="00000000" w:rsidR="00000000" w:rsidRPr="00000000">
        <w:rPr>
          <w:rtl w:val="0"/>
        </w:rPr>
        <w:t xml:space="preserve">XXXXXXXXXXXXXXXXXXXXXXXXXXXXXXXXXXXXXXXXXXXXXXXXXXXXXXX </w:t>
      </w:r>
      <w:r w:rsidDel="00000000" w:rsidR="00000000" w:rsidRPr="00000000">
        <w:rPr>
          <w:rFonts w:ascii="Arial" w:cs="Arial" w:eastAsia="Arial" w:hAnsi="Arial"/>
          <w:b w:val="0"/>
          <w:i w:val="0"/>
          <w:smallCaps w:val="0"/>
          <w:strike w:val="0"/>
          <w:color w:val="000000"/>
          <w:sz w:val="21"/>
          <w:szCs w:val="21"/>
          <w:u w:val="none"/>
          <w:vertAlign w:val="baseline"/>
          <w:rtl w:val="0"/>
        </w:rPr>
        <w:t xml:space="preserve">(dále jen „Vynález“) a dalších práv souvisejících s Vynálezem (a to včetně, ne však výlučně, patentové přihlášky k  Vynálezu, mezinárodní priority, databází, know-how a důvěrných informací), řízení směřující  k získání průmyslově-právní ochrany Vynálezu a jednání s průmyslově-právní ochranou Vynálezu  související (dále jen "Obchodní případ"). Smluvní strany se dohodly, že preferovanou variantou komercionalizace Vynálezu je založení </w:t>
      </w:r>
      <w:r w:rsidDel="00000000" w:rsidR="00000000" w:rsidRPr="00000000">
        <w:rPr>
          <w:rtl w:val="0"/>
        </w:rPr>
        <w:t xml:space="preserve">spin-off společnosti</w:t>
      </w:r>
      <w:r w:rsidDel="00000000" w:rsidR="00000000" w:rsidRPr="00000000">
        <w:rPr>
          <w:rFonts w:ascii="Arial" w:cs="Arial" w:eastAsia="Arial" w:hAnsi="Arial"/>
          <w:b w:val="0"/>
          <w:i w:val="0"/>
          <w:smallCaps w:val="0"/>
          <w:strike w:val="0"/>
          <w:color w:val="000000"/>
          <w:sz w:val="21"/>
          <w:szCs w:val="21"/>
          <w:u w:val="none"/>
          <w:vertAlign w:val="baseline"/>
          <w:rtl w:val="0"/>
        </w:rPr>
        <w:t xml:space="preserve">.</w:t>
      </w:r>
      <w:r w:rsidDel="00000000" w:rsidR="00000000" w:rsidRPr="00000000">
        <w:rPr>
          <w:rtl w:val="0"/>
        </w:rPr>
      </w:r>
    </w:p>
    <w:p w:rsidR="00000000" w:rsidDel="00000000" w:rsidP="00000000" w:rsidRDefault="00000000" w:rsidRPr="00000000" w14:paraId="0000002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357" w:right="-6" w:hanging="357"/>
        <w:jc w:val="both"/>
        <w:rPr>
          <w:rFonts w:ascii="Arial" w:cs="Arial" w:eastAsia="Arial" w:hAnsi="Arial"/>
          <w:b w:val="0"/>
          <w:i w:val="0"/>
          <w:smallCaps w:val="0"/>
          <w:strike w:val="0"/>
          <w:color w:val="000000"/>
          <w:sz w:val="21"/>
          <w:szCs w:val="21"/>
          <w:vertAlign w:val="baseline"/>
        </w:rPr>
      </w:pPr>
      <w:r w:rsidDel="00000000" w:rsidR="00000000" w:rsidRPr="00000000">
        <w:rPr>
          <w:rFonts w:ascii="Arial" w:cs="Arial" w:eastAsia="Arial" w:hAnsi="Arial"/>
          <w:b w:val="0"/>
          <w:i w:val="0"/>
          <w:smallCaps w:val="0"/>
          <w:strike w:val="0"/>
          <w:color w:val="000000"/>
          <w:sz w:val="21"/>
          <w:szCs w:val="21"/>
          <w:u w:val="none"/>
          <w:vertAlign w:val="baseline"/>
          <w:rtl w:val="0"/>
        </w:rPr>
        <w:t xml:space="preserve">Příkazce tímto výslovně zmocňuje Příkazníka k tomu, aby za něj:</w:t>
      </w:r>
      <w:r w:rsidDel="00000000" w:rsidR="00000000" w:rsidRPr="00000000">
        <w:rPr>
          <w:rtl w:val="0"/>
        </w:rPr>
      </w:r>
    </w:p>
    <w:p w:rsidR="00000000" w:rsidDel="00000000" w:rsidP="00000000" w:rsidRDefault="00000000" w:rsidRPr="00000000" w14:paraId="0000002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6" w:hanging="360"/>
        <w:jc w:val="both"/>
        <w:rPr>
          <w:rFonts w:ascii="Arial" w:cs="Arial" w:eastAsia="Arial" w:hAnsi="Arial"/>
          <w:b w:val="0"/>
          <w:i w:val="0"/>
          <w:smallCaps w:val="0"/>
          <w:strike w:val="0"/>
          <w:color w:val="000000"/>
          <w:sz w:val="21"/>
          <w:szCs w:val="21"/>
          <w:vertAlign w:val="baseline"/>
        </w:rPr>
      </w:pPr>
      <w:r w:rsidDel="00000000" w:rsidR="00000000" w:rsidRPr="00000000">
        <w:rPr>
          <w:rFonts w:ascii="Arial" w:cs="Arial" w:eastAsia="Arial" w:hAnsi="Arial"/>
          <w:b w:val="0"/>
          <w:i w:val="0"/>
          <w:smallCaps w:val="0"/>
          <w:strike w:val="0"/>
          <w:color w:val="000000"/>
          <w:sz w:val="21"/>
          <w:szCs w:val="21"/>
          <w:u w:val="none"/>
          <w:vertAlign w:val="baseline"/>
          <w:rtl w:val="0"/>
        </w:rPr>
        <w:t xml:space="preserve">vyjednával smlouvy, ujednání a právní jednání týkající se užití práv nebo převodu práv k Vynálezu, a to včetně předběžných dohod a záměrů;</w:t>
      </w:r>
      <w:r w:rsidDel="00000000" w:rsidR="00000000" w:rsidRPr="00000000">
        <w:rPr>
          <w:rtl w:val="0"/>
        </w:rPr>
      </w:r>
    </w:p>
    <w:p w:rsidR="00000000" w:rsidDel="00000000" w:rsidP="00000000" w:rsidRDefault="00000000" w:rsidRPr="00000000" w14:paraId="0000002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6" w:hanging="360"/>
        <w:jc w:val="both"/>
        <w:rPr>
          <w:rFonts w:ascii="Arial" w:cs="Arial" w:eastAsia="Arial" w:hAnsi="Arial"/>
          <w:b w:val="0"/>
          <w:i w:val="0"/>
          <w:smallCaps w:val="0"/>
          <w:strike w:val="0"/>
          <w:color w:val="000000"/>
          <w:sz w:val="21"/>
          <w:szCs w:val="21"/>
          <w:vertAlign w:val="baseline"/>
        </w:rPr>
      </w:pPr>
      <w:r w:rsidDel="00000000" w:rsidR="00000000" w:rsidRPr="00000000">
        <w:rPr>
          <w:rFonts w:ascii="Arial" w:cs="Arial" w:eastAsia="Arial" w:hAnsi="Arial"/>
          <w:b w:val="0"/>
          <w:i w:val="0"/>
          <w:smallCaps w:val="0"/>
          <w:strike w:val="0"/>
          <w:color w:val="000000"/>
          <w:sz w:val="21"/>
          <w:szCs w:val="21"/>
          <w:u w:val="none"/>
          <w:vertAlign w:val="baseline"/>
          <w:rtl w:val="0"/>
        </w:rPr>
        <w:t xml:space="preserve">přebíral veškeré dokumenty týkající se Obchodního případu; a </w:t>
      </w:r>
      <w:r w:rsidDel="00000000" w:rsidR="00000000" w:rsidRPr="00000000">
        <w:rPr>
          <w:rtl w:val="0"/>
        </w:rPr>
      </w:r>
    </w:p>
    <w:p w:rsidR="00000000" w:rsidDel="00000000" w:rsidP="00000000" w:rsidRDefault="00000000" w:rsidRPr="00000000" w14:paraId="0000002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6" w:hanging="360"/>
        <w:jc w:val="both"/>
        <w:rPr>
          <w:rFonts w:ascii="Arial" w:cs="Arial" w:eastAsia="Arial" w:hAnsi="Arial"/>
          <w:b w:val="0"/>
          <w:i w:val="0"/>
          <w:smallCaps w:val="0"/>
          <w:strike w:val="0"/>
          <w:color w:val="000000"/>
          <w:sz w:val="21"/>
          <w:szCs w:val="21"/>
          <w:vertAlign w:val="baseline"/>
        </w:rPr>
      </w:pPr>
      <w:r w:rsidDel="00000000" w:rsidR="00000000" w:rsidRPr="00000000">
        <w:rPr>
          <w:rFonts w:ascii="Arial" w:cs="Arial" w:eastAsia="Arial" w:hAnsi="Arial"/>
          <w:b w:val="0"/>
          <w:i w:val="0"/>
          <w:smallCaps w:val="0"/>
          <w:strike w:val="0"/>
          <w:color w:val="000000"/>
          <w:sz w:val="21"/>
          <w:szCs w:val="21"/>
          <w:u w:val="none"/>
          <w:vertAlign w:val="baseline"/>
          <w:rtl w:val="0"/>
        </w:rPr>
        <w:t xml:space="preserve">vyjednal veškeré další smlouvy či listiny, jež Příkazník bude podle svého uvážení považovat za nutné či vhodné v souvislosti s komercionalizací Vynálezu nebo které jsou předvídány ohledně Případu.</w:t>
      </w:r>
      <w:r w:rsidDel="00000000" w:rsidR="00000000" w:rsidRPr="00000000">
        <w:rPr>
          <w:rtl w:val="0"/>
        </w:rPr>
      </w:r>
    </w:p>
    <w:p w:rsidR="00000000" w:rsidDel="00000000" w:rsidP="00000000" w:rsidRDefault="00000000" w:rsidRPr="00000000" w14:paraId="0000002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357" w:right="-6" w:hanging="357"/>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Příkazník je dále zmocněn pro účely komercionalizace Vynálezu zajišťovat podpůrné služby třetích osob potřebných pro uzavření Obchodního případu, zvýšení hodnoty Vynálezu nebo jeho lepší propagaci. Příkazník je zejména oprávněn najímat právní, daňové, patentové nebo jiné poradce, zajišťovat mediální propagaci Vynálezu nebo zajišťovat jiné související služby. Náklady na tyto služby je Příkazník oprávněn přeúčtovat Příkazci, pokud Příkazce zapojení jednotlivých dodavatelů předem písemně schválil. Příkazník má nárok na úhradu hotových výdajů na externí služby potřebné pro splnění jeho závazku podle odst. 1, a to zejména na úhradu nákladů na patentové zástupce, ekonomické, finanční nebo právní poradce, soudní, správní nebo jiné poplatky a náklady, notářské služby nebo jiné odborné služby potřebné pro realizaci Obchodního případu, pokud Příkazce tyto výdaje předem schválí.</w:t>
      </w:r>
    </w:p>
    <w:p w:rsidR="00000000" w:rsidDel="00000000" w:rsidP="00000000" w:rsidRDefault="00000000" w:rsidRPr="00000000" w14:paraId="0000002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357" w:right="-6" w:hanging="357"/>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Příkazník je oprávněn požadovat změnu preferované podoby komercionalizace a vyžádat si pokyn k dalšímu postupu ohledně komercionalizace Vynálezu v případě, že v průběhu plnění této smlouvy se ukáže původně dohodnutá forma jako nevhodná</w:t>
      </w:r>
    </w:p>
    <w:p w:rsidR="00000000" w:rsidDel="00000000" w:rsidP="00000000" w:rsidRDefault="00000000" w:rsidRPr="00000000" w14:paraId="0000002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357" w:right="-6" w:hanging="357"/>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Odměna Příkazníka je sjednána v Rámcové smlouvě.</w:t>
      </w:r>
    </w:p>
    <w:p w:rsidR="00000000" w:rsidDel="00000000" w:rsidP="00000000" w:rsidRDefault="00000000" w:rsidRPr="00000000" w14:paraId="0000002C">
      <w:pPr>
        <w:keepNext w:val="1"/>
        <w:keepLines w:val="1"/>
        <w:pageBreakBefore w:val="0"/>
        <w:widowControl w:val="0"/>
        <w:numPr>
          <w:ilvl w:val="0"/>
          <w:numId w:val="2"/>
        </w:numPr>
        <w:pBdr>
          <w:top w:space="0" w:sz="0" w:val="nil"/>
          <w:left w:space="0" w:sz="0" w:val="nil"/>
          <w:bottom w:space="0" w:sz="0" w:val="nil"/>
          <w:right w:space="0" w:sz="0" w:val="nil"/>
          <w:between w:space="0" w:sz="0" w:val="nil"/>
        </w:pBdr>
        <w:shd w:fill="auto" w:val="clear"/>
        <w:spacing w:after="240" w:before="480" w:line="230" w:lineRule="auto"/>
        <w:ind w:left="720" w:right="-4" w:hanging="36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Závěrečná ustanovení </w:t>
      </w:r>
    </w:p>
    <w:p w:rsidR="00000000" w:rsidDel="00000000" w:rsidP="00000000" w:rsidRDefault="00000000" w:rsidRPr="00000000" w14:paraId="0000002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120" w:before="0" w:line="240" w:lineRule="auto"/>
        <w:ind w:left="360" w:right="-6" w:hanging="36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Tato Smlouva se uzavírá na dobu neurčitou, nejdéle však na dobu trvání Rámcové smlouvy o spolupráci a obchodním zastoupení. Smlouva nabývá platnosti dnem jejího podpisu a účinnosti dnem jejího zveřejnění v Registru smluv vedeném MV ČR.</w:t>
      </w:r>
    </w:p>
    <w:p w:rsidR="00000000" w:rsidDel="00000000" w:rsidP="00000000" w:rsidRDefault="00000000" w:rsidRPr="00000000" w14:paraId="0000002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120" w:before="0" w:line="240" w:lineRule="auto"/>
        <w:ind w:left="357" w:right="-6" w:hanging="357"/>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K ukončení právního vztahu založeného touto smlouvou může během jeho trvání dojít kdykoli na základě písemné dohody obou smluvních stran nebo písemné výpovědi v souladu s ustanovením § 2510 občanského zákoníku.</w:t>
      </w:r>
    </w:p>
    <w:p w:rsidR="00000000" w:rsidDel="00000000" w:rsidP="00000000" w:rsidRDefault="00000000" w:rsidRPr="00000000" w14:paraId="0000002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120" w:before="0" w:line="240" w:lineRule="auto"/>
        <w:ind w:left="357" w:right="-6" w:hanging="357"/>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Smluvní strany se dohodly, že uveřejnění Smlouvy v registru smluv zajistí Příkazce po jejím podpisu. Příkazce se zavazuje informovat Příkazníka o uveřejnění Smlouvy v registru smluv tak, že zašle Příkazníkovi kopii potvrzení správce registru smluv o uveřejnění Smlouvy bez zbytečného odkladu poté, kdy sám takové potvrzení obdrží, popř.  již v průvodním formuláři vyplní příslušnou kolonku s ID datové schránky Příkazníka (v takovém případě potvrzení od správce registru smluv o provedení registrace Smlouvy obdrží Smluvní strany zároveň).</w:t>
      </w:r>
    </w:p>
    <w:p w:rsidR="00000000" w:rsidDel="00000000" w:rsidP="00000000" w:rsidRDefault="00000000" w:rsidRPr="00000000" w14:paraId="0000003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120" w:before="0" w:line="240" w:lineRule="auto"/>
        <w:ind w:left="357" w:right="-6" w:hanging="357"/>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Bude-li shledáno nebo stane-li se některé ustanovení této Smlouvy neplatným, nevymahatelným nebo neúčinným, nedotýká se tato neplatnost, nevymahatelnost či neúčinnosti ostatních ustanovení této Smlouvy. </w:t>
      </w:r>
    </w:p>
    <w:p w:rsidR="00000000" w:rsidDel="00000000" w:rsidP="00000000" w:rsidRDefault="00000000" w:rsidRPr="00000000" w14:paraId="0000003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120" w:before="0" w:line="240" w:lineRule="auto"/>
        <w:ind w:left="357" w:right="-6" w:hanging="357"/>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Na právní vztahy Smluvních stran touto Smlouvou výslovně neupravené, se přiměřeně použijí příslušná ustanovení Příkazní smlouvy. Ustanovení této Smlouvy, která jsou odlišná od ustanovení Příkazní smlouvy, mají přednost.</w:t>
      </w:r>
    </w:p>
    <w:p w:rsidR="00000000" w:rsidDel="00000000" w:rsidP="00000000" w:rsidRDefault="00000000" w:rsidRPr="00000000" w14:paraId="0000003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120" w:before="0" w:line="240" w:lineRule="auto"/>
        <w:ind w:left="357" w:right="-6" w:hanging="357"/>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Veškeré změny a doplňky této Smlouvy vyžadují písemný souhlas obou Smluvních stran ve formě vzestupně číslovaných dodatků. </w:t>
      </w:r>
    </w:p>
    <w:p w:rsidR="00000000" w:rsidDel="00000000" w:rsidP="00000000" w:rsidRDefault="00000000" w:rsidRPr="00000000" w14:paraId="0000003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120" w:before="0" w:line="240" w:lineRule="auto"/>
        <w:ind w:left="357" w:right="-6" w:hanging="357"/>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Právní vztahy Smluvních stran vzniklé, plynoucí či související s touto Smlouvou se řídí právním řádem České republiky, zejména občanským zákoníkem. </w:t>
      </w:r>
    </w:p>
    <w:p w:rsidR="00000000" w:rsidDel="00000000" w:rsidP="00000000" w:rsidRDefault="00000000" w:rsidRPr="00000000" w14:paraId="0000003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120" w:before="0" w:line="240" w:lineRule="auto"/>
        <w:ind w:left="357" w:right="-6" w:hanging="357"/>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Tato Smlouva je sepsána ve dvou (2) vyhotoveních s platností originálu, z nichž Příkazník obdrží jedno (1) vyhotovení a Příkazce jedno (1) vyhotovení. </w:t>
      </w:r>
    </w:p>
    <w:p w:rsidR="00000000" w:rsidDel="00000000" w:rsidP="00000000" w:rsidRDefault="00000000" w:rsidRPr="00000000" w14:paraId="00000035">
      <w:pPr>
        <w:widowControl w:val="1"/>
        <w:spacing w:line="276" w:lineRule="auto"/>
        <w:rPr/>
      </w:pPr>
      <w:r w:rsidDel="00000000" w:rsidR="00000000" w:rsidRPr="00000000">
        <w:rPr>
          <w:rtl w:val="0"/>
        </w:rPr>
        <w:t xml:space="preserve">  </w:t>
      </w:r>
    </w:p>
    <w:p w:rsidR="00000000" w:rsidDel="00000000" w:rsidP="00000000" w:rsidRDefault="00000000" w:rsidRPr="00000000" w14:paraId="00000036">
      <w:pPr>
        <w:widowControl w:val="1"/>
        <w:spacing w:line="276" w:lineRule="auto"/>
        <w:rPr/>
      </w:pPr>
      <w:r w:rsidDel="00000000" w:rsidR="00000000" w:rsidRPr="00000000">
        <w:rPr>
          <w:rtl w:val="0"/>
        </w:rPr>
      </w:r>
    </w:p>
    <w:p w:rsidR="00000000" w:rsidDel="00000000" w:rsidP="00000000" w:rsidRDefault="00000000" w:rsidRPr="00000000" w14:paraId="00000037">
      <w:pPr>
        <w:widowControl w:val="1"/>
        <w:spacing w:line="276" w:lineRule="auto"/>
        <w:rPr/>
      </w:pPr>
      <w:r w:rsidDel="00000000" w:rsidR="00000000" w:rsidRPr="00000000">
        <w:rPr>
          <w:rtl w:val="0"/>
        </w:rPr>
      </w:r>
    </w:p>
    <w:p w:rsidR="00000000" w:rsidDel="00000000" w:rsidP="00000000" w:rsidRDefault="00000000" w:rsidRPr="00000000" w14:paraId="00000038">
      <w:pPr>
        <w:widowControl w:val="1"/>
        <w:spacing w:line="276" w:lineRule="auto"/>
        <w:rPr/>
      </w:pPr>
      <w:r w:rsidDel="00000000" w:rsidR="00000000" w:rsidRPr="00000000">
        <w:rPr>
          <w:rtl w:val="0"/>
        </w:rPr>
      </w:r>
    </w:p>
    <w:p w:rsidR="00000000" w:rsidDel="00000000" w:rsidP="00000000" w:rsidRDefault="00000000" w:rsidRPr="00000000" w14:paraId="00000039">
      <w:pPr>
        <w:widowControl w:val="1"/>
        <w:spacing w:line="276" w:lineRule="auto"/>
        <w:rPr/>
      </w:pPr>
      <w:r w:rsidDel="00000000" w:rsidR="00000000" w:rsidRPr="00000000">
        <w:rPr>
          <w:rtl w:val="0"/>
        </w:rPr>
      </w:r>
    </w:p>
    <w:p w:rsidR="00000000" w:rsidDel="00000000" w:rsidP="00000000" w:rsidRDefault="00000000" w:rsidRPr="00000000" w14:paraId="0000003A">
      <w:pPr>
        <w:widowControl w:val="1"/>
        <w:tabs>
          <w:tab w:val="left" w:leader="none" w:pos="5387"/>
        </w:tabs>
        <w:spacing w:line="276" w:lineRule="auto"/>
        <w:jc w:val="left"/>
        <w:rPr/>
      </w:pPr>
      <w:r w:rsidDel="00000000" w:rsidR="00000000" w:rsidRPr="00000000">
        <w:rPr>
          <w:rtl w:val="0"/>
        </w:rPr>
      </w:r>
    </w:p>
    <w:p w:rsidR="00000000" w:rsidDel="00000000" w:rsidP="00000000" w:rsidRDefault="00000000" w:rsidRPr="00000000" w14:paraId="0000003B">
      <w:pPr>
        <w:widowControl w:val="1"/>
        <w:tabs>
          <w:tab w:val="left" w:leader="none" w:pos="5387"/>
        </w:tabs>
        <w:spacing w:line="276" w:lineRule="auto"/>
        <w:jc w:val="left"/>
        <w:rPr/>
      </w:pPr>
      <w:r w:rsidDel="00000000" w:rsidR="00000000" w:rsidRPr="00000000">
        <w:rPr>
          <w:rtl w:val="0"/>
        </w:rPr>
        <w:t xml:space="preserve">__________________________</w:t>
      </w:r>
    </w:p>
    <w:p w:rsidR="00000000" w:rsidDel="00000000" w:rsidP="00000000" w:rsidRDefault="00000000" w:rsidRPr="00000000" w14:paraId="0000003C">
      <w:pPr>
        <w:widowControl w:val="1"/>
        <w:tabs>
          <w:tab w:val="left" w:leader="none" w:pos="5387"/>
        </w:tabs>
        <w:spacing w:line="276" w:lineRule="auto"/>
        <w:jc w:val="left"/>
        <w:rPr/>
      </w:pPr>
      <w:r w:rsidDel="00000000" w:rsidR="00000000" w:rsidRPr="00000000">
        <w:rPr>
          <w:rtl w:val="0"/>
        </w:rPr>
        <w:t xml:space="preserve">Ústav pro nanomateriály, pokročilé technologie a inovace</w:t>
      </w:r>
    </w:p>
    <w:p w:rsidR="00000000" w:rsidDel="00000000" w:rsidP="00000000" w:rsidRDefault="00000000" w:rsidRPr="00000000" w14:paraId="0000003D">
      <w:pPr>
        <w:widowControl w:val="1"/>
        <w:tabs>
          <w:tab w:val="left" w:leader="none" w:pos="5387"/>
        </w:tabs>
        <w:spacing w:line="276" w:lineRule="auto"/>
        <w:jc w:val="left"/>
        <w:rPr/>
      </w:pPr>
      <w:r w:rsidDel="00000000" w:rsidR="00000000" w:rsidRPr="00000000">
        <w:rPr>
          <w:rtl w:val="0"/>
        </w:rPr>
        <w:t xml:space="preserve">Technická univerzita v Liberci</w:t>
      </w:r>
    </w:p>
    <w:p w:rsidR="00000000" w:rsidDel="00000000" w:rsidP="00000000" w:rsidRDefault="00000000" w:rsidRPr="00000000" w14:paraId="0000003E">
      <w:pPr>
        <w:widowControl w:val="1"/>
        <w:tabs>
          <w:tab w:val="left" w:leader="none" w:pos="5529"/>
        </w:tabs>
        <w:spacing w:line="276" w:lineRule="auto"/>
        <w:rPr/>
      </w:pPr>
      <w:r w:rsidDel="00000000" w:rsidR="00000000" w:rsidRPr="00000000">
        <w:rPr>
          <w:rtl w:val="0"/>
        </w:rPr>
        <w:t xml:space="preserve">XXXXXXXXXXXXX</w:t>
      </w:r>
    </w:p>
    <w:p w:rsidR="00000000" w:rsidDel="00000000" w:rsidP="00000000" w:rsidRDefault="00000000" w:rsidRPr="00000000" w14:paraId="0000003F">
      <w:pPr>
        <w:widowControl w:val="1"/>
        <w:tabs>
          <w:tab w:val="left" w:leader="none" w:pos="5387"/>
        </w:tabs>
        <w:spacing w:line="276" w:lineRule="auto"/>
        <w:jc w:val="left"/>
        <w:rPr/>
      </w:pPr>
      <w:r w:rsidDel="00000000" w:rsidR="00000000" w:rsidRPr="00000000">
        <w:rPr>
          <w:rtl w:val="0"/>
        </w:rPr>
        <w:t xml:space="preserve">11. 10. 2023</w:t>
      </w:r>
    </w:p>
    <w:p w:rsidR="00000000" w:rsidDel="00000000" w:rsidP="00000000" w:rsidRDefault="00000000" w:rsidRPr="00000000" w14:paraId="00000040">
      <w:pPr>
        <w:widowControl w:val="1"/>
        <w:tabs>
          <w:tab w:val="left" w:leader="none" w:pos="5387"/>
        </w:tabs>
        <w:spacing w:line="276" w:lineRule="auto"/>
        <w:jc w:val="left"/>
        <w:rPr/>
      </w:pPr>
      <w:r w:rsidDel="00000000" w:rsidR="00000000" w:rsidRPr="00000000">
        <w:rPr>
          <w:rtl w:val="0"/>
        </w:rPr>
      </w:r>
    </w:p>
    <w:p w:rsidR="00000000" w:rsidDel="00000000" w:rsidP="00000000" w:rsidRDefault="00000000" w:rsidRPr="00000000" w14:paraId="00000041">
      <w:pPr>
        <w:widowControl w:val="1"/>
        <w:tabs>
          <w:tab w:val="left" w:leader="none" w:pos="5387"/>
        </w:tabs>
        <w:spacing w:line="276" w:lineRule="auto"/>
        <w:jc w:val="left"/>
        <w:rPr/>
      </w:pPr>
      <w:r w:rsidDel="00000000" w:rsidR="00000000" w:rsidRPr="00000000">
        <w:rPr>
          <w:rtl w:val="0"/>
        </w:rPr>
      </w:r>
    </w:p>
    <w:p w:rsidR="00000000" w:rsidDel="00000000" w:rsidP="00000000" w:rsidRDefault="00000000" w:rsidRPr="00000000" w14:paraId="00000042">
      <w:pPr>
        <w:widowControl w:val="1"/>
        <w:tabs>
          <w:tab w:val="left" w:leader="none" w:pos="5387"/>
        </w:tabs>
        <w:spacing w:line="276" w:lineRule="auto"/>
        <w:jc w:val="left"/>
        <w:rPr/>
      </w:pPr>
      <w:r w:rsidDel="00000000" w:rsidR="00000000" w:rsidRPr="00000000">
        <w:rPr>
          <w:rtl w:val="0"/>
        </w:rPr>
        <w:t xml:space="preserve">__________________________</w:t>
        <w:tab/>
        <w:t xml:space="preserve">__________________________</w:t>
      </w:r>
    </w:p>
    <w:p w:rsidR="00000000" w:rsidDel="00000000" w:rsidP="00000000" w:rsidRDefault="00000000" w:rsidRPr="00000000" w14:paraId="00000043">
      <w:pPr>
        <w:widowControl w:val="1"/>
        <w:tabs>
          <w:tab w:val="left" w:leader="none" w:pos="284"/>
          <w:tab w:val="left" w:leader="none" w:pos="5529"/>
        </w:tabs>
        <w:spacing w:line="276" w:lineRule="auto"/>
        <w:rPr/>
      </w:pPr>
      <w:r w:rsidDel="00000000" w:rsidR="00000000" w:rsidRPr="00000000">
        <w:rPr>
          <w:rtl w:val="0"/>
        </w:rPr>
        <w:t xml:space="preserve">The University Company TUL, spol. s r.o. </w:t>
        <w:tab/>
        <w:t xml:space="preserve">Technická univerzita v Liberci</w:t>
      </w:r>
    </w:p>
    <w:p w:rsidR="00000000" w:rsidDel="00000000" w:rsidP="00000000" w:rsidRDefault="00000000" w:rsidRPr="00000000" w14:paraId="00000044">
      <w:pPr>
        <w:widowControl w:val="1"/>
        <w:tabs>
          <w:tab w:val="left" w:leader="none" w:pos="5529"/>
        </w:tabs>
        <w:spacing w:line="276" w:lineRule="auto"/>
        <w:rPr/>
      </w:pPr>
      <w:r w:rsidDel="00000000" w:rsidR="00000000" w:rsidRPr="00000000">
        <w:rPr>
          <w:rtl w:val="0"/>
        </w:rPr>
        <w:t xml:space="preserve">XXXXXXXXXXXXX</w:t>
        <w:tab/>
        <w:t xml:space="preserve">XXXXXXXXXXXXX</w:t>
      </w:r>
    </w:p>
    <w:p w:rsidR="00000000" w:rsidDel="00000000" w:rsidP="00000000" w:rsidRDefault="00000000" w:rsidRPr="00000000" w14:paraId="00000045">
      <w:pPr>
        <w:widowControl w:val="1"/>
        <w:tabs>
          <w:tab w:val="left" w:leader="none" w:pos="5529"/>
        </w:tabs>
        <w:spacing w:line="276" w:lineRule="auto"/>
        <w:rPr/>
      </w:pPr>
      <w:r w:rsidDel="00000000" w:rsidR="00000000" w:rsidRPr="00000000">
        <w:rPr>
          <w:rtl w:val="0"/>
        </w:rPr>
        <w:t xml:space="preserve">10. 10. 2023</w:t>
        <w:tab/>
        <w:t xml:space="preserve">13. 10. 2023</w:t>
      </w:r>
    </w:p>
    <w:sectPr>
      <w:pgSz w:h="16840" w:w="11900" w:orient="portrait"/>
      <w:pgMar w:bottom="1417"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
    <w:lvl w:ilvl="0">
      <w:start w:val="1"/>
      <w:numFmt w:val="upperRoman"/>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1"/>
        <w:szCs w:val="21"/>
        <w:lang w:val="cs-CZ"/>
      </w:rPr>
    </w:rPrDefault>
    <w:pPrDefault>
      <w:pPr>
        <w:widowControl w:val="0"/>
        <w:spacing w:before="118" w:line="230" w:lineRule="auto"/>
        <w:ind w:right="-4"/>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480" w:lineRule="auto"/>
      <w:ind w:left="720" w:hanging="360"/>
      <w:jc w:val="center"/>
    </w:pPr>
    <w:rPr>
      <w:b w:val="1"/>
      <w:sz w:val="22"/>
      <w:szCs w:val="22"/>
    </w:rPr>
  </w:style>
  <w:style w:type="paragraph" w:styleId="Heading2">
    <w:name w:val="heading 2"/>
    <w:basedOn w:val="Normal"/>
    <w:next w:val="Normal"/>
    <w:pPr>
      <w:spacing w:after="120" w:before="0" w:line="240" w:lineRule="auto"/>
      <w:ind w:right="-6"/>
    </w:pPr>
    <w:rPr/>
  </w:style>
  <w:style w:type="paragraph" w:styleId="Heading3">
    <w:name w:val="heading 3"/>
    <w:basedOn w:val="Normal"/>
    <w:next w:val="Normal"/>
    <w:pPr>
      <w:spacing w:after="120" w:before="0" w:line="240" w:lineRule="auto"/>
      <w:ind w:right="-6"/>
    </w:pPr>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480" w:lineRule="auto"/>
      <w:ind w:left="360" w:hanging="360"/>
      <w:jc w:val="center"/>
    </w:pPr>
    <w:rPr>
      <w:b w:val="1"/>
      <w:sz w:val="22"/>
      <w:szCs w:val="22"/>
    </w:rPr>
  </w:style>
  <w:style w:type="paragraph" w:styleId="Heading2">
    <w:name w:val="heading 2"/>
    <w:basedOn w:val="Normal"/>
    <w:next w:val="Normal"/>
    <w:pPr>
      <w:spacing w:after="120" w:before="0" w:line="240" w:lineRule="auto"/>
      <w:ind w:right="-6"/>
    </w:pPr>
    <w:rPr/>
  </w:style>
  <w:style w:type="paragraph" w:styleId="Heading3">
    <w:name w:val="heading 3"/>
    <w:basedOn w:val="Normal"/>
    <w:next w:val="Normal"/>
    <w:pPr>
      <w:spacing w:after="120" w:before="0" w:line="240" w:lineRule="auto"/>
      <w:ind w:right="-6"/>
    </w:pPr>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480" w:lineRule="auto"/>
      <w:ind w:left="720" w:hanging="360"/>
      <w:jc w:val="center"/>
    </w:pPr>
    <w:rPr>
      <w:b w:val="1"/>
      <w:sz w:val="22"/>
      <w:szCs w:val="22"/>
    </w:rPr>
  </w:style>
  <w:style w:type="paragraph" w:styleId="Heading2">
    <w:name w:val="heading 2"/>
    <w:basedOn w:val="Normal"/>
    <w:next w:val="Normal"/>
    <w:pPr>
      <w:spacing w:after="120" w:before="0" w:line="240" w:lineRule="auto"/>
      <w:ind w:left="360" w:right="-6" w:hanging="360"/>
    </w:pPr>
    <w:rPr/>
  </w:style>
  <w:style w:type="paragraph" w:styleId="Heading3">
    <w:name w:val="heading 3"/>
    <w:basedOn w:val="Normal"/>
    <w:next w:val="Normal"/>
    <w:pPr>
      <w:spacing w:after="120" w:before="0" w:line="240" w:lineRule="auto"/>
      <w:ind w:left="360" w:right="-6" w:hanging="360"/>
    </w:pPr>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ln" w:default="1">
    <w:name w:val="Normal"/>
    <w:qFormat w:val="1"/>
    <w:rsid w:val="0048704B"/>
    <w:pPr>
      <w:widowControl w:val="0"/>
      <w:pBdr>
        <w:top w:space="0" w:sz="0" w:val="nil"/>
        <w:left w:space="0" w:sz="0" w:val="nil"/>
        <w:bottom w:space="0" w:sz="0" w:val="nil"/>
        <w:right w:space="0" w:sz="0" w:val="nil"/>
        <w:between w:space="0" w:sz="0" w:val="nil"/>
      </w:pBdr>
      <w:spacing w:before="118" w:line="230" w:lineRule="auto"/>
      <w:ind w:right="-4"/>
      <w:jc w:val="both"/>
    </w:pPr>
    <w:rPr>
      <w:rFonts w:eastAsia="Times New Roman"/>
      <w:color w:val="000000"/>
      <w:sz w:val="21"/>
      <w:szCs w:val="21"/>
    </w:rPr>
  </w:style>
  <w:style w:type="paragraph" w:styleId="Nadpis1">
    <w:name w:val="heading 1"/>
    <w:basedOn w:val="Normln"/>
    <w:next w:val="Normln"/>
    <w:uiPriority w:val="9"/>
    <w:qFormat w:val="1"/>
    <w:rsid w:val="00D368D8"/>
    <w:pPr>
      <w:keepNext w:val="1"/>
      <w:keepLines w:val="1"/>
      <w:numPr>
        <w:numId w:val="1"/>
      </w:numPr>
      <w:spacing w:after="240" w:before="480"/>
      <w:jc w:val="center"/>
      <w:outlineLvl w:val="0"/>
    </w:pPr>
    <w:rPr>
      <w:b w:val="1"/>
      <w:sz w:val="22"/>
    </w:rPr>
  </w:style>
  <w:style w:type="paragraph" w:styleId="Nadpis2">
    <w:name w:val="heading 2"/>
    <w:basedOn w:val="Normln"/>
    <w:next w:val="Normln"/>
    <w:uiPriority w:val="9"/>
    <w:unhideWhenUsed w:val="1"/>
    <w:qFormat w:val="1"/>
    <w:rsid w:val="00986548"/>
    <w:pPr>
      <w:numPr>
        <w:numId w:val="5"/>
      </w:numPr>
      <w:spacing w:after="120" w:before="0" w:line="240" w:lineRule="auto"/>
      <w:ind w:right="-6"/>
      <w:outlineLvl w:val="1"/>
    </w:pPr>
    <w:rPr>
      <w:bCs w:val="1"/>
    </w:rPr>
  </w:style>
  <w:style w:type="paragraph" w:styleId="Nadpis3">
    <w:name w:val="heading 3"/>
    <w:basedOn w:val="Nadpis2"/>
    <w:next w:val="Normln"/>
    <w:uiPriority w:val="9"/>
    <w:unhideWhenUsed w:val="1"/>
    <w:qFormat w:val="1"/>
    <w:rsid w:val="00E56123"/>
    <w:pPr>
      <w:numPr>
        <w:ilvl w:val="1"/>
      </w:numPr>
      <w:outlineLvl w:val="2"/>
    </w:pPr>
  </w:style>
  <w:style w:type="paragraph" w:styleId="Nadpis4">
    <w:name w:val="heading 4"/>
    <w:basedOn w:val="Normln"/>
    <w:next w:val="Normln"/>
    <w:uiPriority w:val="9"/>
    <w:semiHidden w:val="1"/>
    <w:unhideWhenUsed w:val="1"/>
    <w:qFormat w:val="1"/>
    <w:pPr>
      <w:keepNext w:val="1"/>
      <w:keepLines w:val="1"/>
      <w:spacing w:after="40" w:before="240"/>
      <w:outlineLvl w:val="3"/>
    </w:pPr>
    <w:rPr>
      <w:b w:val="1"/>
      <w:sz w:val="24"/>
      <w:szCs w:val="24"/>
    </w:rPr>
  </w:style>
  <w:style w:type="paragraph" w:styleId="Nadpis5">
    <w:name w:val="heading 5"/>
    <w:basedOn w:val="Normln"/>
    <w:next w:val="Normln"/>
    <w:uiPriority w:val="9"/>
    <w:semiHidden w:val="1"/>
    <w:unhideWhenUsed w:val="1"/>
    <w:qFormat w:val="1"/>
    <w:pPr>
      <w:keepNext w:val="1"/>
      <w:keepLines w:val="1"/>
      <w:spacing w:after="40" w:before="220"/>
      <w:outlineLvl w:val="4"/>
    </w:pPr>
    <w:rPr>
      <w:b w:val="1"/>
      <w:sz w:val="22"/>
      <w:szCs w:val="22"/>
    </w:rPr>
  </w:style>
  <w:style w:type="paragraph" w:styleId="Nadpis6">
    <w:name w:val="heading 6"/>
    <w:basedOn w:val="Normln"/>
    <w:next w:val="Normln"/>
    <w:uiPriority w:val="9"/>
    <w:semiHidden w:val="1"/>
    <w:unhideWhenUsed w:val="1"/>
    <w:qFormat w:val="1"/>
    <w:pPr>
      <w:keepNext w:val="1"/>
      <w:keepLines w:val="1"/>
      <w:spacing w:after="40" w:before="200"/>
      <w:outlineLvl w:val="5"/>
    </w:pPr>
    <w:rPr>
      <w:b w:val="1"/>
      <w:sz w:val="20"/>
      <w:szCs w:val="20"/>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Nzev">
    <w:name w:val="Title"/>
    <w:basedOn w:val="Normln"/>
    <w:next w:val="Normln"/>
    <w:uiPriority w:val="10"/>
    <w:qFormat w:val="1"/>
    <w:pPr>
      <w:keepNext w:val="1"/>
      <w:keepLines w:val="1"/>
      <w:spacing w:after="120" w:before="480"/>
    </w:pPr>
    <w:rPr>
      <w:b w:val="1"/>
      <w:sz w:val="72"/>
      <w:szCs w:val="72"/>
    </w:rPr>
  </w:style>
  <w:style w:type="paragraph" w:styleId="Podnadpis">
    <w:name w:val="Subtitle"/>
    <w:basedOn w:val="Normln"/>
    <w:next w:val="Normln"/>
    <w:uiPriority w:val="11"/>
    <w:qFormat w:val="1"/>
    <w:pPr>
      <w:keepNext w:val="1"/>
      <w:keepLines w:val="1"/>
      <w:spacing w:after="80" w:before="360"/>
    </w:pPr>
    <w:rPr>
      <w:rFonts w:ascii="Georgia" w:cs="Georgia" w:eastAsia="Georgia" w:hAnsi="Georgia"/>
      <w:i w:val="1"/>
      <w:color w:val="666666"/>
      <w:sz w:val="48"/>
      <w:szCs w:val="48"/>
    </w:rPr>
  </w:style>
  <w:style w:type="paragraph" w:styleId="Odstavecseseznamem">
    <w:name w:val="List Paragraph"/>
    <w:basedOn w:val="Normln"/>
    <w:uiPriority w:val="34"/>
    <w:qFormat w:val="1"/>
    <w:rsid w:val="0048704B"/>
    <w:pPr>
      <w:ind w:left="720"/>
      <w:contextualSpacing w:val="1"/>
    </w:pPr>
  </w:style>
  <w:style w:type="paragraph" w:styleId="Revize">
    <w:name w:val="Revision"/>
    <w:hidden w:val="1"/>
    <w:uiPriority w:val="99"/>
    <w:semiHidden w:val="1"/>
    <w:rsid w:val="00A82FB5"/>
    <w:pPr>
      <w:spacing w:line="240" w:lineRule="auto"/>
    </w:pPr>
    <w:rPr>
      <w:rFonts w:eastAsia="Times New Roman"/>
      <w:color w:val="000000"/>
      <w:sz w:val="21"/>
      <w:szCs w:val="21"/>
    </w:rPr>
  </w:style>
  <w:style w:type="character" w:styleId="Odkaznakoment">
    <w:name w:val="annotation reference"/>
    <w:basedOn w:val="Standardnpsmoodstavce"/>
    <w:uiPriority w:val="99"/>
    <w:semiHidden w:val="1"/>
    <w:unhideWhenUsed w:val="1"/>
    <w:rsid w:val="00A82FB5"/>
    <w:rPr>
      <w:sz w:val="16"/>
      <w:szCs w:val="16"/>
    </w:rPr>
  </w:style>
  <w:style w:type="paragraph" w:styleId="Textkomente">
    <w:name w:val="annotation text"/>
    <w:basedOn w:val="Normln"/>
    <w:link w:val="TextkomenteChar"/>
    <w:uiPriority w:val="99"/>
    <w:unhideWhenUsed w:val="1"/>
    <w:rsid w:val="00A82FB5"/>
    <w:pPr>
      <w:spacing w:line="240" w:lineRule="auto"/>
    </w:pPr>
    <w:rPr>
      <w:sz w:val="20"/>
      <w:szCs w:val="20"/>
    </w:rPr>
  </w:style>
  <w:style w:type="character" w:styleId="TextkomenteChar" w:customStyle="1">
    <w:name w:val="Text komentáře Char"/>
    <w:basedOn w:val="Standardnpsmoodstavce"/>
    <w:link w:val="Textkomente"/>
    <w:uiPriority w:val="99"/>
    <w:rsid w:val="00A82FB5"/>
    <w:rPr>
      <w:rFonts w:eastAsia="Times New Roman"/>
      <w:color w:val="000000"/>
      <w:sz w:val="20"/>
      <w:szCs w:val="20"/>
    </w:rPr>
  </w:style>
  <w:style w:type="paragraph" w:styleId="Pedmtkomente">
    <w:name w:val="annotation subject"/>
    <w:basedOn w:val="Textkomente"/>
    <w:next w:val="Textkomente"/>
    <w:link w:val="PedmtkomenteChar"/>
    <w:uiPriority w:val="99"/>
    <w:semiHidden w:val="1"/>
    <w:unhideWhenUsed w:val="1"/>
    <w:rsid w:val="00A82FB5"/>
    <w:rPr>
      <w:b w:val="1"/>
      <w:bCs w:val="1"/>
    </w:rPr>
  </w:style>
  <w:style w:type="character" w:styleId="PedmtkomenteChar" w:customStyle="1">
    <w:name w:val="Předmět komentáře Char"/>
    <w:basedOn w:val="TextkomenteChar"/>
    <w:link w:val="Pedmtkomente"/>
    <w:uiPriority w:val="99"/>
    <w:semiHidden w:val="1"/>
    <w:rsid w:val="00A82FB5"/>
    <w:rPr>
      <w:rFonts w:eastAsia="Times New Roman"/>
      <w:b w:val="1"/>
      <w:bCs w:val="1"/>
      <w:color w:val="000000"/>
      <w:sz w:val="20"/>
      <w:szCs w:val="20"/>
    </w:rPr>
  </w:style>
  <w:style w:type="paragraph" w:styleId="Textbubliny">
    <w:name w:val="Balloon Text"/>
    <w:basedOn w:val="Normln"/>
    <w:link w:val="TextbublinyChar"/>
    <w:uiPriority w:val="99"/>
    <w:semiHidden w:val="1"/>
    <w:unhideWhenUsed w:val="1"/>
    <w:rsid w:val="00B37417"/>
    <w:pPr>
      <w:spacing w:before="0" w:line="240" w:lineRule="auto"/>
    </w:pPr>
    <w:rPr>
      <w:rFonts w:ascii="Segoe UI" w:cs="Segoe UI" w:hAnsi="Segoe UI"/>
      <w:sz w:val="18"/>
      <w:szCs w:val="18"/>
    </w:rPr>
  </w:style>
  <w:style w:type="character" w:styleId="TextbublinyChar" w:customStyle="1">
    <w:name w:val="Text bubliny Char"/>
    <w:basedOn w:val="Standardnpsmoodstavce"/>
    <w:link w:val="Textbubliny"/>
    <w:uiPriority w:val="99"/>
    <w:semiHidden w:val="1"/>
    <w:rsid w:val="00B37417"/>
    <w:rPr>
      <w:rFonts w:ascii="Segoe UI" w:cs="Segoe UI" w:eastAsia="Times New Roman" w:hAnsi="Segoe UI"/>
      <w:color w:val="000000"/>
      <w:sz w:val="18"/>
      <w:szCs w:val="18"/>
    </w:rPr>
  </w:style>
  <w:style w:type="paragraph" w:styleId="Zhlav">
    <w:name w:val="header"/>
    <w:basedOn w:val="Normln"/>
    <w:link w:val="ZhlavChar"/>
    <w:uiPriority w:val="99"/>
    <w:unhideWhenUsed w:val="1"/>
    <w:rsid w:val="00986548"/>
    <w:pPr>
      <w:tabs>
        <w:tab w:val="center" w:pos="4536"/>
        <w:tab w:val="right" w:pos="9072"/>
      </w:tabs>
      <w:spacing w:before="0" w:line="240" w:lineRule="auto"/>
    </w:pPr>
  </w:style>
  <w:style w:type="character" w:styleId="ZhlavChar" w:customStyle="1">
    <w:name w:val="Záhlaví Char"/>
    <w:basedOn w:val="Standardnpsmoodstavce"/>
    <w:link w:val="Zhlav"/>
    <w:uiPriority w:val="99"/>
    <w:rsid w:val="00986548"/>
    <w:rPr>
      <w:rFonts w:eastAsia="Times New Roman"/>
      <w:color w:val="000000"/>
      <w:sz w:val="21"/>
      <w:szCs w:val="21"/>
    </w:rPr>
  </w:style>
  <w:style w:type="paragraph" w:styleId="Zpat">
    <w:name w:val="footer"/>
    <w:basedOn w:val="Normln"/>
    <w:link w:val="ZpatChar"/>
    <w:uiPriority w:val="99"/>
    <w:unhideWhenUsed w:val="1"/>
    <w:rsid w:val="00986548"/>
    <w:pPr>
      <w:tabs>
        <w:tab w:val="center" w:pos="4536"/>
        <w:tab w:val="right" w:pos="9072"/>
      </w:tabs>
      <w:spacing w:before="0" w:line="240" w:lineRule="auto"/>
    </w:pPr>
  </w:style>
  <w:style w:type="character" w:styleId="ZpatChar" w:customStyle="1">
    <w:name w:val="Zápatí Char"/>
    <w:basedOn w:val="Standardnpsmoodstavce"/>
    <w:link w:val="Zpat"/>
    <w:uiPriority w:val="99"/>
    <w:rsid w:val="00986548"/>
    <w:rPr>
      <w:rFonts w:eastAsia="Times New Roman"/>
      <w:color w:val="000000"/>
      <w:sz w:val="21"/>
      <w:szCs w:val="2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30" w:lineRule="auto"/>
      <w:ind w:left="0" w:right="-4" w:firstLine="0"/>
      <w:jc w:val="both"/>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30" w:lineRule="auto"/>
      <w:ind w:left="0" w:right="-4" w:firstLine="0"/>
      <w:jc w:val="both"/>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e+FZPFNg2ZW+RabO4uRY6fKsYA==">CgMxLjA4AHIhMXJfaFpFRWJJOGctWUpiTTlzNHBBdXVValFSUmp1UzJL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2022-08-11T07:49:00Z</dcterms:created>
  <dc:creator>tereza.stejskalova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0x01010052E94656508C6347B1868D2D3E7107C8</vt:lpwstr>
  </property>
</Properties>
</file>