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C672" w14:textId="207CB8EC" w:rsidR="0058225D" w:rsidRPr="008D5C49" w:rsidRDefault="005A2313" w:rsidP="006B7D39">
      <w:pPr>
        <w:spacing w:after="120" w:line="240" w:lineRule="auto"/>
        <w:jc w:val="center"/>
        <w:rPr>
          <w:b/>
          <w:bCs/>
        </w:rPr>
      </w:pPr>
      <w:r w:rsidRPr="008D5C49">
        <w:rPr>
          <w:b/>
          <w:bCs/>
        </w:rPr>
        <w:t xml:space="preserve">Dodatek č. </w:t>
      </w:r>
      <w:r w:rsidR="00D5362E">
        <w:rPr>
          <w:b/>
          <w:bCs/>
        </w:rPr>
        <w:t>2</w:t>
      </w:r>
    </w:p>
    <w:p w14:paraId="740CC3D9" w14:textId="29689798" w:rsidR="005A2313" w:rsidRDefault="005A2313" w:rsidP="006B7D39">
      <w:pPr>
        <w:spacing w:after="120" w:line="240" w:lineRule="auto"/>
        <w:jc w:val="center"/>
      </w:pPr>
      <w:r>
        <w:t xml:space="preserve">Ke Smlouvě o pronájmu nebytových prostor ze dne </w:t>
      </w:r>
      <w:r w:rsidR="00AD4136">
        <w:t>21.04.2017</w:t>
      </w:r>
      <w:r>
        <w:t>, který níže uvedeného dne, měsíce, roku uzavírají tito účastníci</w:t>
      </w:r>
    </w:p>
    <w:p w14:paraId="28C26421" w14:textId="77777777" w:rsidR="005A2313" w:rsidRDefault="005A2313" w:rsidP="006B7D39">
      <w:pPr>
        <w:spacing w:after="120" w:line="240" w:lineRule="auto"/>
      </w:pPr>
    </w:p>
    <w:p w14:paraId="4488090D" w14:textId="77777777" w:rsidR="006B7D39" w:rsidRPr="00F2295F" w:rsidRDefault="006B7D39" w:rsidP="006B7D39">
      <w:pPr>
        <w:spacing w:after="120" w:line="240" w:lineRule="auto"/>
        <w:jc w:val="center"/>
        <w:rPr>
          <w:rFonts w:ascii="Calibri" w:hAnsi="Calibri" w:cs="Calibri"/>
          <w:b/>
        </w:rPr>
      </w:pPr>
      <w:r w:rsidRPr="00F2295F">
        <w:rPr>
          <w:rFonts w:ascii="Calibri" w:hAnsi="Calibri" w:cs="Calibri"/>
          <w:b/>
        </w:rPr>
        <w:t>Článek I.</w:t>
      </w:r>
    </w:p>
    <w:p w14:paraId="31D00101" w14:textId="77777777" w:rsidR="006B7D39" w:rsidRPr="00F2295F" w:rsidRDefault="006B7D39" w:rsidP="006B7D39">
      <w:pPr>
        <w:spacing w:after="120" w:line="240" w:lineRule="auto"/>
        <w:jc w:val="center"/>
        <w:rPr>
          <w:rFonts w:ascii="Calibri" w:hAnsi="Calibri" w:cs="Calibri"/>
          <w:b/>
        </w:rPr>
      </w:pPr>
      <w:r w:rsidRPr="00F2295F">
        <w:rPr>
          <w:rFonts w:ascii="Calibri" w:hAnsi="Calibri" w:cs="Calibri"/>
          <w:b/>
        </w:rPr>
        <w:t>Smluvní strany</w:t>
      </w:r>
    </w:p>
    <w:p w14:paraId="13C34F92" w14:textId="77777777" w:rsidR="006B7D39" w:rsidRDefault="006B7D39" w:rsidP="006B7D39">
      <w:pPr>
        <w:spacing w:after="120" w:line="240" w:lineRule="auto"/>
      </w:pPr>
    </w:p>
    <w:p w14:paraId="46D03D1A" w14:textId="77777777" w:rsidR="006B7D39" w:rsidRPr="006B7D39" w:rsidRDefault="006B7D39" w:rsidP="006B7D39">
      <w:pPr>
        <w:spacing w:after="0" w:line="240" w:lineRule="auto"/>
        <w:rPr>
          <w:rFonts w:ascii="Calibri" w:hAnsi="Calibri" w:cs="Calibri"/>
          <w:b/>
          <w:bCs/>
        </w:rPr>
      </w:pPr>
      <w:r w:rsidRPr="006B7D39">
        <w:rPr>
          <w:rFonts w:ascii="Calibri" w:hAnsi="Calibri" w:cs="Calibri"/>
        </w:rPr>
        <w:t>Pronajímatel:</w:t>
      </w:r>
      <w:r w:rsidRPr="006B7D39">
        <w:rPr>
          <w:rFonts w:ascii="Calibri" w:hAnsi="Calibri" w:cs="Calibri"/>
        </w:rPr>
        <w:tab/>
      </w:r>
      <w:r w:rsidRPr="006B7D39">
        <w:rPr>
          <w:rFonts w:ascii="Calibri" w:hAnsi="Calibri" w:cs="Calibri"/>
          <w:b/>
          <w:bCs/>
        </w:rPr>
        <w:t>Město Rýmařov, náměstí Míru 230/1, 795 01 Rýmařov</w:t>
      </w:r>
    </w:p>
    <w:p w14:paraId="3DC4D69A" w14:textId="77777777" w:rsidR="006B7D39" w:rsidRPr="006B7D39" w:rsidRDefault="006B7D39" w:rsidP="006B7D39">
      <w:pPr>
        <w:spacing w:after="0" w:line="240" w:lineRule="auto"/>
        <w:ind w:firstLine="425"/>
        <w:rPr>
          <w:rFonts w:ascii="Calibri" w:hAnsi="Calibri" w:cs="Calibri"/>
          <w:b/>
          <w:bCs/>
        </w:rPr>
      </w:pPr>
      <w:r w:rsidRPr="006B7D39">
        <w:rPr>
          <w:rFonts w:ascii="Calibri" w:hAnsi="Calibri" w:cs="Calibri"/>
          <w:b/>
          <w:bCs/>
        </w:rPr>
        <w:tab/>
      </w:r>
      <w:r w:rsidRPr="006B7D39">
        <w:rPr>
          <w:rFonts w:ascii="Calibri" w:hAnsi="Calibri" w:cs="Calibri"/>
          <w:b/>
          <w:bCs/>
        </w:rPr>
        <w:tab/>
        <w:t>IČO: 00296317</w:t>
      </w:r>
    </w:p>
    <w:p w14:paraId="4369A8B6" w14:textId="77777777" w:rsidR="006B7D39" w:rsidRPr="006B7D39" w:rsidRDefault="006B7D39" w:rsidP="006B7D39">
      <w:pPr>
        <w:spacing w:after="0" w:line="240" w:lineRule="auto"/>
        <w:ind w:firstLine="425"/>
        <w:rPr>
          <w:rFonts w:ascii="Calibri" w:hAnsi="Calibri" w:cs="Calibri"/>
          <w:b/>
          <w:bCs/>
        </w:rPr>
      </w:pPr>
      <w:r w:rsidRPr="006B7D39">
        <w:rPr>
          <w:rFonts w:ascii="Calibri" w:hAnsi="Calibri" w:cs="Calibri"/>
          <w:b/>
          <w:bCs/>
        </w:rPr>
        <w:tab/>
      </w:r>
      <w:r w:rsidRPr="006B7D39">
        <w:rPr>
          <w:rFonts w:ascii="Calibri" w:hAnsi="Calibri" w:cs="Calibri"/>
          <w:b/>
          <w:bCs/>
        </w:rPr>
        <w:tab/>
        <w:t>DIČ: CZ00296317</w:t>
      </w:r>
    </w:p>
    <w:p w14:paraId="477A34FE" w14:textId="62FB928B" w:rsidR="006B7D39" w:rsidRPr="006B7D39" w:rsidRDefault="006B7D39" w:rsidP="006B7D39">
      <w:pPr>
        <w:spacing w:after="0" w:line="240" w:lineRule="auto"/>
        <w:ind w:firstLine="425"/>
        <w:rPr>
          <w:rFonts w:ascii="Calibri" w:hAnsi="Calibri" w:cs="Calibri"/>
          <w:b/>
          <w:bCs/>
        </w:rPr>
      </w:pPr>
      <w:r w:rsidRPr="006B7D39">
        <w:rPr>
          <w:rFonts w:ascii="Calibri" w:hAnsi="Calibri" w:cs="Calibri"/>
          <w:b/>
          <w:bCs/>
        </w:rPr>
        <w:tab/>
      </w:r>
      <w:r w:rsidRPr="006B7D39">
        <w:rPr>
          <w:rFonts w:ascii="Calibri" w:hAnsi="Calibri" w:cs="Calibri"/>
          <w:b/>
          <w:bCs/>
        </w:rPr>
        <w:tab/>
        <w:t>zastoupen</w:t>
      </w:r>
      <w:r w:rsidR="00CF7F9E">
        <w:rPr>
          <w:rFonts w:ascii="Calibri" w:hAnsi="Calibri" w:cs="Calibri"/>
          <w:b/>
          <w:bCs/>
        </w:rPr>
        <w:t>é</w:t>
      </w:r>
      <w:r w:rsidRPr="006B7D39">
        <w:rPr>
          <w:rFonts w:ascii="Calibri" w:hAnsi="Calibri" w:cs="Calibri"/>
          <w:b/>
          <w:bCs/>
        </w:rPr>
        <w:t xml:space="preserve"> starostou Ing. Luďkem Šimko</w:t>
      </w:r>
    </w:p>
    <w:p w14:paraId="364FDD2D" w14:textId="77777777" w:rsidR="006B7D39" w:rsidRDefault="006B7D39" w:rsidP="006B7D39">
      <w:pPr>
        <w:spacing w:after="0" w:line="240" w:lineRule="auto"/>
        <w:rPr>
          <w:rFonts w:ascii="Calibri" w:hAnsi="Calibri" w:cs="Calibri"/>
        </w:rPr>
      </w:pPr>
    </w:p>
    <w:p w14:paraId="30E4C637" w14:textId="77777777" w:rsidR="006B7D39" w:rsidRDefault="006B7D39" w:rsidP="006B7D39">
      <w:pPr>
        <w:spacing w:after="0" w:line="240" w:lineRule="auto"/>
        <w:rPr>
          <w:rFonts w:ascii="Calibri" w:hAnsi="Calibri" w:cs="Calibri"/>
        </w:rPr>
      </w:pPr>
      <w:r>
        <w:rPr>
          <w:rFonts w:ascii="Calibri" w:hAnsi="Calibri" w:cs="Calibri"/>
        </w:rPr>
        <w:t xml:space="preserve">a </w:t>
      </w:r>
    </w:p>
    <w:p w14:paraId="5394EEAA" w14:textId="77777777" w:rsidR="006B7D39" w:rsidRPr="006B7D39" w:rsidRDefault="006B7D39" w:rsidP="006B7D39">
      <w:pPr>
        <w:spacing w:after="0" w:line="240" w:lineRule="auto"/>
        <w:rPr>
          <w:rFonts w:ascii="Calibri" w:hAnsi="Calibri" w:cs="Calibri"/>
        </w:rPr>
      </w:pPr>
    </w:p>
    <w:p w14:paraId="1394E2ED" w14:textId="743AB38D" w:rsidR="006B7D39" w:rsidRPr="006B7D39" w:rsidRDefault="006B7D39" w:rsidP="006B7D39">
      <w:pPr>
        <w:spacing w:after="0" w:line="240" w:lineRule="auto"/>
        <w:rPr>
          <w:rFonts w:ascii="Calibri" w:hAnsi="Calibri" w:cs="Calibri"/>
          <w:b/>
          <w:bCs/>
        </w:rPr>
      </w:pPr>
      <w:r w:rsidRPr="006B7D39">
        <w:rPr>
          <w:rFonts w:ascii="Calibri" w:hAnsi="Calibri" w:cs="Calibri"/>
        </w:rPr>
        <w:t>Nájemce</w:t>
      </w:r>
      <w:r>
        <w:rPr>
          <w:rFonts w:ascii="Calibri" w:hAnsi="Calibri" w:cs="Calibri"/>
        </w:rPr>
        <w:t>:</w:t>
      </w:r>
      <w:r>
        <w:rPr>
          <w:rFonts w:ascii="Calibri" w:hAnsi="Calibri" w:cs="Calibri"/>
        </w:rPr>
        <w:tab/>
      </w:r>
      <w:r w:rsidR="00D5362E" w:rsidRPr="00D5362E">
        <w:rPr>
          <w:rFonts w:ascii="Calibri" w:hAnsi="Calibri" w:cs="Calibri"/>
          <w:b/>
          <w:bCs/>
        </w:rPr>
        <w:t>MUDr</w:t>
      </w:r>
      <w:r w:rsidR="00D5362E">
        <w:rPr>
          <w:rFonts w:ascii="Calibri" w:hAnsi="Calibri" w:cs="Calibri"/>
        </w:rPr>
        <w:t xml:space="preserve">. </w:t>
      </w:r>
      <w:r w:rsidR="00D5362E">
        <w:rPr>
          <w:rFonts w:ascii="Calibri" w:hAnsi="Calibri" w:cs="Calibri"/>
          <w:b/>
          <w:bCs/>
        </w:rPr>
        <w:t>Darja La</w:t>
      </w:r>
      <w:r w:rsidR="00057005">
        <w:rPr>
          <w:rFonts w:ascii="Calibri" w:hAnsi="Calibri" w:cs="Calibri"/>
          <w:b/>
          <w:bCs/>
        </w:rPr>
        <w:t>šáková</w:t>
      </w:r>
    </w:p>
    <w:p w14:paraId="51D2588A" w14:textId="67F014A0" w:rsidR="006B7D39" w:rsidRPr="006B7D39" w:rsidRDefault="006B7D39" w:rsidP="006B7D39">
      <w:pPr>
        <w:spacing w:after="0" w:line="240" w:lineRule="auto"/>
        <w:ind w:left="708" w:firstLine="708"/>
        <w:rPr>
          <w:rFonts w:ascii="Calibri" w:hAnsi="Calibri" w:cs="Calibri"/>
          <w:b/>
          <w:bCs/>
        </w:rPr>
      </w:pPr>
      <w:r w:rsidRPr="006B7D39">
        <w:rPr>
          <w:rFonts w:ascii="Calibri" w:hAnsi="Calibri" w:cs="Calibri"/>
          <w:b/>
          <w:bCs/>
        </w:rPr>
        <w:t xml:space="preserve">se sídlem: </w:t>
      </w:r>
      <w:r w:rsidR="00A9323B">
        <w:rPr>
          <w:rFonts w:ascii="Calibri" w:hAnsi="Calibri" w:cs="Calibri"/>
          <w:b/>
          <w:bCs/>
        </w:rPr>
        <w:t>795 01  Rýmařov, Pivovarská 255/11</w:t>
      </w:r>
    </w:p>
    <w:p w14:paraId="0D9B9A0D" w14:textId="7D35E2F2" w:rsidR="006B7D39" w:rsidRPr="006B7D39" w:rsidRDefault="006B7D39" w:rsidP="006B7D39">
      <w:pPr>
        <w:spacing w:after="0" w:line="240" w:lineRule="auto"/>
        <w:ind w:left="708" w:firstLine="708"/>
        <w:rPr>
          <w:rFonts w:ascii="Calibri" w:hAnsi="Calibri" w:cs="Calibri"/>
          <w:b/>
          <w:bCs/>
        </w:rPr>
      </w:pPr>
      <w:r w:rsidRPr="006B7D39">
        <w:rPr>
          <w:rFonts w:ascii="Calibri" w:hAnsi="Calibri" w:cs="Calibri"/>
          <w:b/>
          <w:bCs/>
        </w:rPr>
        <w:t xml:space="preserve">IČ: </w:t>
      </w:r>
      <w:r w:rsidR="00AD4136">
        <w:rPr>
          <w:rFonts w:ascii="Calibri" w:hAnsi="Calibri" w:cs="Calibri"/>
          <w:b/>
          <w:bCs/>
        </w:rPr>
        <w:t>02072718</w:t>
      </w:r>
    </w:p>
    <w:p w14:paraId="108F0D51" w14:textId="77777777" w:rsidR="002914A7" w:rsidRDefault="002914A7" w:rsidP="006B7D39">
      <w:pPr>
        <w:spacing w:after="120" w:line="240" w:lineRule="auto"/>
      </w:pPr>
    </w:p>
    <w:p w14:paraId="5AFE9512" w14:textId="77777777" w:rsidR="00F034BB" w:rsidRPr="00F034BB" w:rsidRDefault="00F034BB" w:rsidP="00F034BB">
      <w:pPr>
        <w:spacing w:after="120" w:line="240" w:lineRule="auto"/>
        <w:jc w:val="center"/>
        <w:rPr>
          <w:b/>
          <w:bCs/>
        </w:rPr>
      </w:pPr>
      <w:r w:rsidRPr="00F034BB">
        <w:rPr>
          <w:b/>
          <w:bCs/>
        </w:rPr>
        <w:t>Článek II.</w:t>
      </w:r>
    </w:p>
    <w:p w14:paraId="73A9B9AA" w14:textId="77777777" w:rsidR="006B7D39" w:rsidRDefault="006B7D39" w:rsidP="006B7D39">
      <w:pPr>
        <w:spacing w:after="120" w:line="240" w:lineRule="auto"/>
      </w:pPr>
    </w:p>
    <w:p w14:paraId="51449EB3" w14:textId="6831DACD" w:rsidR="00162972" w:rsidRPr="006B7D39" w:rsidRDefault="00162972" w:rsidP="00162972">
      <w:pPr>
        <w:spacing w:after="0" w:line="240" w:lineRule="auto"/>
        <w:jc w:val="both"/>
        <w:rPr>
          <w:rFonts w:ascii="Calibri" w:hAnsi="Calibri" w:cs="Calibri"/>
          <w:b/>
          <w:bCs/>
        </w:rPr>
      </w:pPr>
      <w:r>
        <w:t xml:space="preserve">Společnost </w:t>
      </w:r>
      <w:r w:rsidR="00AD4136">
        <w:t xml:space="preserve">Cresco&amp;finance a.s., se sídlem Krnov – pod Bezručovým vrchem, Revoluční 904/30, </w:t>
      </w:r>
      <w:r w:rsidR="00CF7F9E">
        <w:br/>
      </w:r>
      <w:r w:rsidR="00AD4136">
        <w:t>IČ 27755177</w:t>
      </w:r>
      <w:r w:rsidR="00A54834">
        <w:t xml:space="preserve"> (dále jen Vlastník</w:t>
      </w:r>
      <w:r w:rsidR="0007652E">
        <w:t xml:space="preserve"> 1</w:t>
      </w:r>
      <w:r w:rsidR="00A54834">
        <w:t>)</w:t>
      </w:r>
      <w:r>
        <w:t xml:space="preserve">, uzavřela jako pronajímatel dne </w:t>
      </w:r>
      <w:r w:rsidR="00AD4136">
        <w:t>21.04.2017</w:t>
      </w:r>
      <w:r>
        <w:t xml:space="preserve"> s</w:t>
      </w:r>
      <w:r w:rsidR="00AD4136">
        <w:t> MUDr. Darjou Lašákovou</w:t>
      </w:r>
      <w:r>
        <w:t xml:space="preserve">, se sídlem </w:t>
      </w:r>
      <w:r w:rsidR="00AD4136">
        <w:t>Pivovarská 255/11</w:t>
      </w:r>
      <w:r>
        <w:t xml:space="preserve">, </w:t>
      </w:r>
      <w:r w:rsidR="00AD4136">
        <w:t>Rýmařov</w:t>
      </w:r>
      <w:r>
        <w:t>, IČ</w:t>
      </w:r>
      <w:r w:rsidR="00AD4136">
        <w:t>O 02072718</w:t>
      </w:r>
      <w:r>
        <w:t xml:space="preserve">, </w:t>
      </w:r>
      <w:r w:rsidR="00A54834">
        <w:t xml:space="preserve">jako </w:t>
      </w:r>
      <w:r w:rsidR="00F034BB">
        <w:t>n</w:t>
      </w:r>
      <w:r w:rsidR="00A54834">
        <w:t xml:space="preserve">ájemcem Smlouvu o pronájmu nebytových prostor. Kupní smlouvou ze dne </w:t>
      </w:r>
      <w:r w:rsidR="00F713E8">
        <w:t>16.09.2022</w:t>
      </w:r>
      <w:r w:rsidR="00A54834">
        <w:t xml:space="preserve"> s právními účinky vkladu dne </w:t>
      </w:r>
      <w:r w:rsidR="00F713E8">
        <w:t>26.10.2022</w:t>
      </w:r>
      <w:r w:rsidR="00A54834">
        <w:t xml:space="preserve"> došlo k převodu vlastnického práva k Objektu z</w:t>
      </w:r>
      <w:r w:rsidR="00F034BB">
        <w:t xml:space="preserve"> Vlastníka </w:t>
      </w:r>
      <w:r w:rsidR="0007652E">
        <w:t>1</w:t>
      </w:r>
      <w:r w:rsidR="00F034BB">
        <w:t xml:space="preserve"> </w:t>
      </w:r>
      <w:r w:rsidR="00A54834">
        <w:t xml:space="preserve">na město Rýmařov, </w:t>
      </w:r>
      <w:r w:rsidR="00F034BB">
        <w:t xml:space="preserve">se sídlem Rýmařov, náměstí Míru 230/1, IČ 00296317 (dále jen Pronajímatel). S ohledem na shora popsaný převod vlastnického práva k Objektu, ve kterém se nachází předmět nájmu, nájemní vztah založený nájemní smlouvou s předchozím Vlastníkem </w:t>
      </w:r>
      <w:r w:rsidR="00F713E8">
        <w:t xml:space="preserve">1 </w:t>
      </w:r>
      <w:r w:rsidR="00F034BB">
        <w:t xml:space="preserve">trvá i nadále, přičemž okamžikem nabytí vlastnictví k Objektu </w:t>
      </w:r>
      <w:r w:rsidR="00A575BE">
        <w:t>přešla na</w:t>
      </w:r>
      <w:r w:rsidR="00F034BB">
        <w:t xml:space="preserve"> město Rýmařov v tomto nájemním vztahu </w:t>
      </w:r>
      <w:r w:rsidR="00A575BE">
        <w:t>práva a povinnosti</w:t>
      </w:r>
      <w:r w:rsidR="00F034BB">
        <w:t xml:space="preserve"> pronajímatele.</w:t>
      </w:r>
    </w:p>
    <w:p w14:paraId="50892140" w14:textId="77777777" w:rsidR="0016445D" w:rsidRDefault="00162972" w:rsidP="006B7D39">
      <w:pPr>
        <w:spacing w:after="120" w:line="240" w:lineRule="auto"/>
      </w:pPr>
      <w:r>
        <w:t xml:space="preserve"> </w:t>
      </w:r>
    </w:p>
    <w:p w14:paraId="37CD877E" w14:textId="77777777" w:rsidR="002914A7" w:rsidRDefault="002914A7" w:rsidP="006B7D39">
      <w:pPr>
        <w:spacing w:after="120" w:line="240" w:lineRule="auto"/>
      </w:pPr>
    </w:p>
    <w:p w14:paraId="62D3AE2F" w14:textId="77777777" w:rsidR="006B7D39" w:rsidRPr="00F2295F" w:rsidRDefault="006B7D39" w:rsidP="006B7D39">
      <w:pPr>
        <w:jc w:val="center"/>
        <w:rPr>
          <w:rFonts w:ascii="Calibri" w:hAnsi="Calibri" w:cs="Calibri"/>
          <w:b/>
        </w:rPr>
      </w:pPr>
      <w:r w:rsidRPr="00F2295F">
        <w:rPr>
          <w:rFonts w:ascii="Calibri" w:hAnsi="Calibri" w:cs="Calibri"/>
          <w:b/>
        </w:rPr>
        <w:t>Článek I</w:t>
      </w:r>
      <w:r w:rsidR="00F034BB">
        <w:rPr>
          <w:rFonts w:ascii="Calibri" w:hAnsi="Calibri" w:cs="Calibri"/>
          <w:b/>
        </w:rPr>
        <w:t>I</w:t>
      </w:r>
      <w:r w:rsidRPr="00F2295F">
        <w:rPr>
          <w:rFonts w:ascii="Calibri" w:hAnsi="Calibri" w:cs="Calibri"/>
          <w:b/>
        </w:rPr>
        <w:t>I.</w:t>
      </w:r>
    </w:p>
    <w:p w14:paraId="6DCE30DD" w14:textId="5BA3D16C" w:rsidR="006B7D39" w:rsidRDefault="006B7D39" w:rsidP="00CF7F9E">
      <w:pPr>
        <w:spacing w:after="120" w:line="240" w:lineRule="auto"/>
        <w:jc w:val="both"/>
      </w:pPr>
      <w:r>
        <w:t>Tímto dodatkem smlouvy se účastníci dohodli</w:t>
      </w:r>
      <w:r w:rsidR="00BB6EA1">
        <w:t xml:space="preserve"> s účinností od 1.10.2023</w:t>
      </w:r>
      <w:r>
        <w:t xml:space="preserve"> na změně článku </w:t>
      </w:r>
      <w:r w:rsidR="002E13A1">
        <w:t>II</w:t>
      </w:r>
      <w:r>
        <w:t>.</w:t>
      </w:r>
      <w:r w:rsidR="00A63D5C">
        <w:t xml:space="preserve"> a V.</w:t>
      </w:r>
      <w:r>
        <w:t xml:space="preserve"> smlouvy, který nově zní takto:</w:t>
      </w:r>
    </w:p>
    <w:p w14:paraId="1B2B228E" w14:textId="634D8C94" w:rsidR="00CF7F9E" w:rsidRDefault="00CF7F9E" w:rsidP="00CF7F9E">
      <w:pPr>
        <w:spacing w:after="120" w:line="240" w:lineRule="auto"/>
        <w:jc w:val="center"/>
        <w:rPr>
          <w:b/>
          <w:bCs/>
        </w:rPr>
      </w:pPr>
      <w:r w:rsidRPr="00CF7F9E">
        <w:rPr>
          <w:b/>
          <w:bCs/>
        </w:rPr>
        <w:t>II.</w:t>
      </w:r>
    </w:p>
    <w:p w14:paraId="7A1A2AC8" w14:textId="38E9256D" w:rsidR="00CF7F9E" w:rsidRPr="00CF7F9E" w:rsidRDefault="00CF7F9E" w:rsidP="00CF7F9E">
      <w:pPr>
        <w:spacing w:after="120" w:line="240" w:lineRule="auto"/>
        <w:jc w:val="center"/>
        <w:rPr>
          <w:b/>
          <w:bCs/>
        </w:rPr>
      </w:pPr>
      <w:r>
        <w:rPr>
          <w:b/>
          <w:bCs/>
        </w:rPr>
        <w:t>Předmět nájmu</w:t>
      </w:r>
    </w:p>
    <w:p w14:paraId="6BF7B3DB" w14:textId="58507AA2" w:rsidR="00992D1E" w:rsidRDefault="00992D1E" w:rsidP="00CF7F9E">
      <w:pPr>
        <w:pStyle w:val="Odstavecseseznamem"/>
        <w:numPr>
          <w:ilvl w:val="0"/>
          <w:numId w:val="5"/>
        </w:numPr>
        <w:spacing w:after="120" w:line="240" w:lineRule="auto"/>
        <w:jc w:val="both"/>
      </w:pPr>
      <w:r>
        <w:t>Předmětem nájmu jsou nebytové prostory – lékařská ambulance</w:t>
      </w:r>
      <w:r w:rsidR="00A63D5C">
        <w:t xml:space="preserve">, odběrová místnost, nacházející se ve II. nadzemním podlaží, </w:t>
      </w:r>
      <w:r w:rsidR="00CF7F9E">
        <w:t xml:space="preserve">dále </w:t>
      </w:r>
      <w:r w:rsidR="00A63D5C">
        <w:t>místnost č. 3.31 a č. 3.30, vše o celkové výměře 133,74 m2.</w:t>
      </w:r>
    </w:p>
    <w:p w14:paraId="7DB90D6A" w14:textId="77777777" w:rsidR="00BB6EA1" w:rsidRDefault="00BB6EA1" w:rsidP="00BB6EA1">
      <w:pPr>
        <w:pStyle w:val="Odstavecseseznamem"/>
        <w:spacing w:after="120" w:line="240" w:lineRule="auto"/>
      </w:pPr>
    </w:p>
    <w:p w14:paraId="1A358ECA" w14:textId="5729C6E7" w:rsidR="006B7D39" w:rsidRDefault="00BB6EA1" w:rsidP="00CF7F9E">
      <w:pPr>
        <w:pStyle w:val="Odstavecseseznamem"/>
        <w:numPr>
          <w:ilvl w:val="0"/>
          <w:numId w:val="5"/>
        </w:numPr>
        <w:spacing w:after="120" w:line="240" w:lineRule="auto"/>
        <w:jc w:val="both"/>
      </w:pPr>
      <w:r>
        <w:t>Pronajímatel tedy touto smlouvou nájemci pronajímá shora popsaný nebytový prostor. Nájemce se seznámil se stavem nebytového prostoru a v tomto stavu jej do nájmu přebírá.</w:t>
      </w:r>
    </w:p>
    <w:p w14:paraId="75A700ED" w14:textId="77777777" w:rsidR="00BB6EA1" w:rsidRDefault="00BB6EA1" w:rsidP="006B7D39">
      <w:pPr>
        <w:spacing w:after="120" w:line="240" w:lineRule="auto"/>
      </w:pPr>
    </w:p>
    <w:p w14:paraId="243C5975" w14:textId="77777777" w:rsidR="00BB6EA1" w:rsidRDefault="00BB6EA1" w:rsidP="006B7D39">
      <w:pPr>
        <w:spacing w:after="120" w:line="240" w:lineRule="auto"/>
      </w:pPr>
    </w:p>
    <w:p w14:paraId="5B349146" w14:textId="4523B9C1" w:rsidR="00BB6EA1" w:rsidRPr="00CF7F9E" w:rsidRDefault="00CF7F9E" w:rsidP="00CF7F9E">
      <w:pPr>
        <w:spacing w:after="120" w:line="240" w:lineRule="auto"/>
        <w:jc w:val="center"/>
        <w:rPr>
          <w:b/>
          <w:bCs/>
        </w:rPr>
      </w:pPr>
      <w:r w:rsidRPr="00CF7F9E">
        <w:rPr>
          <w:b/>
          <w:bCs/>
        </w:rPr>
        <w:lastRenderedPageBreak/>
        <w:t>V.</w:t>
      </w:r>
    </w:p>
    <w:p w14:paraId="59D3301E" w14:textId="473F7F07" w:rsidR="00CF7F9E" w:rsidRPr="00CF7F9E" w:rsidRDefault="00CF7F9E" w:rsidP="00CF7F9E">
      <w:pPr>
        <w:spacing w:after="120" w:line="240" w:lineRule="auto"/>
        <w:jc w:val="center"/>
        <w:rPr>
          <w:b/>
          <w:bCs/>
        </w:rPr>
      </w:pPr>
      <w:r w:rsidRPr="00CF7F9E">
        <w:rPr>
          <w:b/>
          <w:bCs/>
        </w:rPr>
        <w:t>Nájemné a fixní poplatek za služby</w:t>
      </w:r>
    </w:p>
    <w:p w14:paraId="122E0248" w14:textId="77777777" w:rsidR="002773F5" w:rsidRPr="00F713E8" w:rsidRDefault="002773F5" w:rsidP="002773F5">
      <w:pPr>
        <w:pStyle w:val="Prosttext"/>
        <w:jc w:val="both"/>
        <w:rPr>
          <w:rFonts w:ascii="Calibri" w:hAnsi="Calibri" w:cs="Calibri"/>
          <w:sz w:val="22"/>
          <w:szCs w:val="22"/>
        </w:rPr>
      </w:pPr>
    </w:p>
    <w:tbl>
      <w:tblPr>
        <w:tblW w:w="985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0"/>
        <w:gridCol w:w="890"/>
        <w:gridCol w:w="1056"/>
        <w:gridCol w:w="969"/>
        <w:gridCol w:w="846"/>
        <w:gridCol w:w="1005"/>
        <w:gridCol w:w="976"/>
        <w:gridCol w:w="846"/>
        <w:gridCol w:w="1185"/>
        <w:gridCol w:w="922"/>
      </w:tblGrid>
      <w:tr w:rsidR="00272A72" w14:paraId="4061F985" w14:textId="05D49392" w:rsidTr="00272A72">
        <w:trPr>
          <w:trHeight w:val="630"/>
        </w:trPr>
        <w:tc>
          <w:tcPr>
            <w:tcW w:w="1172" w:type="dxa"/>
            <w:vMerge w:val="restart"/>
          </w:tcPr>
          <w:p w14:paraId="3DE0B6F2" w14:textId="77777777" w:rsidR="00703FE7" w:rsidRDefault="00703FE7" w:rsidP="002773F5">
            <w:pPr>
              <w:pStyle w:val="Prosttext"/>
              <w:ind w:left="418"/>
              <w:jc w:val="both"/>
              <w:rPr>
                <w:rFonts w:ascii="Calibri" w:hAnsi="Calibri" w:cs="Calibri"/>
                <w:sz w:val="22"/>
                <w:szCs w:val="22"/>
              </w:rPr>
            </w:pPr>
          </w:p>
          <w:p w14:paraId="08987545" w14:textId="597E2E10" w:rsidR="00703FE7" w:rsidRDefault="00703FE7" w:rsidP="002773F5">
            <w:pPr>
              <w:pStyle w:val="Prosttext"/>
              <w:ind w:left="418"/>
              <w:jc w:val="both"/>
              <w:rPr>
                <w:rFonts w:ascii="Calibri" w:hAnsi="Calibri" w:cs="Calibri"/>
                <w:sz w:val="22"/>
                <w:szCs w:val="22"/>
              </w:rPr>
            </w:pPr>
            <w:r>
              <w:rPr>
                <w:rFonts w:ascii="Calibri" w:hAnsi="Calibri" w:cs="Calibri"/>
                <w:sz w:val="22"/>
                <w:szCs w:val="22"/>
              </w:rPr>
              <w:t>m2</w:t>
            </w:r>
          </w:p>
          <w:p w14:paraId="1EB5D2BA" w14:textId="77777777" w:rsidR="00703FE7" w:rsidRDefault="00703FE7" w:rsidP="00E27DD1">
            <w:pPr>
              <w:pStyle w:val="Prosttext"/>
              <w:jc w:val="both"/>
              <w:rPr>
                <w:rFonts w:ascii="Calibri" w:hAnsi="Calibri" w:cs="Calibri"/>
                <w:sz w:val="22"/>
                <w:szCs w:val="22"/>
              </w:rPr>
            </w:pPr>
          </w:p>
        </w:tc>
        <w:tc>
          <w:tcPr>
            <w:tcW w:w="2928" w:type="dxa"/>
            <w:gridSpan w:val="3"/>
          </w:tcPr>
          <w:p w14:paraId="7B110C0B" w14:textId="77777777" w:rsidR="00703FE7" w:rsidRDefault="00703FE7" w:rsidP="002773F5">
            <w:pPr>
              <w:pStyle w:val="Prosttext"/>
              <w:ind w:left="418"/>
              <w:jc w:val="both"/>
              <w:rPr>
                <w:rFonts w:ascii="Calibri" w:hAnsi="Calibri" w:cs="Calibri"/>
                <w:sz w:val="22"/>
                <w:szCs w:val="22"/>
              </w:rPr>
            </w:pPr>
            <w:r>
              <w:rPr>
                <w:rFonts w:ascii="Calibri" w:hAnsi="Calibri" w:cs="Calibri"/>
                <w:sz w:val="22"/>
                <w:szCs w:val="22"/>
              </w:rPr>
              <w:t xml:space="preserve">        </w:t>
            </w:r>
          </w:p>
          <w:p w14:paraId="32565A46" w14:textId="77777777" w:rsidR="00703FE7" w:rsidRDefault="00703FE7" w:rsidP="00703FE7">
            <w:pPr>
              <w:pStyle w:val="Prosttext"/>
              <w:ind w:left="418"/>
              <w:jc w:val="both"/>
              <w:rPr>
                <w:rFonts w:ascii="Calibri" w:hAnsi="Calibri" w:cs="Calibri"/>
                <w:sz w:val="22"/>
                <w:szCs w:val="22"/>
              </w:rPr>
            </w:pPr>
          </w:p>
          <w:p w14:paraId="4DECAAE0" w14:textId="695643D1" w:rsidR="00703FE7" w:rsidRDefault="00E27DD1" w:rsidP="00E27DD1">
            <w:pPr>
              <w:pStyle w:val="Prosttext"/>
              <w:jc w:val="both"/>
              <w:rPr>
                <w:rFonts w:ascii="Calibri" w:hAnsi="Calibri" w:cs="Calibri"/>
                <w:sz w:val="22"/>
                <w:szCs w:val="22"/>
              </w:rPr>
            </w:pPr>
            <w:r>
              <w:rPr>
                <w:rFonts w:ascii="Calibri" w:hAnsi="Calibri" w:cs="Calibri"/>
                <w:sz w:val="22"/>
                <w:szCs w:val="22"/>
              </w:rPr>
              <w:t xml:space="preserve">              </w:t>
            </w:r>
            <w:r w:rsidR="00703FE7">
              <w:rPr>
                <w:rFonts w:ascii="Calibri" w:hAnsi="Calibri" w:cs="Calibri"/>
                <w:sz w:val="22"/>
                <w:szCs w:val="22"/>
              </w:rPr>
              <w:t xml:space="preserve">        nájem</w:t>
            </w:r>
          </w:p>
        </w:tc>
        <w:tc>
          <w:tcPr>
            <w:tcW w:w="2838" w:type="dxa"/>
            <w:gridSpan w:val="3"/>
          </w:tcPr>
          <w:p w14:paraId="7465D0F4" w14:textId="77777777" w:rsidR="00703FE7" w:rsidRDefault="00703FE7">
            <w:pPr>
              <w:rPr>
                <w:rFonts w:ascii="Calibri" w:eastAsia="Times New Roman" w:hAnsi="Calibri" w:cs="Calibri"/>
              </w:rPr>
            </w:pPr>
            <w:r>
              <w:rPr>
                <w:rFonts w:ascii="Calibri" w:eastAsia="Times New Roman" w:hAnsi="Calibri" w:cs="Calibri"/>
              </w:rPr>
              <w:t xml:space="preserve">     </w:t>
            </w:r>
          </w:p>
          <w:p w14:paraId="0B142A36" w14:textId="76F593AF" w:rsidR="00703FE7" w:rsidRDefault="00E27DD1" w:rsidP="00272A72">
            <w:pPr>
              <w:spacing w:before="100" w:beforeAutospacing="1"/>
              <w:rPr>
                <w:rFonts w:ascii="Calibri" w:hAnsi="Calibri" w:cs="Calibri"/>
              </w:rPr>
            </w:pPr>
            <w:r>
              <w:rPr>
                <w:rFonts w:ascii="Calibri" w:hAnsi="Calibri" w:cs="Calibri"/>
              </w:rPr>
              <w:t xml:space="preserve">                   služby</w:t>
            </w:r>
          </w:p>
        </w:tc>
        <w:tc>
          <w:tcPr>
            <w:tcW w:w="2917" w:type="dxa"/>
            <w:gridSpan w:val="3"/>
          </w:tcPr>
          <w:p w14:paraId="29E4BEBD" w14:textId="77777777" w:rsidR="00703FE7" w:rsidRDefault="00703FE7" w:rsidP="002773F5">
            <w:pPr>
              <w:pStyle w:val="Prosttext"/>
              <w:ind w:left="418"/>
              <w:jc w:val="both"/>
              <w:rPr>
                <w:rFonts w:ascii="Calibri" w:hAnsi="Calibri" w:cs="Calibri"/>
                <w:sz w:val="22"/>
                <w:szCs w:val="22"/>
              </w:rPr>
            </w:pPr>
          </w:p>
          <w:p w14:paraId="1806FD84" w14:textId="77777777" w:rsidR="00E27DD1" w:rsidRDefault="00E27DD1" w:rsidP="002773F5">
            <w:pPr>
              <w:pStyle w:val="Prosttext"/>
              <w:ind w:left="418"/>
              <w:jc w:val="both"/>
              <w:rPr>
                <w:rFonts w:ascii="Calibri" w:hAnsi="Calibri" w:cs="Calibri"/>
                <w:sz w:val="22"/>
                <w:szCs w:val="22"/>
              </w:rPr>
            </w:pPr>
          </w:p>
          <w:p w14:paraId="472DEEED" w14:textId="79106752" w:rsidR="00E27DD1" w:rsidRDefault="00E27DD1" w:rsidP="002773F5">
            <w:pPr>
              <w:pStyle w:val="Prosttext"/>
              <w:ind w:left="418"/>
              <w:jc w:val="both"/>
              <w:rPr>
                <w:rFonts w:ascii="Calibri" w:hAnsi="Calibri" w:cs="Calibri"/>
                <w:sz w:val="22"/>
                <w:szCs w:val="22"/>
              </w:rPr>
            </w:pPr>
            <w:r>
              <w:rPr>
                <w:rFonts w:ascii="Calibri" w:hAnsi="Calibri" w:cs="Calibri"/>
                <w:sz w:val="22"/>
                <w:szCs w:val="22"/>
              </w:rPr>
              <w:t xml:space="preserve">           součet</w:t>
            </w:r>
          </w:p>
        </w:tc>
      </w:tr>
      <w:tr w:rsidR="005B2695" w14:paraId="7DD28A8A" w14:textId="063C44E7" w:rsidTr="005B2695">
        <w:trPr>
          <w:trHeight w:val="345"/>
        </w:trPr>
        <w:tc>
          <w:tcPr>
            <w:tcW w:w="1172" w:type="dxa"/>
            <w:vMerge/>
          </w:tcPr>
          <w:p w14:paraId="42532652" w14:textId="77777777" w:rsidR="00703FE7" w:rsidRDefault="00703FE7" w:rsidP="002773F5">
            <w:pPr>
              <w:pStyle w:val="Prosttext"/>
              <w:ind w:left="418"/>
              <w:jc w:val="both"/>
              <w:rPr>
                <w:rFonts w:ascii="Calibri" w:hAnsi="Calibri" w:cs="Calibri"/>
                <w:sz w:val="22"/>
                <w:szCs w:val="22"/>
              </w:rPr>
            </w:pPr>
          </w:p>
        </w:tc>
        <w:tc>
          <w:tcPr>
            <w:tcW w:w="890" w:type="dxa"/>
          </w:tcPr>
          <w:p w14:paraId="7C4E575A" w14:textId="0A3B3ED9" w:rsidR="00703FE7" w:rsidRDefault="00E27DD1" w:rsidP="00E27DD1">
            <w:pPr>
              <w:pStyle w:val="Prosttext"/>
              <w:ind w:left="170"/>
              <w:jc w:val="both"/>
              <w:rPr>
                <w:rFonts w:ascii="Calibri" w:hAnsi="Calibri" w:cs="Calibri"/>
                <w:sz w:val="22"/>
                <w:szCs w:val="22"/>
              </w:rPr>
            </w:pPr>
            <w:r>
              <w:rPr>
                <w:rFonts w:ascii="Calibri" w:hAnsi="Calibri" w:cs="Calibri"/>
                <w:sz w:val="22"/>
                <w:szCs w:val="22"/>
              </w:rPr>
              <w:t>Kč/m2</w:t>
            </w:r>
          </w:p>
        </w:tc>
        <w:tc>
          <w:tcPr>
            <w:tcW w:w="1059" w:type="dxa"/>
          </w:tcPr>
          <w:p w14:paraId="3C1D94FE" w14:textId="61F839A1" w:rsidR="00703FE7" w:rsidRDefault="00E27DD1" w:rsidP="00E27DD1">
            <w:pPr>
              <w:pStyle w:val="Prosttext"/>
              <w:ind w:left="57"/>
              <w:jc w:val="both"/>
              <w:rPr>
                <w:rFonts w:ascii="Calibri" w:hAnsi="Calibri" w:cs="Calibri"/>
                <w:sz w:val="22"/>
                <w:szCs w:val="22"/>
              </w:rPr>
            </w:pPr>
            <w:r>
              <w:rPr>
                <w:rFonts w:ascii="Calibri" w:hAnsi="Calibri" w:cs="Calibri"/>
                <w:sz w:val="22"/>
                <w:szCs w:val="22"/>
              </w:rPr>
              <w:t>Kč/měsíc</w:t>
            </w:r>
          </w:p>
        </w:tc>
        <w:tc>
          <w:tcPr>
            <w:tcW w:w="979" w:type="dxa"/>
          </w:tcPr>
          <w:p w14:paraId="3F553FA0" w14:textId="152F8F86" w:rsidR="00703FE7" w:rsidRDefault="00E27DD1" w:rsidP="00910EB7">
            <w:pPr>
              <w:pStyle w:val="Prosttext"/>
              <w:ind w:left="57"/>
              <w:jc w:val="both"/>
              <w:rPr>
                <w:rFonts w:ascii="Calibri" w:hAnsi="Calibri" w:cs="Calibri"/>
                <w:sz w:val="22"/>
                <w:szCs w:val="22"/>
              </w:rPr>
            </w:pPr>
            <w:r>
              <w:rPr>
                <w:rFonts w:ascii="Calibri" w:hAnsi="Calibri" w:cs="Calibri"/>
                <w:sz w:val="22"/>
                <w:szCs w:val="22"/>
              </w:rPr>
              <w:t>Kč/rok</w:t>
            </w:r>
          </w:p>
        </w:tc>
        <w:tc>
          <w:tcPr>
            <w:tcW w:w="850" w:type="dxa"/>
          </w:tcPr>
          <w:p w14:paraId="565A6502" w14:textId="4C990CC1" w:rsidR="00703FE7" w:rsidRDefault="00E27DD1" w:rsidP="00272A72">
            <w:pPr>
              <w:pStyle w:val="Prosttext"/>
              <w:ind w:left="57"/>
              <w:jc w:val="both"/>
              <w:rPr>
                <w:rFonts w:ascii="Calibri" w:hAnsi="Calibri" w:cs="Calibri"/>
                <w:sz w:val="22"/>
                <w:szCs w:val="22"/>
              </w:rPr>
            </w:pPr>
            <w:r>
              <w:rPr>
                <w:rFonts w:ascii="Calibri" w:hAnsi="Calibri" w:cs="Calibri"/>
                <w:sz w:val="22"/>
                <w:szCs w:val="22"/>
              </w:rPr>
              <w:t>Kč/m2</w:t>
            </w:r>
          </w:p>
        </w:tc>
        <w:tc>
          <w:tcPr>
            <w:tcW w:w="1005" w:type="dxa"/>
          </w:tcPr>
          <w:p w14:paraId="53ED7619" w14:textId="024CDD95" w:rsidR="00703FE7" w:rsidRDefault="00E27DD1" w:rsidP="00272A72">
            <w:pPr>
              <w:pStyle w:val="Prosttext"/>
              <w:ind w:left="57"/>
              <w:jc w:val="both"/>
              <w:rPr>
                <w:rFonts w:ascii="Calibri" w:hAnsi="Calibri" w:cs="Calibri"/>
                <w:sz w:val="22"/>
                <w:szCs w:val="22"/>
              </w:rPr>
            </w:pPr>
            <w:r>
              <w:rPr>
                <w:rFonts w:ascii="Calibri" w:hAnsi="Calibri" w:cs="Calibri"/>
                <w:sz w:val="22"/>
                <w:szCs w:val="22"/>
              </w:rPr>
              <w:t>Kč/měsíc</w:t>
            </w:r>
          </w:p>
        </w:tc>
        <w:tc>
          <w:tcPr>
            <w:tcW w:w="983" w:type="dxa"/>
          </w:tcPr>
          <w:p w14:paraId="37468E3B" w14:textId="59D2793E" w:rsidR="00703FE7" w:rsidRDefault="00E27DD1" w:rsidP="00E27DD1">
            <w:pPr>
              <w:pStyle w:val="Prosttext"/>
              <w:ind w:left="57"/>
              <w:jc w:val="both"/>
              <w:rPr>
                <w:rFonts w:ascii="Calibri" w:hAnsi="Calibri" w:cs="Calibri"/>
                <w:sz w:val="22"/>
                <w:szCs w:val="22"/>
              </w:rPr>
            </w:pPr>
            <w:r>
              <w:rPr>
                <w:rFonts w:ascii="Calibri" w:hAnsi="Calibri" w:cs="Calibri"/>
                <w:sz w:val="22"/>
                <w:szCs w:val="22"/>
              </w:rPr>
              <w:t>Kč/rok</w:t>
            </w:r>
          </w:p>
        </w:tc>
        <w:tc>
          <w:tcPr>
            <w:tcW w:w="851" w:type="dxa"/>
          </w:tcPr>
          <w:p w14:paraId="11A49E23" w14:textId="27DF5F65" w:rsidR="00703FE7" w:rsidRDefault="00E27DD1" w:rsidP="005B2695">
            <w:pPr>
              <w:pStyle w:val="Prosttext"/>
              <w:ind w:left="57"/>
              <w:jc w:val="both"/>
              <w:rPr>
                <w:rFonts w:ascii="Calibri" w:hAnsi="Calibri" w:cs="Calibri"/>
                <w:sz w:val="22"/>
                <w:szCs w:val="22"/>
              </w:rPr>
            </w:pPr>
            <w:r>
              <w:rPr>
                <w:rFonts w:ascii="Calibri" w:hAnsi="Calibri" w:cs="Calibri"/>
                <w:sz w:val="22"/>
                <w:szCs w:val="22"/>
              </w:rPr>
              <w:t>Kč/m2</w:t>
            </w:r>
          </w:p>
        </w:tc>
        <w:tc>
          <w:tcPr>
            <w:tcW w:w="1197" w:type="dxa"/>
          </w:tcPr>
          <w:p w14:paraId="1B27CB90" w14:textId="0C4E6A53" w:rsidR="00703FE7" w:rsidRDefault="00E27DD1" w:rsidP="00E27DD1">
            <w:pPr>
              <w:pStyle w:val="Prosttext"/>
              <w:ind w:left="57"/>
              <w:jc w:val="both"/>
              <w:rPr>
                <w:rFonts w:ascii="Calibri" w:hAnsi="Calibri" w:cs="Calibri"/>
                <w:sz w:val="22"/>
                <w:szCs w:val="22"/>
              </w:rPr>
            </w:pPr>
            <w:r>
              <w:rPr>
                <w:rFonts w:ascii="Calibri" w:hAnsi="Calibri" w:cs="Calibri"/>
                <w:sz w:val="22"/>
                <w:szCs w:val="22"/>
              </w:rPr>
              <w:t>Kč/měsíc</w:t>
            </w:r>
          </w:p>
        </w:tc>
        <w:tc>
          <w:tcPr>
            <w:tcW w:w="869" w:type="dxa"/>
          </w:tcPr>
          <w:p w14:paraId="512C13EE" w14:textId="08338D40" w:rsidR="00703FE7" w:rsidRDefault="00910EB7" w:rsidP="00910EB7">
            <w:pPr>
              <w:pStyle w:val="Prosttext"/>
              <w:ind w:left="113"/>
              <w:jc w:val="both"/>
              <w:rPr>
                <w:rFonts w:ascii="Calibri" w:hAnsi="Calibri" w:cs="Calibri"/>
                <w:sz w:val="22"/>
                <w:szCs w:val="22"/>
              </w:rPr>
            </w:pPr>
            <w:r>
              <w:rPr>
                <w:rFonts w:ascii="Calibri" w:hAnsi="Calibri" w:cs="Calibri"/>
                <w:sz w:val="22"/>
                <w:szCs w:val="22"/>
              </w:rPr>
              <w:t>Kč/rok</w:t>
            </w:r>
          </w:p>
        </w:tc>
      </w:tr>
      <w:tr w:rsidR="005B2695" w14:paraId="0BCEADC9" w14:textId="0437D370" w:rsidTr="005B2695">
        <w:trPr>
          <w:trHeight w:val="338"/>
        </w:trPr>
        <w:tc>
          <w:tcPr>
            <w:tcW w:w="1172" w:type="dxa"/>
          </w:tcPr>
          <w:p w14:paraId="12C9E624" w14:textId="411E8BAF" w:rsidR="00703FE7" w:rsidRDefault="00703FE7" w:rsidP="00DD0017">
            <w:pPr>
              <w:pStyle w:val="Prosttext"/>
              <w:ind w:left="227"/>
              <w:jc w:val="both"/>
              <w:rPr>
                <w:rFonts w:ascii="Calibri" w:hAnsi="Calibri" w:cs="Calibri"/>
                <w:sz w:val="22"/>
                <w:szCs w:val="22"/>
              </w:rPr>
            </w:pPr>
            <w:r>
              <w:rPr>
                <w:rFonts w:ascii="Calibri" w:hAnsi="Calibri" w:cs="Calibri"/>
                <w:sz w:val="22"/>
                <w:szCs w:val="22"/>
              </w:rPr>
              <w:t>133,74</w:t>
            </w:r>
          </w:p>
        </w:tc>
        <w:tc>
          <w:tcPr>
            <w:tcW w:w="890" w:type="dxa"/>
            <w:tcBorders>
              <w:bottom w:val="single" w:sz="4" w:space="0" w:color="auto"/>
            </w:tcBorders>
          </w:tcPr>
          <w:p w14:paraId="3E554DDB" w14:textId="446A75A2" w:rsidR="00703FE7" w:rsidRDefault="00E27DD1" w:rsidP="00910EB7">
            <w:pPr>
              <w:pStyle w:val="Prosttext"/>
              <w:ind w:left="283"/>
              <w:jc w:val="both"/>
              <w:rPr>
                <w:rFonts w:ascii="Calibri" w:hAnsi="Calibri" w:cs="Calibri"/>
                <w:sz w:val="22"/>
                <w:szCs w:val="22"/>
              </w:rPr>
            </w:pPr>
            <w:r>
              <w:rPr>
                <w:rFonts w:ascii="Calibri" w:hAnsi="Calibri" w:cs="Calibri"/>
                <w:sz w:val="22"/>
                <w:szCs w:val="22"/>
              </w:rPr>
              <w:t>52</w:t>
            </w:r>
          </w:p>
        </w:tc>
        <w:tc>
          <w:tcPr>
            <w:tcW w:w="1059" w:type="dxa"/>
            <w:tcBorders>
              <w:bottom w:val="single" w:sz="4" w:space="0" w:color="auto"/>
            </w:tcBorders>
          </w:tcPr>
          <w:p w14:paraId="47D9D923" w14:textId="4752D4F7" w:rsidR="00703FE7" w:rsidRDefault="00E27DD1" w:rsidP="00910EB7">
            <w:pPr>
              <w:pStyle w:val="Prosttext"/>
              <w:ind w:left="170"/>
              <w:jc w:val="both"/>
              <w:rPr>
                <w:rFonts w:ascii="Calibri" w:hAnsi="Calibri" w:cs="Calibri"/>
                <w:sz w:val="22"/>
                <w:szCs w:val="22"/>
              </w:rPr>
            </w:pPr>
            <w:r>
              <w:rPr>
                <w:rFonts w:ascii="Calibri" w:hAnsi="Calibri" w:cs="Calibri"/>
                <w:sz w:val="22"/>
                <w:szCs w:val="22"/>
              </w:rPr>
              <w:t>6.954</w:t>
            </w:r>
          </w:p>
        </w:tc>
        <w:tc>
          <w:tcPr>
            <w:tcW w:w="979" w:type="dxa"/>
            <w:tcBorders>
              <w:bottom w:val="single" w:sz="4" w:space="0" w:color="auto"/>
            </w:tcBorders>
          </w:tcPr>
          <w:p w14:paraId="274FF2F5" w14:textId="31E8599C" w:rsidR="00703FE7" w:rsidRDefault="00E27DD1" w:rsidP="00910EB7">
            <w:pPr>
              <w:pStyle w:val="Prosttext"/>
              <w:ind w:left="57"/>
              <w:jc w:val="both"/>
              <w:rPr>
                <w:rFonts w:ascii="Calibri" w:hAnsi="Calibri" w:cs="Calibri"/>
                <w:sz w:val="22"/>
                <w:szCs w:val="22"/>
              </w:rPr>
            </w:pPr>
            <w:r>
              <w:rPr>
                <w:rFonts w:ascii="Calibri" w:hAnsi="Calibri" w:cs="Calibri"/>
                <w:sz w:val="22"/>
                <w:szCs w:val="22"/>
              </w:rPr>
              <w:t>83.448</w:t>
            </w:r>
          </w:p>
        </w:tc>
        <w:tc>
          <w:tcPr>
            <w:tcW w:w="850" w:type="dxa"/>
            <w:tcBorders>
              <w:bottom w:val="single" w:sz="4" w:space="0" w:color="auto"/>
            </w:tcBorders>
          </w:tcPr>
          <w:p w14:paraId="3AB34526" w14:textId="52941590" w:rsidR="00703FE7" w:rsidRDefault="00910EB7" w:rsidP="00272A72">
            <w:pPr>
              <w:pStyle w:val="Prosttext"/>
              <w:ind w:left="227"/>
              <w:jc w:val="both"/>
              <w:rPr>
                <w:rFonts w:ascii="Calibri" w:hAnsi="Calibri" w:cs="Calibri"/>
                <w:sz w:val="22"/>
                <w:szCs w:val="22"/>
              </w:rPr>
            </w:pPr>
            <w:r>
              <w:rPr>
                <w:rFonts w:ascii="Calibri" w:hAnsi="Calibri" w:cs="Calibri"/>
                <w:sz w:val="22"/>
                <w:szCs w:val="22"/>
              </w:rPr>
              <w:t>123</w:t>
            </w:r>
          </w:p>
        </w:tc>
        <w:tc>
          <w:tcPr>
            <w:tcW w:w="1005" w:type="dxa"/>
            <w:tcBorders>
              <w:bottom w:val="single" w:sz="4" w:space="0" w:color="auto"/>
            </w:tcBorders>
          </w:tcPr>
          <w:p w14:paraId="07445A3D" w14:textId="6961C4F5" w:rsidR="00703FE7" w:rsidRDefault="00272A72" w:rsidP="00272A72">
            <w:pPr>
              <w:pStyle w:val="Prosttext"/>
              <w:ind w:left="170"/>
              <w:jc w:val="both"/>
              <w:rPr>
                <w:rFonts w:ascii="Calibri" w:hAnsi="Calibri" w:cs="Calibri"/>
                <w:sz w:val="22"/>
                <w:szCs w:val="22"/>
              </w:rPr>
            </w:pPr>
            <w:r>
              <w:rPr>
                <w:rFonts w:ascii="Calibri" w:hAnsi="Calibri" w:cs="Calibri"/>
                <w:sz w:val="22"/>
                <w:szCs w:val="22"/>
              </w:rPr>
              <w:t>16.450</w:t>
            </w:r>
          </w:p>
        </w:tc>
        <w:tc>
          <w:tcPr>
            <w:tcW w:w="983" w:type="dxa"/>
            <w:tcBorders>
              <w:bottom w:val="single" w:sz="4" w:space="0" w:color="auto"/>
            </w:tcBorders>
          </w:tcPr>
          <w:p w14:paraId="1AEB2B89" w14:textId="4CCFD6B5" w:rsidR="00703FE7" w:rsidRDefault="00272A72" w:rsidP="00272A72">
            <w:pPr>
              <w:pStyle w:val="Prosttext"/>
              <w:jc w:val="both"/>
              <w:rPr>
                <w:rFonts w:ascii="Calibri" w:hAnsi="Calibri" w:cs="Calibri"/>
                <w:sz w:val="22"/>
                <w:szCs w:val="22"/>
              </w:rPr>
            </w:pPr>
            <w:r>
              <w:rPr>
                <w:rFonts w:ascii="Calibri" w:hAnsi="Calibri" w:cs="Calibri"/>
                <w:sz w:val="22"/>
                <w:szCs w:val="22"/>
              </w:rPr>
              <w:t>197.400</w:t>
            </w:r>
          </w:p>
        </w:tc>
        <w:tc>
          <w:tcPr>
            <w:tcW w:w="851" w:type="dxa"/>
          </w:tcPr>
          <w:p w14:paraId="08C59389" w14:textId="2A338B03" w:rsidR="00703FE7" w:rsidRDefault="00DD0017" w:rsidP="005B2695">
            <w:pPr>
              <w:pStyle w:val="Prosttext"/>
              <w:ind w:left="113"/>
              <w:jc w:val="both"/>
              <w:rPr>
                <w:rFonts w:ascii="Calibri" w:hAnsi="Calibri" w:cs="Calibri"/>
                <w:sz w:val="22"/>
                <w:szCs w:val="22"/>
              </w:rPr>
            </w:pPr>
            <w:r>
              <w:rPr>
                <w:rFonts w:ascii="Calibri" w:hAnsi="Calibri" w:cs="Calibri"/>
                <w:sz w:val="22"/>
                <w:szCs w:val="22"/>
              </w:rPr>
              <w:t xml:space="preserve">  </w:t>
            </w:r>
            <w:r w:rsidR="005B2695">
              <w:rPr>
                <w:rFonts w:ascii="Calibri" w:hAnsi="Calibri" w:cs="Calibri"/>
                <w:sz w:val="22"/>
                <w:szCs w:val="22"/>
              </w:rPr>
              <w:t>175</w:t>
            </w:r>
          </w:p>
        </w:tc>
        <w:tc>
          <w:tcPr>
            <w:tcW w:w="1197" w:type="dxa"/>
          </w:tcPr>
          <w:p w14:paraId="6E7F2116" w14:textId="1668A92A" w:rsidR="00703FE7" w:rsidRDefault="00DD0017" w:rsidP="00272A72">
            <w:pPr>
              <w:pStyle w:val="Prosttext"/>
              <w:ind w:left="113"/>
              <w:jc w:val="both"/>
              <w:rPr>
                <w:rFonts w:ascii="Calibri" w:hAnsi="Calibri" w:cs="Calibri"/>
                <w:sz w:val="22"/>
                <w:szCs w:val="22"/>
              </w:rPr>
            </w:pPr>
            <w:r>
              <w:rPr>
                <w:rFonts w:ascii="Calibri" w:hAnsi="Calibri" w:cs="Calibri"/>
                <w:sz w:val="22"/>
                <w:szCs w:val="22"/>
              </w:rPr>
              <w:t xml:space="preserve"> </w:t>
            </w:r>
            <w:r w:rsidR="00272A72">
              <w:rPr>
                <w:rFonts w:ascii="Calibri" w:hAnsi="Calibri" w:cs="Calibri"/>
                <w:sz w:val="22"/>
                <w:szCs w:val="22"/>
              </w:rPr>
              <w:t>23.400</w:t>
            </w:r>
          </w:p>
        </w:tc>
        <w:tc>
          <w:tcPr>
            <w:tcW w:w="869" w:type="dxa"/>
          </w:tcPr>
          <w:p w14:paraId="6CB71D04" w14:textId="2893EB82" w:rsidR="00703FE7" w:rsidRDefault="005B2695" w:rsidP="00DD0017">
            <w:pPr>
              <w:pStyle w:val="Prosttext"/>
              <w:ind w:left="57"/>
              <w:jc w:val="both"/>
              <w:rPr>
                <w:rFonts w:ascii="Calibri" w:hAnsi="Calibri" w:cs="Calibri"/>
                <w:sz w:val="22"/>
                <w:szCs w:val="22"/>
              </w:rPr>
            </w:pPr>
            <w:r>
              <w:rPr>
                <w:rFonts w:ascii="Calibri" w:hAnsi="Calibri" w:cs="Calibri"/>
                <w:sz w:val="22"/>
                <w:szCs w:val="22"/>
              </w:rPr>
              <w:t>280.848</w:t>
            </w:r>
          </w:p>
        </w:tc>
      </w:tr>
    </w:tbl>
    <w:p w14:paraId="3FA2A509" w14:textId="77777777" w:rsidR="00BB6EA1" w:rsidRDefault="00BB6EA1" w:rsidP="00BB6EA1">
      <w:pPr>
        <w:pStyle w:val="Prosttext"/>
        <w:ind w:left="426"/>
        <w:jc w:val="both"/>
        <w:rPr>
          <w:rFonts w:ascii="Calibri" w:hAnsi="Calibri" w:cs="Calibri"/>
          <w:sz w:val="22"/>
          <w:szCs w:val="22"/>
        </w:rPr>
      </w:pPr>
    </w:p>
    <w:p w14:paraId="76519B80" w14:textId="5DA222FC" w:rsidR="00A34A6D" w:rsidRPr="00A34A6D" w:rsidRDefault="00A575BE" w:rsidP="006B7D39">
      <w:pPr>
        <w:pStyle w:val="Prosttext"/>
        <w:numPr>
          <w:ilvl w:val="0"/>
          <w:numId w:val="1"/>
        </w:numPr>
        <w:ind w:left="426" w:hanging="426"/>
        <w:jc w:val="both"/>
        <w:rPr>
          <w:rFonts w:ascii="Calibri" w:hAnsi="Calibri" w:cs="Calibri"/>
          <w:sz w:val="22"/>
          <w:szCs w:val="22"/>
        </w:rPr>
      </w:pPr>
      <w:r>
        <w:rPr>
          <w:rFonts w:ascii="Calibri" w:hAnsi="Calibri" w:cs="Calibri"/>
          <w:sz w:val="22"/>
          <w:szCs w:val="22"/>
        </w:rPr>
        <w:t>Úhrada</w:t>
      </w:r>
      <w:r w:rsidR="00A34A6D">
        <w:rPr>
          <w:rFonts w:ascii="Calibri" w:hAnsi="Calibri" w:cs="Calibri"/>
          <w:sz w:val="22"/>
          <w:szCs w:val="22"/>
        </w:rPr>
        <w:t xml:space="preserve"> v</w:t>
      </w:r>
      <w:r>
        <w:rPr>
          <w:rFonts w:ascii="Calibri" w:hAnsi="Calibri" w:cs="Calibri"/>
          <w:sz w:val="22"/>
          <w:szCs w:val="22"/>
        </w:rPr>
        <w:t> </w:t>
      </w:r>
      <w:r w:rsidR="00A34A6D">
        <w:rPr>
          <w:rFonts w:ascii="Calibri" w:hAnsi="Calibri" w:cs="Calibri"/>
          <w:sz w:val="22"/>
          <w:szCs w:val="22"/>
        </w:rPr>
        <w:t>tabulce</w:t>
      </w:r>
      <w:r>
        <w:rPr>
          <w:rFonts w:ascii="Calibri" w:hAnsi="Calibri" w:cs="Calibri"/>
          <w:sz w:val="22"/>
          <w:szCs w:val="22"/>
        </w:rPr>
        <w:t xml:space="preserve"> předchozího odstavce</w:t>
      </w:r>
      <w:r w:rsidR="00A34A6D">
        <w:rPr>
          <w:rFonts w:ascii="Calibri" w:hAnsi="Calibri" w:cs="Calibri"/>
          <w:sz w:val="22"/>
          <w:szCs w:val="22"/>
        </w:rPr>
        <w:t xml:space="preserve"> vyjadřuje jednak výši ročního nájemného a dále fixní </w:t>
      </w:r>
      <w:r w:rsidR="00EB7C6C">
        <w:rPr>
          <w:rFonts w:ascii="Calibri" w:hAnsi="Calibri" w:cs="Calibri"/>
          <w:sz w:val="22"/>
          <w:szCs w:val="22"/>
        </w:rPr>
        <w:t xml:space="preserve">roční </w:t>
      </w:r>
      <w:r w:rsidR="00A34A6D">
        <w:rPr>
          <w:rFonts w:ascii="Calibri" w:hAnsi="Calibri" w:cs="Calibri"/>
          <w:sz w:val="22"/>
          <w:szCs w:val="22"/>
        </w:rPr>
        <w:t xml:space="preserve">poplatek za poskytované služby spojené s užíváním pronajatého nebytového prostoru, především za dodávky elektrické energie, vody, tepla, úklid pronajatých prostor, úklid sněhu, provozní náklady spojené se správou budovy a poplatky za likvidaci komunálního odpadu. S ohledem na skutečnost, že poplatek za služby spojené s užíváním předmětu nájmu nemá povahu zálohy, není </w:t>
      </w:r>
      <w:r w:rsidR="003C646A">
        <w:rPr>
          <w:rFonts w:ascii="Calibri" w:hAnsi="Calibri" w:cs="Calibri"/>
          <w:sz w:val="22"/>
          <w:szCs w:val="22"/>
        </w:rPr>
        <w:t>P</w:t>
      </w:r>
      <w:r w:rsidR="00A34A6D">
        <w:rPr>
          <w:rFonts w:ascii="Calibri" w:hAnsi="Calibri" w:cs="Calibri"/>
          <w:sz w:val="22"/>
          <w:szCs w:val="22"/>
        </w:rPr>
        <w:t>ronajímatel povinen provádět vyúčtování skutečně spotřebovaných služeb spojených s užívání</w:t>
      </w:r>
      <w:r>
        <w:rPr>
          <w:rFonts w:ascii="Calibri" w:hAnsi="Calibri" w:cs="Calibri"/>
          <w:sz w:val="22"/>
          <w:szCs w:val="22"/>
        </w:rPr>
        <w:t>m</w:t>
      </w:r>
      <w:r w:rsidR="00A34A6D">
        <w:rPr>
          <w:rFonts w:ascii="Calibri" w:hAnsi="Calibri" w:cs="Calibri"/>
          <w:sz w:val="22"/>
          <w:szCs w:val="22"/>
        </w:rPr>
        <w:t xml:space="preserve"> pronajatého nebytového prostoru. </w:t>
      </w:r>
    </w:p>
    <w:p w14:paraId="33C76DAB" w14:textId="77777777" w:rsidR="000E4396" w:rsidRDefault="000E4396" w:rsidP="000E4396">
      <w:pPr>
        <w:pStyle w:val="Prosttext"/>
        <w:ind w:left="426"/>
        <w:jc w:val="both"/>
        <w:rPr>
          <w:rFonts w:ascii="Calibri" w:hAnsi="Calibri" w:cs="Calibri"/>
          <w:sz w:val="22"/>
          <w:szCs w:val="22"/>
        </w:rPr>
      </w:pPr>
    </w:p>
    <w:p w14:paraId="04C70FD1" w14:textId="77777777" w:rsidR="006B7D39" w:rsidRPr="00F2295F" w:rsidRDefault="006B7D39" w:rsidP="006B7D39">
      <w:pPr>
        <w:pStyle w:val="Prosttext"/>
        <w:numPr>
          <w:ilvl w:val="0"/>
          <w:numId w:val="1"/>
        </w:numPr>
        <w:ind w:left="426" w:hanging="426"/>
        <w:jc w:val="both"/>
        <w:rPr>
          <w:rFonts w:ascii="Calibri" w:hAnsi="Calibri" w:cs="Calibri"/>
          <w:sz w:val="22"/>
          <w:szCs w:val="22"/>
        </w:rPr>
      </w:pPr>
      <w:r w:rsidRPr="00F2295F">
        <w:rPr>
          <w:rFonts w:ascii="Calibri" w:hAnsi="Calibri" w:cs="Calibri"/>
          <w:sz w:val="22"/>
          <w:szCs w:val="22"/>
        </w:rPr>
        <w:t xml:space="preserve">Částka nájemného dle předchozího bodu má platnost na dobu určitou pouze do dne, ke kterému Rada města Rýmařova stanoví nové všeobecně platné sazby za pronájem Prostor. Pro budoucí úpravy výše nájemného a </w:t>
      </w:r>
      <w:r w:rsidR="00862E0B">
        <w:rPr>
          <w:rFonts w:ascii="Calibri" w:hAnsi="Calibri" w:cs="Calibri"/>
          <w:sz w:val="22"/>
          <w:szCs w:val="22"/>
        </w:rPr>
        <w:t>fixních plateb za</w:t>
      </w:r>
      <w:r w:rsidR="000E4396">
        <w:rPr>
          <w:rFonts w:ascii="Calibri" w:hAnsi="Calibri" w:cs="Calibri"/>
          <w:sz w:val="22"/>
          <w:szCs w:val="22"/>
        </w:rPr>
        <w:t xml:space="preserve"> služby</w:t>
      </w:r>
      <w:r w:rsidRPr="00F2295F">
        <w:rPr>
          <w:rFonts w:ascii="Calibri" w:hAnsi="Calibri" w:cs="Calibri"/>
          <w:sz w:val="22"/>
          <w:szCs w:val="22"/>
        </w:rPr>
        <w:t xml:space="preserve"> bude sloužit </w:t>
      </w:r>
      <w:r w:rsidRPr="00862E0B">
        <w:rPr>
          <w:rFonts w:ascii="Calibri" w:hAnsi="Calibri" w:cs="Calibri"/>
          <w:b/>
          <w:bCs/>
          <w:sz w:val="22"/>
          <w:szCs w:val="22"/>
        </w:rPr>
        <w:t>výpočtový list</w:t>
      </w:r>
      <w:r w:rsidRPr="00F2295F">
        <w:rPr>
          <w:rFonts w:ascii="Calibri" w:hAnsi="Calibri" w:cs="Calibri"/>
          <w:sz w:val="22"/>
          <w:szCs w:val="22"/>
        </w:rPr>
        <w:t xml:space="preserve"> úhrad za užívání Prostor, který bude potvrzen oprávněným zástupcem </w:t>
      </w:r>
      <w:r w:rsidR="000E4396">
        <w:rPr>
          <w:rFonts w:ascii="Calibri" w:hAnsi="Calibri" w:cs="Calibri"/>
          <w:sz w:val="22"/>
          <w:szCs w:val="22"/>
        </w:rPr>
        <w:t>N</w:t>
      </w:r>
      <w:r w:rsidRPr="00F2295F">
        <w:rPr>
          <w:rFonts w:ascii="Calibri" w:hAnsi="Calibri" w:cs="Calibri"/>
          <w:sz w:val="22"/>
          <w:szCs w:val="22"/>
        </w:rPr>
        <w:t>ájemce.</w:t>
      </w:r>
    </w:p>
    <w:p w14:paraId="63B67E78" w14:textId="77777777" w:rsidR="000E4396" w:rsidRDefault="006B7D39" w:rsidP="00862E0B">
      <w:pPr>
        <w:pStyle w:val="Prosttext"/>
        <w:ind w:left="426" w:hanging="426"/>
        <w:jc w:val="both"/>
        <w:rPr>
          <w:rFonts w:ascii="Calibri" w:hAnsi="Calibri" w:cs="Calibri"/>
          <w:sz w:val="22"/>
          <w:szCs w:val="22"/>
        </w:rPr>
      </w:pPr>
      <w:r w:rsidRPr="00F2295F">
        <w:rPr>
          <w:rFonts w:ascii="Calibri" w:hAnsi="Calibri" w:cs="Calibri"/>
          <w:sz w:val="22"/>
          <w:szCs w:val="22"/>
        </w:rPr>
        <w:t xml:space="preserve"> </w:t>
      </w:r>
      <w:r w:rsidR="00862E0B">
        <w:rPr>
          <w:rFonts w:ascii="Calibri" w:hAnsi="Calibri" w:cs="Calibri"/>
          <w:sz w:val="22"/>
          <w:szCs w:val="22"/>
        </w:rPr>
        <w:tab/>
      </w:r>
      <w:r w:rsidR="000E4396">
        <w:rPr>
          <w:rFonts w:ascii="Calibri" w:hAnsi="Calibri" w:cs="Calibri"/>
          <w:sz w:val="22"/>
          <w:szCs w:val="22"/>
        </w:rPr>
        <w:t>Ná</w:t>
      </w:r>
      <w:r w:rsidRPr="00F2295F">
        <w:rPr>
          <w:rFonts w:ascii="Calibri" w:hAnsi="Calibri" w:cs="Calibri"/>
          <w:sz w:val="22"/>
          <w:szCs w:val="22"/>
        </w:rPr>
        <w:t xml:space="preserve">jemce se zavazuje nové sazby nájemného formou výpočtového listu k této smlouvě na výzvu </w:t>
      </w:r>
      <w:r w:rsidR="000E4396">
        <w:rPr>
          <w:rFonts w:ascii="Calibri" w:hAnsi="Calibri" w:cs="Calibri"/>
          <w:sz w:val="22"/>
          <w:szCs w:val="22"/>
        </w:rPr>
        <w:t>Pronajímatele</w:t>
      </w:r>
      <w:r w:rsidRPr="00F2295F">
        <w:rPr>
          <w:rFonts w:ascii="Calibri" w:hAnsi="Calibri" w:cs="Calibri"/>
          <w:sz w:val="22"/>
          <w:szCs w:val="22"/>
        </w:rPr>
        <w:t xml:space="preserve"> od data jejich platnosti přijmout a </w:t>
      </w:r>
      <w:r w:rsidR="000E4396">
        <w:rPr>
          <w:rFonts w:ascii="Calibri" w:hAnsi="Calibri" w:cs="Calibri"/>
          <w:sz w:val="22"/>
          <w:szCs w:val="22"/>
        </w:rPr>
        <w:t xml:space="preserve">Pronajímateli </w:t>
      </w:r>
      <w:r w:rsidRPr="00F2295F">
        <w:rPr>
          <w:rFonts w:ascii="Calibri" w:hAnsi="Calibri" w:cs="Calibri"/>
          <w:sz w:val="22"/>
          <w:szCs w:val="22"/>
        </w:rPr>
        <w:t>platit.</w:t>
      </w:r>
    </w:p>
    <w:p w14:paraId="6B1EAE9D" w14:textId="77777777" w:rsidR="000E4396" w:rsidRDefault="000E4396" w:rsidP="000E4396">
      <w:pPr>
        <w:pStyle w:val="Prosttext"/>
        <w:ind w:left="426"/>
        <w:jc w:val="both"/>
        <w:rPr>
          <w:rFonts w:ascii="Calibri" w:hAnsi="Calibri" w:cs="Calibri"/>
          <w:sz w:val="22"/>
          <w:szCs w:val="22"/>
        </w:rPr>
      </w:pPr>
    </w:p>
    <w:p w14:paraId="131DA1E4" w14:textId="7F11CF67" w:rsidR="00862E0B" w:rsidRPr="00007BAD" w:rsidRDefault="00862E0B" w:rsidP="00862E0B">
      <w:pPr>
        <w:pStyle w:val="Prosttext"/>
        <w:numPr>
          <w:ilvl w:val="0"/>
          <w:numId w:val="1"/>
        </w:numPr>
        <w:ind w:left="426" w:hanging="426"/>
        <w:jc w:val="both"/>
        <w:rPr>
          <w:rFonts w:ascii="Calibri" w:hAnsi="Calibri" w:cs="Calibri"/>
          <w:sz w:val="22"/>
          <w:szCs w:val="22"/>
        </w:rPr>
      </w:pPr>
      <w:r w:rsidRPr="00007BAD">
        <w:rPr>
          <w:rFonts w:ascii="Calibri" w:hAnsi="Calibri" w:cs="Calibri"/>
          <w:sz w:val="22"/>
          <w:szCs w:val="22"/>
        </w:rPr>
        <w:t xml:space="preserve">Splatnost úhrady nájemného a fixního poplatku za služby se stanoví měsíčně ve výši  </w:t>
      </w:r>
      <w:r w:rsidR="00BB6EA1">
        <w:rPr>
          <w:rFonts w:ascii="Calibri" w:hAnsi="Calibri" w:cs="Calibri"/>
          <w:sz w:val="22"/>
          <w:szCs w:val="22"/>
        </w:rPr>
        <w:t>23.404,--</w:t>
      </w:r>
      <w:r w:rsidRPr="00007BAD">
        <w:rPr>
          <w:rFonts w:ascii="Calibri" w:hAnsi="Calibri" w:cs="Calibri"/>
          <w:sz w:val="22"/>
          <w:szCs w:val="22"/>
        </w:rPr>
        <w:t xml:space="preserve"> Kč vždy do </w:t>
      </w:r>
      <w:r w:rsidR="009D318E">
        <w:rPr>
          <w:rFonts w:ascii="Calibri" w:hAnsi="Calibri" w:cs="Calibri"/>
          <w:sz w:val="22"/>
          <w:szCs w:val="22"/>
        </w:rPr>
        <w:t xml:space="preserve">konce </w:t>
      </w:r>
      <w:r w:rsidRPr="00007BAD">
        <w:rPr>
          <w:rFonts w:ascii="Calibri" w:hAnsi="Calibri" w:cs="Calibri"/>
          <w:sz w:val="22"/>
          <w:szCs w:val="22"/>
        </w:rPr>
        <w:t xml:space="preserve">příslušného měsíce.             </w:t>
      </w:r>
    </w:p>
    <w:p w14:paraId="72D86E2F" w14:textId="729E5F41" w:rsidR="006B7D39" w:rsidRPr="00F2295F" w:rsidRDefault="006B7D39" w:rsidP="00862E0B">
      <w:pPr>
        <w:pStyle w:val="Prosttext"/>
        <w:ind w:left="426"/>
        <w:jc w:val="both"/>
        <w:rPr>
          <w:rFonts w:ascii="Calibri" w:hAnsi="Calibri" w:cs="Calibri"/>
          <w:sz w:val="22"/>
          <w:szCs w:val="22"/>
        </w:rPr>
      </w:pPr>
      <w:r w:rsidRPr="00F2295F">
        <w:rPr>
          <w:rFonts w:ascii="Calibri" w:hAnsi="Calibri" w:cs="Calibri"/>
          <w:sz w:val="22"/>
          <w:szCs w:val="22"/>
        </w:rPr>
        <w:t xml:space="preserve">Úhrada bude prováděna na běžný účet správce domovního majetku </w:t>
      </w:r>
      <w:r w:rsidR="000E4396">
        <w:rPr>
          <w:rFonts w:ascii="Calibri" w:hAnsi="Calibri" w:cs="Calibri"/>
          <w:sz w:val="22"/>
          <w:szCs w:val="22"/>
        </w:rPr>
        <w:t>Pronajímatele</w:t>
      </w:r>
      <w:r w:rsidRPr="00F2295F">
        <w:rPr>
          <w:rFonts w:ascii="Calibri" w:hAnsi="Calibri" w:cs="Calibri"/>
          <w:sz w:val="22"/>
          <w:szCs w:val="22"/>
        </w:rPr>
        <w:t xml:space="preserve"> číslo </w:t>
      </w:r>
      <w:r w:rsidRPr="00F2295F">
        <w:rPr>
          <w:rFonts w:ascii="Calibri" w:hAnsi="Calibri" w:cs="Calibri"/>
          <w:b/>
          <w:bCs/>
          <w:sz w:val="22"/>
          <w:szCs w:val="22"/>
        </w:rPr>
        <w:t>4905771/0100</w:t>
      </w:r>
      <w:r w:rsidRPr="00F2295F">
        <w:rPr>
          <w:rFonts w:ascii="Calibri" w:hAnsi="Calibri" w:cs="Calibri"/>
          <w:sz w:val="22"/>
          <w:szCs w:val="22"/>
        </w:rPr>
        <w:t xml:space="preserve"> u Komerční banky </w:t>
      </w:r>
      <w:r w:rsidR="00CF7F9E">
        <w:rPr>
          <w:rFonts w:ascii="Calibri" w:hAnsi="Calibri" w:cs="Calibri"/>
          <w:sz w:val="22"/>
          <w:szCs w:val="22"/>
        </w:rPr>
        <w:t>Rýmařov</w:t>
      </w:r>
      <w:r w:rsidRPr="00F2295F">
        <w:rPr>
          <w:rFonts w:ascii="Calibri" w:hAnsi="Calibri" w:cs="Calibri"/>
          <w:sz w:val="22"/>
          <w:szCs w:val="22"/>
        </w:rPr>
        <w:t xml:space="preserve">. Variabilní symbol úhrady je </w:t>
      </w:r>
      <w:r w:rsidR="009D318E">
        <w:rPr>
          <w:rFonts w:ascii="Calibri" w:hAnsi="Calibri" w:cs="Calibri"/>
          <w:sz w:val="22"/>
          <w:szCs w:val="22"/>
        </w:rPr>
        <w:t>15000001</w:t>
      </w:r>
      <w:r w:rsidR="00BB6EA1">
        <w:rPr>
          <w:rFonts w:ascii="Calibri" w:hAnsi="Calibri" w:cs="Calibri"/>
          <w:sz w:val="22"/>
          <w:szCs w:val="22"/>
        </w:rPr>
        <w:t>70</w:t>
      </w:r>
      <w:r w:rsidR="00145B86">
        <w:rPr>
          <w:rFonts w:ascii="Calibri" w:hAnsi="Calibri" w:cs="Calibri"/>
          <w:sz w:val="22"/>
          <w:szCs w:val="22"/>
        </w:rPr>
        <w:t>.</w:t>
      </w:r>
    </w:p>
    <w:p w14:paraId="7407F06A" w14:textId="77777777" w:rsidR="006B7D39" w:rsidRPr="00F2295F" w:rsidRDefault="006B7D39" w:rsidP="006B7D39">
      <w:pPr>
        <w:pStyle w:val="Prosttext"/>
        <w:ind w:left="426" w:hanging="426"/>
        <w:jc w:val="both"/>
        <w:rPr>
          <w:rFonts w:ascii="Calibri" w:hAnsi="Calibri" w:cs="Calibri"/>
          <w:sz w:val="22"/>
          <w:szCs w:val="22"/>
        </w:rPr>
      </w:pPr>
    </w:p>
    <w:p w14:paraId="6F9F0FB6" w14:textId="77777777" w:rsidR="006B7D39" w:rsidRPr="00F2295F" w:rsidRDefault="006B7D39" w:rsidP="006B7D39">
      <w:pPr>
        <w:pStyle w:val="Prosttext"/>
        <w:numPr>
          <w:ilvl w:val="0"/>
          <w:numId w:val="1"/>
        </w:numPr>
        <w:ind w:left="426" w:hanging="426"/>
        <w:jc w:val="both"/>
        <w:rPr>
          <w:rFonts w:ascii="Calibri" w:hAnsi="Calibri" w:cs="Calibri"/>
          <w:sz w:val="22"/>
          <w:szCs w:val="22"/>
        </w:rPr>
      </w:pPr>
      <w:r w:rsidRPr="00F2295F">
        <w:rPr>
          <w:rFonts w:ascii="Calibri" w:hAnsi="Calibri" w:cs="Calibri"/>
          <w:sz w:val="22"/>
          <w:szCs w:val="22"/>
        </w:rPr>
        <w:t xml:space="preserve">V případě, že </w:t>
      </w:r>
      <w:r w:rsidR="003C646A">
        <w:rPr>
          <w:rFonts w:ascii="Calibri" w:hAnsi="Calibri" w:cs="Calibri"/>
          <w:sz w:val="22"/>
          <w:szCs w:val="22"/>
        </w:rPr>
        <w:t>N</w:t>
      </w:r>
      <w:r w:rsidRPr="00F2295F">
        <w:rPr>
          <w:rFonts w:ascii="Calibri" w:hAnsi="Calibri" w:cs="Calibri"/>
          <w:sz w:val="22"/>
          <w:szCs w:val="22"/>
        </w:rPr>
        <w:t xml:space="preserve">ájemce neuhradí platby uvedené v předchozím odstavci této smlouvy v termínech stanovených touto smlouvou, je </w:t>
      </w:r>
      <w:r w:rsidR="003C646A">
        <w:rPr>
          <w:rFonts w:ascii="Calibri" w:hAnsi="Calibri" w:cs="Calibri"/>
          <w:sz w:val="22"/>
          <w:szCs w:val="22"/>
        </w:rPr>
        <w:t>N</w:t>
      </w:r>
      <w:r w:rsidRPr="00F2295F">
        <w:rPr>
          <w:rFonts w:ascii="Calibri" w:hAnsi="Calibri" w:cs="Calibri"/>
          <w:sz w:val="22"/>
          <w:szCs w:val="22"/>
        </w:rPr>
        <w:t xml:space="preserve">ájemce povinen hradit </w:t>
      </w:r>
      <w:r w:rsidR="003C646A">
        <w:rPr>
          <w:rFonts w:ascii="Calibri" w:hAnsi="Calibri" w:cs="Calibri"/>
          <w:sz w:val="22"/>
          <w:szCs w:val="22"/>
        </w:rPr>
        <w:t>Pronajímateli</w:t>
      </w:r>
      <w:r w:rsidRPr="00F2295F">
        <w:rPr>
          <w:rFonts w:ascii="Calibri" w:hAnsi="Calibri" w:cs="Calibri"/>
          <w:sz w:val="22"/>
          <w:szCs w:val="22"/>
        </w:rPr>
        <w:t xml:space="preserve"> úrok z prodlení</w:t>
      </w:r>
      <w:r>
        <w:rPr>
          <w:rFonts w:ascii="Calibri" w:hAnsi="Calibri" w:cs="Calibri"/>
          <w:sz w:val="22"/>
          <w:szCs w:val="22"/>
        </w:rPr>
        <w:t xml:space="preserve"> ve výši stanovené nařízením vlády v souladu s § 1970 občanského zákoníku .</w:t>
      </w:r>
    </w:p>
    <w:p w14:paraId="442AA709" w14:textId="77777777" w:rsidR="006B7D39" w:rsidRPr="00F2295F" w:rsidRDefault="006B7D39" w:rsidP="006B7D39">
      <w:pPr>
        <w:pStyle w:val="Prosttext"/>
        <w:ind w:left="426" w:hanging="426"/>
        <w:jc w:val="both"/>
        <w:rPr>
          <w:rFonts w:ascii="Calibri" w:hAnsi="Calibri" w:cs="Calibri"/>
          <w:sz w:val="22"/>
          <w:szCs w:val="22"/>
        </w:rPr>
      </w:pPr>
    </w:p>
    <w:p w14:paraId="3356F018" w14:textId="77777777" w:rsidR="006B7D39" w:rsidRPr="00F2295F" w:rsidRDefault="006B7D39" w:rsidP="006B7D39">
      <w:pPr>
        <w:pStyle w:val="Prosttext"/>
        <w:numPr>
          <w:ilvl w:val="0"/>
          <w:numId w:val="1"/>
        </w:numPr>
        <w:ind w:left="426" w:hanging="426"/>
        <w:jc w:val="both"/>
        <w:rPr>
          <w:rFonts w:ascii="Calibri" w:hAnsi="Calibri" w:cs="Calibri"/>
          <w:sz w:val="22"/>
          <w:szCs w:val="22"/>
        </w:rPr>
      </w:pPr>
      <w:r w:rsidRPr="00F2295F">
        <w:rPr>
          <w:rFonts w:ascii="Calibri" w:hAnsi="Calibri" w:cs="Calibri"/>
          <w:sz w:val="22"/>
          <w:szCs w:val="22"/>
        </w:rPr>
        <w:t xml:space="preserve">V případě, že se </w:t>
      </w:r>
      <w:r w:rsidR="003C646A">
        <w:rPr>
          <w:rFonts w:ascii="Calibri" w:hAnsi="Calibri" w:cs="Calibri"/>
          <w:sz w:val="22"/>
          <w:szCs w:val="22"/>
        </w:rPr>
        <w:t>N</w:t>
      </w:r>
      <w:r w:rsidRPr="00F2295F">
        <w:rPr>
          <w:rFonts w:ascii="Calibri" w:hAnsi="Calibri" w:cs="Calibri"/>
          <w:sz w:val="22"/>
          <w:szCs w:val="22"/>
        </w:rPr>
        <w:t xml:space="preserve">ájemce stane plátcem DPH a </w:t>
      </w:r>
      <w:r w:rsidR="003C646A">
        <w:rPr>
          <w:rFonts w:ascii="Calibri" w:hAnsi="Calibri" w:cs="Calibri"/>
          <w:sz w:val="22"/>
          <w:szCs w:val="22"/>
        </w:rPr>
        <w:t>Pronajímatel</w:t>
      </w:r>
      <w:r w:rsidRPr="00F2295F">
        <w:rPr>
          <w:rFonts w:ascii="Calibri" w:hAnsi="Calibri" w:cs="Calibri"/>
          <w:sz w:val="22"/>
          <w:szCs w:val="22"/>
        </w:rPr>
        <w:t xml:space="preserve"> se vzdá nároku na osvobození od DPH dle § 56 odst. 4 zákona 235/2004 Sb., o DPH</w:t>
      </w:r>
      <w:r w:rsidR="003C646A">
        <w:rPr>
          <w:rFonts w:ascii="Calibri" w:hAnsi="Calibri" w:cs="Calibri"/>
          <w:sz w:val="22"/>
          <w:szCs w:val="22"/>
        </w:rPr>
        <w:t>,</w:t>
      </w:r>
      <w:r w:rsidRPr="00F2295F">
        <w:rPr>
          <w:rFonts w:ascii="Calibri" w:hAnsi="Calibri" w:cs="Calibri"/>
          <w:sz w:val="22"/>
          <w:szCs w:val="22"/>
        </w:rPr>
        <w:t xml:space="preserve"> v</w:t>
      </w:r>
      <w:r w:rsidR="003C646A">
        <w:rPr>
          <w:rFonts w:ascii="Calibri" w:hAnsi="Calibri" w:cs="Calibri"/>
          <w:sz w:val="22"/>
          <w:szCs w:val="22"/>
        </w:rPr>
        <w:t>e</w:t>
      </w:r>
      <w:r w:rsidRPr="00F2295F">
        <w:rPr>
          <w:rFonts w:ascii="Calibri" w:hAnsi="Calibri" w:cs="Calibri"/>
          <w:sz w:val="22"/>
          <w:szCs w:val="22"/>
        </w:rPr>
        <w:t xml:space="preserve">  znění</w:t>
      </w:r>
      <w:r w:rsidR="003C646A">
        <w:rPr>
          <w:rFonts w:ascii="Calibri" w:hAnsi="Calibri" w:cs="Calibri"/>
          <w:sz w:val="22"/>
          <w:szCs w:val="22"/>
        </w:rPr>
        <w:t xml:space="preserve"> pozdějších předpisů</w:t>
      </w:r>
      <w:r w:rsidRPr="00F2295F">
        <w:rPr>
          <w:rFonts w:ascii="Calibri" w:hAnsi="Calibri" w:cs="Calibri"/>
          <w:sz w:val="22"/>
          <w:szCs w:val="22"/>
        </w:rPr>
        <w:t xml:space="preserve">, bude sjednané nájemné zvýšeno o příslušnou daň. Rozhodnutí o vzdání se nároku na osvobození bude </w:t>
      </w:r>
      <w:r w:rsidR="003C646A">
        <w:rPr>
          <w:rFonts w:ascii="Calibri" w:hAnsi="Calibri" w:cs="Calibri"/>
          <w:sz w:val="22"/>
          <w:szCs w:val="22"/>
        </w:rPr>
        <w:t>N</w:t>
      </w:r>
      <w:r w:rsidRPr="00F2295F">
        <w:rPr>
          <w:rFonts w:ascii="Calibri" w:hAnsi="Calibri" w:cs="Calibri"/>
          <w:sz w:val="22"/>
          <w:szCs w:val="22"/>
        </w:rPr>
        <w:t xml:space="preserve">ájemci </w:t>
      </w:r>
      <w:r w:rsidR="003C646A">
        <w:rPr>
          <w:rFonts w:ascii="Calibri" w:hAnsi="Calibri" w:cs="Calibri"/>
          <w:sz w:val="22"/>
          <w:szCs w:val="22"/>
        </w:rPr>
        <w:t>Pronajímatelem</w:t>
      </w:r>
      <w:r w:rsidRPr="00F2295F">
        <w:rPr>
          <w:rFonts w:ascii="Calibri" w:hAnsi="Calibri" w:cs="Calibri"/>
          <w:sz w:val="22"/>
          <w:szCs w:val="22"/>
        </w:rPr>
        <w:t xml:space="preserve"> písemně oznámeno.</w:t>
      </w:r>
    </w:p>
    <w:p w14:paraId="29458ACF" w14:textId="77777777" w:rsidR="00862E0B" w:rsidRDefault="00862E0B" w:rsidP="00EB7C6C">
      <w:pPr>
        <w:pStyle w:val="Prosttext"/>
        <w:jc w:val="center"/>
        <w:rPr>
          <w:rFonts w:ascii="Calibri" w:hAnsi="Calibri" w:cs="Calibri"/>
          <w:b/>
          <w:bCs/>
          <w:sz w:val="22"/>
          <w:szCs w:val="22"/>
        </w:rPr>
      </w:pPr>
    </w:p>
    <w:p w14:paraId="6BEAE29D" w14:textId="77777777" w:rsidR="00EB7C6C" w:rsidRPr="00007BAD" w:rsidRDefault="00EB7C6C" w:rsidP="00EB7C6C">
      <w:pPr>
        <w:pStyle w:val="Prosttext"/>
        <w:jc w:val="center"/>
        <w:rPr>
          <w:rFonts w:ascii="Calibri" w:hAnsi="Calibri" w:cs="Calibri"/>
          <w:b/>
          <w:bCs/>
          <w:sz w:val="22"/>
          <w:szCs w:val="22"/>
        </w:rPr>
      </w:pPr>
      <w:r w:rsidRPr="00007BAD">
        <w:rPr>
          <w:rFonts w:ascii="Calibri" w:hAnsi="Calibri" w:cs="Calibri"/>
          <w:b/>
          <w:bCs/>
          <w:sz w:val="22"/>
          <w:szCs w:val="22"/>
        </w:rPr>
        <w:t>Článek I</w:t>
      </w:r>
      <w:r w:rsidR="00862E0B">
        <w:rPr>
          <w:rFonts w:ascii="Calibri" w:hAnsi="Calibri" w:cs="Calibri"/>
          <w:b/>
          <w:bCs/>
          <w:sz w:val="22"/>
          <w:szCs w:val="22"/>
        </w:rPr>
        <w:t>V</w:t>
      </w:r>
      <w:r w:rsidRPr="00007BAD">
        <w:rPr>
          <w:rFonts w:ascii="Calibri" w:hAnsi="Calibri" w:cs="Calibri"/>
          <w:b/>
          <w:bCs/>
          <w:sz w:val="22"/>
          <w:szCs w:val="22"/>
        </w:rPr>
        <w:t>.</w:t>
      </w:r>
    </w:p>
    <w:p w14:paraId="2D04A2D0" w14:textId="77777777" w:rsidR="00EB7C6C" w:rsidRPr="00007BAD" w:rsidRDefault="00EB7C6C" w:rsidP="00EB7C6C">
      <w:pPr>
        <w:pStyle w:val="Prosttext"/>
        <w:rPr>
          <w:rFonts w:ascii="Calibri" w:hAnsi="Calibri" w:cs="Calibri"/>
          <w:sz w:val="22"/>
          <w:szCs w:val="22"/>
        </w:rPr>
      </w:pPr>
    </w:p>
    <w:p w14:paraId="25E6D01E" w14:textId="77777777" w:rsidR="00EB7C6C" w:rsidRPr="00007BAD" w:rsidRDefault="00EB7C6C" w:rsidP="00EB7C6C">
      <w:pPr>
        <w:pStyle w:val="Prosttext"/>
        <w:numPr>
          <w:ilvl w:val="0"/>
          <w:numId w:val="4"/>
        </w:numPr>
        <w:spacing w:after="120"/>
        <w:ind w:left="426" w:hanging="426"/>
        <w:jc w:val="both"/>
        <w:rPr>
          <w:rFonts w:ascii="Calibri" w:hAnsi="Calibri" w:cs="Calibri"/>
          <w:sz w:val="22"/>
          <w:szCs w:val="22"/>
        </w:rPr>
      </w:pPr>
      <w:r w:rsidRPr="00007BAD">
        <w:rPr>
          <w:rFonts w:ascii="Calibri" w:hAnsi="Calibri" w:cs="Calibri"/>
          <w:sz w:val="22"/>
          <w:szCs w:val="22"/>
        </w:rPr>
        <w:t>Smluvní strany prohlašují, že ustanovení t</w:t>
      </w:r>
      <w:r w:rsidR="00862E0B">
        <w:rPr>
          <w:rFonts w:ascii="Calibri" w:hAnsi="Calibri" w:cs="Calibri"/>
          <w:sz w:val="22"/>
          <w:szCs w:val="22"/>
        </w:rPr>
        <w:t xml:space="preserve">ohoto dodatku nájemní </w:t>
      </w:r>
      <w:r w:rsidRPr="00007BAD">
        <w:rPr>
          <w:rFonts w:ascii="Calibri" w:hAnsi="Calibri" w:cs="Calibri"/>
          <w:sz w:val="22"/>
          <w:szCs w:val="22"/>
        </w:rPr>
        <w:t>smlouvy jsou srozumitelná a určitá, byla dohodnuta svobodně, za rovných podmínek a odpovídají jejich vůli.</w:t>
      </w:r>
    </w:p>
    <w:p w14:paraId="22CADE79" w14:textId="77777777" w:rsidR="00EB7C6C" w:rsidRPr="00007BAD" w:rsidRDefault="00EB7C6C" w:rsidP="00EB7C6C">
      <w:pPr>
        <w:pStyle w:val="Prosttext"/>
        <w:numPr>
          <w:ilvl w:val="0"/>
          <w:numId w:val="4"/>
        </w:numPr>
        <w:spacing w:after="120"/>
        <w:ind w:left="426" w:hanging="426"/>
        <w:jc w:val="both"/>
        <w:rPr>
          <w:rFonts w:ascii="Calibri" w:hAnsi="Calibri" w:cs="Calibri"/>
          <w:sz w:val="22"/>
          <w:szCs w:val="22"/>
        </w:rPr>
      </w:pPr>
      <w:r w:rsidRPr="00007BAD">
        <w:rPr>
          <w:rFonts w:ascii="Calibri" w:hAnsi="Calibri" w:cs="Calibri"/>
          <w:sz w:val="22"/>
          <w:szCs w:val="22"/>
        </w:rPr>
        <w:t>Strany souhlasí, že dodatek smlouvy o změně výše nájemného a fixních poplatků za služby  dle článku III. má formu propočtu na samostatném výpočtovém listu, potvrzeném oběma stranami.</w:t>
      </w:r>
    </w:p>
    <w:p w14:paraId="5BC59E0C" w14:textId="77777777" w:rsidR="00EB7C6C" w:rsidRPr="00007BAD" w:rsidRDefault="00EB7C6C" w:rsidP="00EB7C6C">
      <w:pPr>
        <w:pStyle w:val="Prosttext"/>
        <w:numPr>
          <w:ilvl w:val="0"/>
          <w:numId w:val="4"/>
        </w:numPr>
        <w:spacing w:after="120"/>
        <w:ind w:left="426" w:hanging="426"/>
        <w:jc w:val="both"/>
        <w:rPr>
          <w:rFonts w:ascii="Calibri" w:hAnsi="Calibri" w:cs="Calibri"/>
          <w:sz w:val="22"/>
          <w:szCs w:val="22"/>
        </w:rPr>
      </w:pPr>
      <w:r w:rsidRPr="00007BAD">
        <w:rPr>
          <w:rFonts w:ascii="Calibri" w:hAnsi="Calibri" w:cs="Calibri"/>
          <w:sz w:val="22"/>
          <w:szCs w:val="22"/>
        </w:rPr>
        <w:t>Smlouva je vyhotovena ve dvou stejnopisech. Každá strana obdrží jedno vyhotovení.</w:t>
      </w:r>
    </w:p>
    <w:p w14:paraId="474D273F" w14:textId="77777777" w:rsidR="006B7D39" w:rsidRPr="002914A7" w:rsidRDefault="00EB7C6C" w:rsidP="00C03535">
      <w:pPr>
        <w:pStyle w:val="Prosttext"/>
        <w:numPr>
          <w:ilvl w:val="0"/>
          <w:numId w:val="4"/>
        </w:numPr>
        <w:spacing w:after="120"/>
        <w:ind w:left="426" w:hanging="426"/>
        <w:jc w:val="both"/>
      </w:pPr>
      <w:r w:rsidRPr="00007BAD">
        <w:rPr>
          <w:rFonts w:ascii="Calibri" w:hAnsi="Calibri" w:cs="Calibri"/>
        </w:rPr>
        <w:t>Smlouva nabývá</w:t>
      </w:r>
      <w:r w:rsidR="00C03535">
        <w:rPr>
          <w:rFonts w:ascii="Calibri" w:hAnsi="Calibri" w:cs="Calibri"/>
        </w:rPr>
        <w:t xml:space="preserve"> platnosti a</w:t>
      </w:r>
      <w:r w:rsidRPr="00007BAD">
        <w:rPr>
          <w:rFonts w:ascii="Calibri" w:hAnsi="Calibri" w:cs="Calibri"/>
        </w:rPr>
        <w:t xml:space="preserve"> účinnosti dnem podpisu oběma stranami</w:t>
      </w:r>
      <w:r w:rsidR="00C03535">
        <w:rPr>
          <w:rFonts w:ascii="Calibri" w:hAnsi="Calibri" w:cs="Calibri"/>
        </w:rPr>
        <w:t>.</w:t>
      </w:r>
    </w:p>
    <w:p w14:paraId="75E78382" w14:textId="77777777" w:rsidR="00C03535" w:rsidRPr="002914A7" w:rsidRDefault="00C03535" w:rsidP="002914A7">
      <w:pPr>
        <w:pStyle w:val="Prosttext"/>
        <w:numPr>
          <w:ilvl w:val="0"/>
          <w:numId w:val="4"/>
        </w:numPr>
        <w:spacing w:after="120"/>
        <w:ind w:left="426" w:hanging="426"/>
        <w:jc w:val="both"/>
        <w:rPr>
          <w:rFonts w:ascii="Calibri" w:hAnsi="Calibri" w:cs="Calibri"/>
          <w:sz w:val="22"/>
          <w:szCs w:val="22"/>
        </w:rPr>
      </w:pPr>
      <w:r w:rsidRPr="002914A7">
        <w:rPr>
          <w:rFonts w:ascii="Calibri" w:hAnsi="Calibri" w:cs="Calibri"/>
          <w:sz w:val="22"/>
          <w:szCs w:val="22"/>
        </w:rPr>
        <w:t xml:space="preserve">Smluvní strany se dohodly, že veškerá komunikace související s plněním předmětu této smlouvy bude probíhat prostřednictvím e-mailu oprávněných osob, přičemž se e-mailová zpráva považuje </w:t>
      </w:r>
      <w:r w:rsidRPr="002914A7">
        <w:rPr>
          <w:rFonts w:ascii="Calibri" w:hAnsi="Calibri" w:cs="Calibri"/>
          <w:sz w:val="22"/>
          <w:szCs w:val="22"/>
        </w:rPr>
        <w:lastRenderedPageBreak/>
        <w:t>za doručenou tehdy, potvrdí-li oprávněná osoba druhé smluvní strany její doručení; osobním předáním</w:t>
      </w:r>
      <w:r>
        <w:rPr>
          <w:rFonts w:ascii="Calibri" w:hAnsi="Calibri" w:cs="Calibri"/>
          <w:sz w:val="22"/>
          <w:szCs w:val="22"/>
        </w:rPr>
        <w:t xml:space="preserve"> nebo</w:t>
      </w:r>
      <w:r w:rsidRPr="002914A7">
        <w:rPr>
          <w:rFonts w:ascii="Calibri" w:hAnsi="Calibri" w:cs="Calibri"/>
          <w:sz w:val="22"/>
          <w:szCs w:val="22"/>
        </w:rPr>
        <w:t xml:space="preserve"> prostřednictvím</w:t>
      </w:r>
      <w:r>
        <w:rPr>
          <w:rFonts w:ascii="Calibri" w:hAnsi="Calibri" w:cs="Calibri"/>
          <w:sz w:val="22"/>
          <w:szCs w:val="22"/>
        </w:rPr>
        <w:t xml:space="preserve"> datových schránek</w:t>
      </w:r>
      <w:r w:rsidRPr="002914A7">
        <w:rPr>
          <w:rFonts w:ascii="Calibri" w:hAnsi="Calibri" w:cs="Calibri"/>
          <w:sz w:val="22"/>
          <w:szCs w:val="22"/>
        </w:rPr>
        <w:t>, pokud se smluvní strany nedohodnou jinak.</w:t>
      </w:r>
    </w:p>
    <w:p w14:paraId="4DAD1A72" w14:textId="77777777" w:rsidR="00C03535" w:rsidRPr="00C03535" w:rsidRDefault="00C03535" w:rsidP="002914A7">
      <w:pPr>
        <w:pStyle w:val="Prosttext"/>
        <w:numPr>
          <w:ilvl w:val="0"/>
          <w:numId w:val="4"/>
        </w:numPr>
        <w:spacing w:after="120"/>
        <w:ind w:left="426" w:hanging="426"/>
        <w:jc w:val="both"/>
      </w:pPr>
      <w:r w:rsidRPr="002914A7">
        <w:rPr>
          <w:rFonts w:asciiTheme="minorHAnsi" w:hAnsiTheme="minorHAnsi" w:cstheme="minorHAnsi"/>
          <w:sz w:val="22"/>
          <w:szCs w:val="22"/>
        </w:rPr>
        <w:t xml:space="preserve">Ostatní dohodnutá ujednání </w:t>
      </w:r>
      <w:r>
        <w:rPr>
          <w:rFonts w:asciiTheme="minorHAnsi" w:hAnsiTheme="minorHAnsi" w:cstheme="minorHAnsi"/>
          <w:sz w:val="22"/>
          <w:szCs w:val="22"/>
        </w:rPr>
        <w:t>nájemní s</w:t>
      </w:r>
      <w:r w:rsidRPr="002914A7">
        <w:rPr>
          <w:rFonts w:asciiTheme="minorHAnsi" w:hAnsiTheme="minorHAnsi" w:cstheme="minorHAnsi"/>
          <w:sz w:val="22"/>
          <w:szCs w:val="22"/>
        </w:rPr>
        <w:t xml:space="preserve">mlouvy ve znění jejich pozdějších dodatků se nemění a zůstávají v platnosti. </w:t>
      </w:r>
    </w:p>
    <w:p w14:paraId="04DC69F3" w14:textId="53702C8B" w:rsidR="00C03535" w:rsidRPr="002914A7" w:rsidRDefault="00C03535" w:rsidP="002914A7">
      <w:pPr>
        <w:pStyle w:val="Prosttext"/>
        <w:numPr>
          <w:ilvl w:val="0"/>
          <w:numId w:val="4"/>
        </w:numPr>
        <w:spacing w:after="120"/>
        <w:ind w:left="426" w:hanging="426"/>
        <w:jc w:val="both"/>
        <w:rPr>
          <w:rFonts w:asciiTheme="minorHAnsi" w:hAnsiTheme="minorHAnsi" w:cstheme="minorHAnsi"/>
          <w:sz w:val="22"/>
          <w:szCs w:val="22"/>
        </w:rPr>
      </w:pPr>
      <w:r w:rsidRPr="002914A7">
        <w:rPr>
          <w:rFonts w:asciiTheme="minorHAnsi" w:hAnsiTheme="minorHAnsi" w:cstheme="minorHAnsi"/>
          <w:sz w:val="22"/>
          <w:szCs w:val="22"/>
        </w:rPr>
        <w:t xml:space="preserve">Smluvní strany se dohodly, že na právní poměry vzniklé ze </w:t>
      </w:r>
      <w:r>
        <w:rPr>
          <w:rFonts w:asciiTheme="minorHAnsi" w:hAnsiTheme="minorHAnsi" w:cstheme="minorHAnsi"/>
          <w:sz w:val="22"/>
          <w:szCs w:val="22"/>
        </w:rPr>
        <w:t>s</w:t>
      </w:r>
      <w:r w:rsidRPr="002914A7">
        <w:rPr>
          <w:rFonts w:asciiTheme="minorHAnsi" w:hAnsiTheme="minorHAnsi" w:cstheme="minorHAnsi"/>
          <w:sz w:val="22"/>
          <w:szCs w:val="22"/>
        </w:rPr>
        <w:t xml:space="preserve">mlouvy a </w:t>
      </w:r>
      <w:r>
        <w:rPr>
          <w:rFonts w:asciiTheme="minorHAnsi" w:hAnsiTheme="minorHAnsi" w:cstheme="minorHAnsi"/>
          <w:sz w:val="22"/>
          <w:szCs w:val="22"/>
        </w:rPr>
        <w:t>všech jejích</w:t>
      </w:r>
      <w:r w:rsidRPr="002914A7">
        <w:rPr>
          <w:rFonts w:asciiTheme="minorHAnsi" w:hAnsiTheme="minorHAnsi" w:cstheme="minorHAnsi"/>
          <w:sz w:val="22"/>
          <w:szCs w:val="22"/>
        </w:rPr>
        <w:t xml:space="preserve"> dodatk</w:t>
      </w:r>
      <w:r>
        <w:rPr>
          <w:rFonts w:asciiTheme="minorHAnsi" w:hAnsiTheme="minorHAnsi" w:cstheme="minorHAnsi"/>
          <w:sz w:val="22"/>
          <w:szCs w:val="22"/>
        </w:rPr>
        <w:t xml:space="preserve">ů </w:t>
      </w:r>
      <w:r w:rsidRPr="002914A7">
        <w:rPr>
          <w:rFonts w:asciiTheme="minorHAnsi" w:hAnsiTheme="minorHAnsi" w:cstheme="minorHAnsi"/>
          <w:sz w:val="22"/>
          <w:szCs w:val="22"/>
        </w:rPr>
        <w:t>se použijí ustanovení zákona č.</w:t>
      </w:r>
      <w:r w:rsidR="00CF7F9E">
        <w:rPr>
          <w:rFonts w:asciiTheme="minorHAnsi" w:hAnsiTheme="minorHAnsi" w:cstheme="minorHAnsi"/>
          <w:sz w:val="22"/>
          <w:szCs w:val="22"/>
        </w:rPr>
        <w:t xml:space="preserve"> </w:t>
      </w:r>
      <w:r w:rsidRPr="002914A7">
        <w:rPr>
          <w:rFonts w:asciiTheme="minorHAnsi" w:hAnsiTheme="minorHAnsi" w:cstheme="minorHAnsi"/>
          <w:sz w:val="22"/>
          <w:szCs w:val="22"/>
        </w:rPr>
        <w:t xml:space="preserve">89/2012 Sb., </w:t>
      </w:r>
      <w:r w:rsidR="00CF7F9E">
        <w:rPr>
          <w:rFonts w:asciiTheme="minorHAnsi" w:hAnsiTheme="minorHAnsi" w:cstheme="minorHAnsi"/>
          <w:sz w:val="22"/>
          <w:szCs w:val="22"/>
        </w:rPr>
        <w:t>O</w:t>
      </w:r>
      <w:r w:rsidRPr="002914A7">
        <w:rPr>
          <w:rFonts w:asciiTheme="minorHAnsi" w:hAnsiTheme="minorHAnsi" w:cstheme="minorHAnsi"/>
          <w:sz w:val="22"/>
          <w:szCs w:val="22"/>
        </w:rPr>
        <w:t xml:space="preserve">bčanský zákoník, ve znění pozdějších předpisů. </w:t>
      </w:r>
    </w:p>
    <w:p w14:paraId="16D93D49" w14:textId="0792A2D5" w:rsidR="00C03535" w:rsidRDefault="00C03535" w:rsidP="00C03535">
      <w:pPr>
        <w:pStyle w:val="Prosttext"/>
        <w:numPr>
          <w:ilvl w:val="0"/>
          <w:numId w:val="4"/>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Tento d</w:t>
      </w:r>
      <w:r w:rsidRPr="002914A7">
        <w:rPr>
          <w:rFonts w:asciiTheme="minorHAnsi" w:hAnsiTheme="minorHAnsi" w:cstheme="minorHAnsi"/>
          <w:sz w:val="22"/>
          <w:szCs w:val="22"/>
        </w:rPr>
        <w:t xml:space="preserve">odatek je uzavřen na základě rozhodnutí Rady města Rýmařov č. </w:t>
      </w:r>
      <w:r w:rsidR="00DD0017">
        <w:rPr>
          <w:rFonts w:asciiTheme="minorHAnsi" w:hAnsiTheme="minorHAnsi" w:cstheme="minorHAnsi"/>
          <w:sz w:val="22"/>
          <w:szCs w:val="22"/>
        </w:rPr>
        <w:t>989</w:t>
      </w:r>
      <w:r w:rsidR="009D318E">
        <w:rPr>
          <w:rFonts w:asciiTheme="minorHAnsi" w:hAnsiTheme="minorHAnsi" w:cstheme="minorHAnsi"/>
          <w:sz w:val="22"/>
          <w:szCs w:val="22"/>
        </w:rPr>
        <w:t>/</w:t>
      </w:r>
      <w:r w:rsidR="00DD0017">
        <w:rPr>
          <w:rFonts w:asciiTheme="minorHAnsi" w:hAnsiTheme="minorHAnsi" w:cstheme="minorHAnsi"/>
          <w:sz w:val="22"/>
          <w:szCs w:val="22"/>
        </w:rPr>
        <w:t>21</w:t>
      </w:r>
      <w:r>
        <w:rPr>
          <w:rFonts w:asciiTheme="minorHAnsi" w:hAnsiTheme="minorHAnsi" w:cstheme="minorHAnsi"/>
          <w:sz w:val="22"/>
          <w:szCs w:val="22"/>
        </w:rPr>
        <w:t>/</w:t>
      </w:r>
      <w:r w:rsidRPr="002914A7">
        <w:rPr>
          <w:rFonts w:asciiTheme="minorHAnsi" w:hAnsiTheme="minorHAnsi" w:cstheme="minorHAnsi"/>
          <w:sz w:val="22"/>
          <w:szCs w:val="22"/>
        </w:rPr>
        <w:t>2</w:t>
      </w:r>
      <w:r>
        <w:rPr>
          <w:rFonts w:asciiTheme="minorHAnsi" w:hAnsiTheme="minorHAnsi" w:cstheme="minorHAnsi"/>
          <w:sz w:val="22"/>
          <w:szCs w:val="22"/>
        </w:rPr>
        <w:t>3</w:t>
      </w:r>
      <w:r w:rsidRPr="002914A7">
        <w:rPr>
          <w:rFonts w:asciiTheme="minorHAnsi" w:hAnsiTheme="minorHAnsi" w:cstheme="minorHAnsi"/>
          <w:sz w:val="22"/>
          <w:szCs w:val="22"/>
        </w:rPr>
        <w:t xml:space="preserve"> ze dne </w:t>
      </w:r>
      <w:r w:rsidR="00DD0017">
        <w:rPr>
          <w:rFonts w:asciiTheme="minorHAnsi" w:hAnsiTheme="minorHAnsi" w:cstheme="minorHAnsi"/>
          <w:sz w:val="22"/>
          <w:szCs w:val="22"/>
        </w:rPr>
        <w:t>21</w:t>
      </w:r>
      <w:r w:rsidRPr="002914A7">
        <w:rPr>
          <w:rFonts w:asciiTheme="minorHAnsi" w:hAnsiTheme="minorHAnsi" w:cstheme="minorHAnsi"/>
          <w:sz w:val="22"/>
          <w:szCs w:val="22"/>
        </w:rPr>
        <w:t>.</w:t>
      </w:r>
      <w:r>
        <w:rPr>
          <w:rFonts w:asciiTheme="minorHAnsi" w:hAnsiTheme="minorHAnsi" w:cstheme="minorHAnsi"/>
          <w:sz w:val="22"/>
          <w:szCs w:val="22"/>
        </w:rPr>
        <w:t>0</w:t>
      </w:r>
      <w:r w:rsidR="00DD0017">
        <w:rPr>
          <w:rFonts w:asciiTheme="minorHAnsi" w:hAnsiTheme="minorHAnsi" w:cstheme="minorHAnsi"/>
          <w:sz w:val="22"/>
          <w:szCs w:val="22"/>
        </w:rPr>
        <w:t>8</w:t>
      </w:r>
      <w:r w:rsidRPr="002914A7">
        <w:rPr>
          <w:rFonts w:asciiTheme="minorHAnsi" w:hAnsiTheme="minorHAnsi" w:cstheme="minorHAnsi"/>
          <w:sz w:val="22"/>
          <w:szCs w:val="22"/>
        </w:rPr>
        <w:t>.202</w:t>
      </w:r>
      <w:r>
        <w:rPr>
          <w:rFonts w:asciiTheme="minorHAnsi" w:hAnsiTheme="minorHAnsi" w:cstheme="minorHAnsi"/>
          <w:sz w:val="22"/>
          <w:szCs w:val="22"/>
        </w:rPr>
        <w:t>3</w:t>
      </w:r>
      <w:r w:rsidRPr="002914A7">
        <w:rPr>
          <w:rFonts w:asciiTheme="minorHAnsi" w:hAnsiTheme="minorHAnsi" w:cstheme="minorHAnsi"/>
          <w:sz w:val="22"/>
          <w:szCs w:val="22"/>
        </w:rPr>
        <w:t>.</w:t>
      </w:r>
    </w:p>
    <w:p w14:paraId="2710E13A" w14:textId="77777777" w:rsidR="00C03535" w:rsidRDefault="00C03535" w:rsidP="00C03535">
      <w:pPr>
        <w:pStyle w:val="Prosttext"/>
        <w:spacing w:after="120"/>
        <w:jc w:val="both"/>
        <w:rPr>
          <w:rFonts w:asciiTheme="minorHAnsi" w:hAnsiTheme="minorHAnsi" w:cstheme="minorHAnsi"/>
          <w:sz w:val="22"/>
          <w:szCs w:val="22"/>
        </w:rPr>
      </w:pPr>
    </w:p>
    <w:p w14:paraId="4D9D4164" w14:textId="77777777" w:rsidR="00C03535" w:rsidRDefault="00C03535" w:rsidP="00C03535">
      <w:pPr>
        <w:pStyle w:val="Prosttext"/>
        <w:spacing w:after="120"/>
        <w:jc w:val="both"/>
        <w:rPr>
          <w:rFonts w:asciiTheme="minorHAnsi" w:hAnsiTheme="minorHAnsi" w:cstheme="minorHAnsi"/>
          <w:sz w:val="22"/>
          <w:szCs w:val="22"/>
        </w:rPr>
      </w:pPr>
    </w:p>
    <w:p w14:paraId="24E27292" w14:textId="7578B809" w:rsidR="00C03535" w:rsidRDefault="00C03535" w:rsidP="00C03535">
      <w:pPr>
        <w:pStyle w:val="Prosttext"/>
        <w:spacing w:after="120"/>
        <w:jc w:val="both"/>
        <w:rPr>
          <w:rFonts w:asciiTheme="minorHAnsi" w:hAnsiTheme="minorHAnsi" w:cstheme="minorHAnsi"/>
          <w:sz w:val="22"/>
          <w:szCs w:val="22"/>
        </w:rPr>
      </w:pPr>
      <w:r>
        <w:rPr>
          <w:rFonts w:asciiTheme="minorHAnsi" w:hAnsiTheme="minorHAnsi" w:cstheme="minorHAnsi"/>
          <w:sz w:val="22"/>
          <w:szCs w:val="22"/>
        </w:rPr>
        <w:t xml:space="preserve">V Rýmařově dne </w:t>
      </w:r>
      <w:r w:rsidR="00BB6EA1">
        <w:rPr>
          <w:rFonts w:asciiTheme="minorHAnsi" w:hAnsiTheme="minorHAnsi" w:cstheme="minorHAnsi"/>
          <w:sz w:val="22"/>
          <w:szCs w:val="22"/>
        </w:rPr>
        <w:t>25.09.2023</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E520B54" w14:textId="77777777" w:rsidR="00145B86" w:rsidRDefault="00145B86" w:rsidP="00C03535">
      <w:pPr>
        <w:pStyle w:val="Prosttext"/>
        <w:spacing w:after="120"/>
        <w:jc w:val="both"/>
        <w:rPr>
          <w:rFonts w:asciiTheme="minorHAnsi" w:hAnsiTheme="minorHAnsi" w:cstheme="minorHAnsi"/>
          <w:sz w:val="22"/>
          <w:szCs w:val="22"/>
        </w:rPr>
      </w:pPr>
    </w:p>
    <w:p w14:paraId="4C896983" w14:textId="77777777" w:rsidR="00145B86" w:rsidRDefault="00145B86" w:rsidP="00C03535">
      <w:pPr>
        <w:pStyle w:val="Prosttext"/>
        <w:spacing w:after="120"/>
        <w:jc w:val="both"/>
        <w:rPr>
          <w:rFonts w:asciiTheme="minorHAnsi" w:hAnsiTheme="minorHAnsi" w:cstheme="minorHAnsi"/>
          <w:sz w:val="22"/>
          <w:szCs w:val="22"/>
        </w:rPr>
      </w:pPr>
    </w:p>
    <w:p w14:paraId="4EA191D1" w14:textId="77777777" w:rsidR="00145B86" w:rsidRDefault="00145B86" w:rsidP="00C03535">
      <w:pPr>
        <w:pStyle w:val="Prosttext"/>
        <w:spacing w:after="120"/>
        <w:jc w:val="both"/>
        <w:rPr>
          <w:rFonts w:asciiTheme="minorHAnsi" w:hAnsiTheme="minorHAnsi" w:cstheme="minorHAnsi"/>
          <w:sz w:val="22"/>
          <w:szCs w:val="22"/>
        </w:rPr>
      </w:pPr>
    </w:p>
    <w:p w14:paraId="2763E6DA" w14:textId="77777777" w:rsidR="00C03535" w:rsidRDefault="00C03535" w:rsidP="00C03535">
      <w:pPr>
        <w:pStyle w:val="Prosttext"/>
        <w:spacing w:after="120"/>
        <w:jc w:val="both"/>
        <w:rPr>
          <w:rFonts w:asciiTheme="minorHAnsi" w:hAnsiTheme="minorHAnsi" w:cstheme="minorHAnsi"/>
          <w:sz w:val="22"/>
          <w:szCs w:val="22"/>
        </w:rPr>
      </w:pPr>
    </w:p>
    <w:p w14:paraId="3E9C1090" w14:textId="77777777" w:rsidR="00C03535" w:rsidRDefault="00C03535" w:rsidP="00C03535">
      <w:pPr>
        <w:pStyle w:val="Prosttext"/>
        <w:spacing w:after="120"/>
        <w:jc w:val="both"/>
        <w:rPr>
          <w:rFonts w:asciiTheme="minorHAnsi" w:hAnsiTheme="minorHAnsi" w:cstheme="minorHAnsi"/>
          <w:sz w:val="22"/>
          <w:szCs w:val="22"/>
        </w:rPr>
      </w:pPr>
    </w:p>
    <w:p w14:paraId="04343637" w14:textId="77777777" w:rsidR="002914A7" w:rsidRDefault="002914A7" w:rsidP="00C03535">
      <w:pPr>
        <w:pStyle w:val="Prosttext"/>
        <w:spacing w:after="120"/>
        <w:jc w:val="both"/>
        <w:rPr>
          <w:rFonts w:asciiTheme="minorHAnsi" w:hAnsiTheme="minorHAnsi" w:cstheme="minorHAnsi"/>
          <w:sz w:val="22"/>
          <w:szCs w:val="22"/>
        </w:rPr>
      </w:pPr>
    </w:p>
    <w:p w14:paraId="62107D8C" w14:textId="77777777" w:rsidR="00C03535" w:rsidRDefault="00C03535" w:rsidP="00C03535">
      <w:pPr>
        <w:pStyle w:val="Prosttext"/>
        <w:spacing w:after="120"/>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14:paraId="2DAD4C16" w14:textId="2E32F153" w:rsidR="00C03535" w:rsidRPr="002914A7" w:rsidRDefault="00C03535" w:rsidP="00C03535">
      <w:pPr>
        <w:pStyle w:val="Prosttext"/>
        <w:spacing w:after="120"/>
        <w:jc w:val="both"/>
        <w:rPr>
          <w:rFonts w:asciiTheme="minorHAnsi" w:hAnsiTheme="minorHAnsi" w:cstheme="minorHAnsi"/>
          <w:b/>
          <w:bCs/>
          <w:sz w:val="22"/>
          <w:szCs w:val="22"/>
        </w:rPr>
      </w:pPr>
      <w:r w:rsidRPr="002914A7">
        <w:rPr>
          <w:rFonts w:asciiTheme="minorHAnsi" w:hAnsiTheme="minorHAnsi" w:cstheme="minorHAnsi"/>
          <w:b/>
          <w:bCs/>
          <w:sz w:val="22"/>
          <w:szCs w:val="22"/>
        </w:rPr>
        <w:t>Ing. Lenka Vavřičková</w:t>
      </w:r>
      <w:r w:rsidRPr="002914A7">
        <w:rPr>
          <w:rFonts w:asciiTheme="minorHAnsi" w:hAnsiTheme="minorHAnsi" w:cstheme="minorHAnsi"/>
          <w:b/>
          <w:bCs/>
          <w:sz w:val="22"/>
          <w:szCs w:val="22"/>
        </w:rPr>
        <w:tab/>
      </w:r>
      <w:r w:rsidRPr="002914A7">
        <w:rPr>
          <w:rFonts w:asciiTheme="minorHAnsi" w:hAnsiTheme="minorHAnsi" w:cstheme="minorHAnsi"/>
          <w:b/>
          <w:bCs/>
          <w:sz w:val="22"/>
          <w:szCs w:val="22"/>
        </w:rPr>
        <w:tab/>
      </w:r>
      <w:r w:rsidRPr="002914A7">
        <w:rPr>
          <w:rFonts w:asciiTheme="minorHAnsi" w:hAnsiTheme="minorHAnsi" w:cstheme="minorHAnsi"/>
          <w:b/>
          <w:bCs/>
          <w:sz w:val="22"/>
          <w:szCs w:val="22"/>
        </w:rPr>
        <w:tab/>
      </w:r>
      <w:r w:rsidRPr="002914A7">
        <w:rPr>
          <w:rFonts w:asciiTheme="minorHAnsi" w:hAnsiTheme="minorHAnsi" w:cstheme="minorHAnsi"/>
          <w:b/>
          <w:bCs/>
          <w:sz w:val="22"/>
          <w:szCs w:val="22"/>
        </w:rPr>
        <w:tab/>
      </w:r>
      <w:r w:rsidRPr="002914A7">
        <w:rPr>
          <w:rFonts w:asciiTheme="minorHAnsi" w:hAnsiTheme="minorHAnsi" w:cstheme="minorHAnsi"/>
          <w:b/>
          <w:bCs/>
          <w:sz w:val="22"/>
          <w:szCs w:val="22"/>
        </w:rPr>
        <w:tab/>
      </w:r>
      <w:r w:rsidR="00BB6EA1">
        <w:rPr>
          <w:rFonts w:asciiTheme="minorHAnsi" w:hAnsiTheme="minorHAnsi" w:cstheme="minorHAnsi"/>
          <w:b/>
          <w:bCs/>
          <w:sz w:val="22"/>
          <w:szCs w:val="22"/>
        </w:rPr>
        <w:t>MUDr. Darja Lašáková</w:t>
      </w:r>
      <w:r w:rsidRPr="002914A7">
        <w:rPr>
          <w:rFonts w:asciiTheme="minorHAnsi" w:hAnsiTheme="minorHAnsi" w:cstheme="minorHAnsi"/>
          <w:b/>
          <w:bCs/>
          <w:sz w:val="22"/>
          <w:szCs w:val="22"/>
        </w:rPr>
        <w:t xml:space="preserve"> </w:t>
      </w:r>
    </w:p>
    <w:p w14:paraId="4A886F1A" w14:textId="5A36955C" w:rsidR="00C03535" w:rsidRPr="004F6F7F" w:rsidRDefault="00C03535" w:rsidP="00BB6EA1">
      <w:pPr>
        <w:pStyle w:val="Prosttext"/>
        <w:spacing w:after="120"/>
        <w:ind w:left="2832" w:hanging="2832"/>
        <w:jc w:val="both"/>
        <w:rPr>
          <w:rFonts w:cstheme="minorHAnsi"/>
        </w:rPr>
      </w:pPr>
      <w:r>
        <w:rPr>
          <w:rFonts w:asciiTheme="minorHAnsi" w:hAnsiTheme="minorHAnsi" w:cstheme="minorHAnsi"/>
          <w:sz w:val="22"/>
          <w:szCs w:val="22"/>
        </w:rPr>
        <w:t>místostarostka města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BB6EA1">
        <w:rPr>
          <w:rFonts w:asciiTheme="minorHAnsi" w:hAnsiTheme="minorHAnsi" w:cstheme="minorHAnsi"/>
          <w:sz w:val="22"/>
          <w:szCs w:val="22"/>
        </w:rPr>
        <w:t>nájemce</w:t>
      </w:r>
    </w:p>
    <w:sectPr w:rsidR="00C03535" w:rsidRPr="004F6F7F" w:rsidSect="00BE6C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33DFA"/>
    <w:multiLevelType w:val="hybridMultilevel"/>
    <w:tmpl w:val="B9FCA9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283769"/>
    <w:multiLevelType w:val="hybridMultilevel"/>
    <w:tmpl w:val="20129B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7D1DE5"/>
    <w:multiLevelType w:val="hybridMultilevel"/>
    <w:tmpl w:val="A3E6269A"/>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71494773"/>
    <w:multiLevelType w:val="hybridMultilevel"/>
    <w:tmpl w:val="B5866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F290A12"/>
    <w:multiLevelType w:val="hybridMultilevel"/>
    <w:tmpl w:val="FFFFFFFF"/>
    <w:lvl w:ilvl="0" w:tplc="0405000F">
      <w:start w:val="1"/>
      <w:numFmt w:val="decimal"/>
      <w:lvlText w:val="%1."/>
      <w:lvlJc w:val="left"/>
      <w:pPr>
        <w:ind w:left="1068" w:hanging="360"/>
      </w:pPr>
      <w:rPr>
        <w:rFonts w:cs="Times New Roman"/>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num w:numId="1" w16cid:durableId="461462152">
    <w:abstractNumId w:val="2"/>
  </w:num>
  <w:num w:numId="2" w16cid:durableId="1092042469">
    <w:abstractNumId w:val="1"/>
  </w:num>
  <w:num w:numId="3" w16cid:durableId="953292909">
    <w:abstractNumId w:val="3"/>
  </w:num>
  <w:num w:numId="4" w16cid:durableId="20578963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358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13"/>
    <w:rsid w:val="0000207B"/>
    <w:rsid w:val="00006353"/>
    <w:rsid w:val="00057005"/>
    <w:rsid w:val="0007652E"/>
    <w:rsid w:val="00094474"/>
    <w:rsid w:val="000E4396"/>
    <w:rsid w:val="00145B86"/>
    <w:rsid w:val="00162972"/>
    <w:rsid w:val="0016445D"/>
    <w:rsid w:val="0025080F"/>
    <w:rsid w:val="00272A72"/>
    <w:rsid w:val="002773F5"/>
    <w:rsid w:val="002914A7"/>
    <w:rsid w:val="002E13A1"/>
    <w:rsid w:val="003C646A"/>
    <w:rsid w:val="004F6F7F"/>
    <w:rsid w:val="0055590C"/>
    <w:rsid w:val="005817B5"/>
    <w:rsid w:val="0058225D"/>
    <w:rsid w:val="005A2313"/>
    <w:rsid w:val="005B2695"/>
    <w:rsid w:val="006B7D39"/>
    <w:rsid w:val="00703FE7"/>
    <w:rsid w:val="007A2532"/>
    <w:rsid w:val="00862E0B"/>
    <w:rsid w:val="008D5C49"/>
    <w:rsid w:val="00910EB7"/>
    <w:rsid w:val="00992D1E"/>
    <w:rsid w:val="009D318E"/>
    <w:rsid w:val="00A34A6D"/>
    <w:rsid w:val="00A54834"/>
    <w:rsid w:val="00A575BE"/>
    <w:rsid w:val="00A63D5C"/>
    <w:rsid w:val="00A9323B"/>
    <w:rsid w:val="00AD4136"/>
    <w:rsid w:val="00B52C3C"/>
    <w:rsid w:val="00B67A31"/>
    <w:rsid w:val="00BB6EA1"/>
    <w:rsid w:val="00BE6CAC"/>
    <w:rsid w:val="00C004B4"/>
    <w:rsid w:val="00C03535"/>
    <w:rsid w:val="00C557CF"/>
    <w:rsid w:val="00CA5FD2"/>
    <w:rsid w:val="00CF7F9E"/>
    <w:rsid w:val="00D5362E"/>
    <w:rsid w:val="00D55824"/>
    <w:rsid w:val="00DD0017"/>
    <w:rsid w:val="00E04184"/>
    <w:rsid w:val="00E27DD1"/>
    <w:rsid w:val="00EB7C6C"/>
    <w:rsid w:val="00F034BB"/>
    <w:rsid w:val="00F45AEB"/>
    <w:rsid w:val="00F713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7FD9"/>
  <w15:docId w15:val="{DBCEAD6E-FEBE-4574-A651-984A364D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6CA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uiPriority w:val="20"/>
    <w:qFormat/>
    <w:rsid w:val="006B7D39"/>
    <w:rPr>
      <w:rFonts w:ascii="Times New Roman" w:hAnsi="Times New Roman" w:cs="Times New Roman"/>
      <w:i/>
    </w:rPr>
  </w:style>
  <w:style w:type="paragraph" w:styleId="Prosttext">
    <w:name w:val="Plain Text"/>
    <w:basedOn w:val="Normln"/>
    <w:link w:val="ProsttextChar"/>
    <w:uiPriority w:val="99"/>
    <w:unhideWhenUsed/>
    <w:rsid w:val="006B7D39"/>
    <w:pPr>
      <w:spacing w:after="0" w:line="240" w:lineRule="auto"/>
    </w:pPr>
    <w:rPr>
      <w:rFonts w:ascii="Consolas" w:eastAsia="Times New Roman" w:hAnsi="Consolas" w:cs="Times New Roman"/>
      <w:sz w:val="21"/>
      <w:szCs w:val="21"/>
    </w:rPr>
  </w:style>
  <w:style w:type="character" w:customStyle="1" w:styleId="ProsttextChar">
    <w:name w:val="Prostý text Char"/>
    <w:basedOn w:val="Standardnpsmoodstavce"/>
    <w:link w:val="Prosttext"/>
    <w:uiPriority w:val="99"/>
    <w:rsid w:val="006B7D39"/>
    <w:rPr>
      <w:rFonts w:ascii="Consolas" w:eastAsia="Times New Roman" w:hAnsi="Consolas" w:cs="Times New Roman"/>
      <w:sz w:val="21"/>
      <w:szCs w:val="21"/>
    </w:rPr>
  </w:style>
  <w:style w:type="paragraph" w:styleId="Normlnweb">
    <w:name w:val="Normal (Web)"/>
    <w:basedOn w:val="Normln"/>
    <w:uiPriority w:val="99"/>
    <w:semiHidden/>
    <w:unhideWhenUsed/>
    <w:rsid w:val="006B7D3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52C3C"/>
    <w:pPr>
      <w:ind w:left="720"/>
      <w:contextualSpacing/>
    </w:pPr>
  </w:style>
  <w:style w:type="paragraph" w:styleId="Revize">
    <w:name w:val="Revision"/>
    <w:hidden/>
    <w:uiPriority w:val="99"/>
    <w:semiHidden/>
    <w:rsid w:val="00A575BE"/>
    <w:pPr>
      <w:spacing w:after="0" w:line="240" w:lineRule="auto"/>
    </w:pPr>
  </w:style>
  <w:style w:type="character" w:styleId="Odkaznakoment">
    <w:name w:val="annotation reference"/>
    <w:basedOn w:val="Standardnpsmoodstavce"/>
    <w:uiPriority w:val="99"/>
    <w:semiHidden/>
    <w:unhideWhenUsed/>
    <w:rsid w:val="00C03535"/>
    <w:rPr>
      <w:sz w:val="16"/>
      <w:szCs w:val="16"/>
    </w:rPr>
  </w:style>
  <w:style w:type="paragraph" w:styleId="Textkomente">
    <w:name w:val="annotation text"/>
    <w:basedOn w:val="Normln"/>
    <w:link w:val="TextkomenteChar"/>
    <w:uiPriority w:val="99"/>
    <w:semiHidden/>
    <w:unhideWhenUsed/>
    <w:rsid w:val="00C03535"/>
    <w:pPr>
      <w:spacing w:line="240" w:lineRule="auto"/>
    </w:pPr>
    <w:rPr>
      <w:sz w:val="20"/>
      <w:szCs w:val="20"/>
    </w:rPr>
  </w:style>
  <w:style w:type="character" w:customStyle="1" w:styleId="TextkomenteChar">
    <w:name w:val="Text komentáře Char"/>
    <w:basedOn w:val="Standardnpsmoodstavce"/>
    <w:link w:val="Textkomente"/>
    <w:uiPriority w:val="99"/>
    <w:semiHidden/>
    <w:rsid w:val="00C03535"/>
    <w:rPr>
      <w:sz w:val="20"/>
      <w:szCs w:val="20"/>
    </w:rPr>
  </w:style>
  <w:style w:type="paragraph" w:styleId="Pedmtkomente">
    <w:name w:val="annotation subject"/>
    <w:basedOn w:val="Textkomente"/>
    <w:next w:val="Textkomente"/>
    <w:link w:val="PedmtkomenteChar"/>
    <w:uiPriority w:val="99"/>
    <w:semiHidden/>
    <w:unhideWhenUsed/>
    <w:rsid w:val="00C03535"/>
    <w:rPr>
      <w:b/>
      <w:bCs/>
    </w:rPr>
  </w:style>
  <w:style w:type="character" w:customStyle="1" w:styleId="PedmtkomenteChar">
    <w:name w:val="Předmět komentáře Char"/>
    <w:basedOn w:val="TextkomenteChar"/>
    <w:link w:val="Pedmtkomente"/>
    <w:uiPriority w:val="99"/>
    <w:semiHidden/>
    <w:rsid w:val="00C035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788</Words>
  <Characters>4650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Lenka Vavřičková</dc:creator>
  <cp:lastModifiedBy>Eva Casciani</cp:lastModifiedBy>
  <cp:revision>2</cp:revision>
  <dcterms:created xsi:type="dcterms:W3CDTF">2023-09-25T06:38:00Z</dcterms:created>
  <dcterms:modified xsi:type="dcterms:W3CDTF">2023-09-25T06:38:00Z</dcterms:modified>
</cp:coreProperties>
</file>