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left="0" w:firstLine="0"/>
        <w:jc w:val="right"/>
      </w:pPr>
      <w:bookmarkStart w:id="3" w:name="bookmark3"/>
      <w:r>
        <w:rPr>
          <w:rStyle w:val="CharStyle17"/>
        </w:rPr>
        <w:t>IIIIIIIIIIMIII</w:t>
      </w:r>
      <w:bookmarkEnd w:id="3"/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firstLine="0"/>
        <w:jc w:val="right"/>
      </w:pPr>
      <w:r>
        <w:rPr>
          <w:rStyle w:val="CharStyle22"/>
        </w:rPr>
        <w:t>2023007975</w:t>
      </w:r>
    </w:p>
    <w:p>
      <w:pPr>
        <w:pStyle w:val="Style23"/>
        <w:keepNext/>
        <w:keepLines/>
        <w:widowControl w:val="0"/>
        <w:shd w:val="clear" w:color="auto" w:fill="auto"/>
        <w:tabs>
          <w:tab w:pos="4402" w:val="left"/>
          <w:tab w:leader="hyphen" w:pos="4747" w:val="left"/>
          <w:tab w:leader="hyphen" w:pos="6086" w:val="left"/>
        </w:tabs>
        <w:bidi w:val="0"/>
        <w:spacing w:before="0" w:after="0" w:line="252" w:lineRule="auto"/>
        <w:ind w:left="0" w:right="0" w:firstLine="0"/>
        <w:jc w:val="right"/>
      </w:pPr>
      <w:bookmarkStart w:id="5" w:name="bookmark5"/>
      <w:r>
        <w:rPr>
          <w:rStyle w:val="CharStyle24"/>
          <w:b/>
          <w:bCs/>
        </w:rPr>
        <w:t>KUPNÍ SMLOUVA</w:t>
        <w:tab/>
        <w:tab/>
        <w:tab/>
      </w:r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20" w:line="252" w:lineRule="auto"/>
        <w:ind w:left="2440" w:right="0" w:hanging="2440"/>
        <w:jc w:val="left"/>
        <w:rPr>
          <w:sz w:val="20"/>
          <w:szCs w:val="20"/>
        </w:rPr>
      </w:pPr>
      <w:r>
        <w:rPr>
          <w:rStyle w:val="CharStyle3"/>
          <w:sz w:val="20"/>
          <w:szCs w:val="20"/>
        </w:rPr>
        <w:t>uzavřená v souladu s ustanovení § 2079 a násl. zákona č. 89/2012 Sb., občanský zákoník, mezi níže uvedenými smluvními stranami</w:t>
      </w:r>
    </w:p>
    <w:tbl>
      <w:tblPr>
        <w:tblOverlap w:val="never"/>
        <w:jc w:val="left"/>
        <w:tblLayout w:type="fixed"/>
      </w:tblPr>
      <w:tblGrid>
        <w:gridCol w:w="2630"/>
        <w:gridCol w:w="6125"/>
      </w:tblGrid>
      <w:tr>
        <w:trPr>
          <w:trHeight w:val="45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  <w:b/>
                <w:bCs/>
              </w:rPr>
              <w:t>Zdravotnická záchranná služba Jihomoravského kraje, příspěvková organizace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Kamenice 798/1 d, 625 00 Brno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MUDr. Hana Albrechtová, ředitelka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Kontaktní osoba: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  <w:spacing w:val="1"/>
                <w:shd w:val="clear" w:color="auto" w:fill="000000"/>
              </w:rPr>
              <w:t>..</w:t>
            </w:r>
            <w:r>
              <w:rPr>
                <w:rStyle w:val="CharStyle30"/>
                <w:spacing w:val="2"/>
                <w:shd w:val="clear" w:color="auto" w:fill="000000"/>
              </w:rPr>
              <w:t>....</w:t>
            </w:r>
            <w:r>
              <w:rPr>
                <w:rStyle w:val="CharStyle30"/>
                <w:shd w:val="clear" w:color="auto" w:fill="000000"/>
              </w:rPr>
              <w:t>​</w:t>
            </w:r>
            <w:r>
              <w:rPr>
                <w:rStyle w:val="CharStyle30"/>
                <w:spacing w:val="2"/>
                <w:shd w:val="clear" w:color="auto" w:fill="000000"/>
              </w:rPr>
              <w:t>............</w:t>
            </w:r>
            <w:r>
              <w:rPr>
                <w:rStyle w:val="CharStyle30"/>
                <w:spacing w:val="3"/>
                <w:shd w:val="clear" w:color="auto" w:fill="000000"/>
              </w:rPr>
              <w:t>..</w:t>
            </w:r>
            <w:r>
              <w:rPr>
                <w:rStyle w:val="CharStyle30"/>
                <w:shd w:val="clear" w:color="auto" w:fill="000000"/>
              </w:rPr>
              <w:t>​</w:t>
            </w:r>
            <w:r>
              <w:rPr>
                <w:rStyle w:val="CharStyle30"/>
                <w:spacing w:val="2"/>
                <w:shd w:val="clear" w:color="auto" w:fill="000000"/>
              </w:rPr>
              <w:t>..</w:t>
            </w:r>
            <w:r>
              <w:rPr>
                <w:rStyle w:val="CharStyle30"/>
                <w:spacing w:val="3"/>
                <w:shd w:val="clear" w:color="auto" w:fill="000000"/>
              </w:rPr>
              <w:t>............</w:t>
            </w:r>
            <w:r>
              <w:rPr>
                <w:rStyle w:val="CharStyle30"/>
                <w:shd w:val="clear" w:color="auto" w:fill="000000"/>
              </w:rPr>
              <w:t>​</w:t>
            </w:r>
            <w:r>
              <w:rPr>
                <w:rStyle w:val="CharStyle30"/>
                <w:spacing w:val="5"/>
                <w:shd w:val="clear" w:color="auto" w:fill="000000"/>
              </w:rPr>
              <w:t>.</w:t>
            </w:r>
            <w:r>
              <w:rPr>
                <w:rStyle w:val="CharStyle30"/>
                <w:spacing w:val="6"/>
                <w:shd w:val="clear" w:color="auto" w:fill="000000"/>
              </w:rPr>
              <w:t>......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  <w:spacing w:val="3"/>
                <w:shd w:val="clear" w:color="auto" w:fill="000000"/>
              </w:rPr>
              <w:t>..</w:t>
            </w:r>
            <w:r>
              <w:rPr>
                <w:rStyle w:val="CharStyle30"/>
                <w:spacing w:val="4"/>
                <w:shd w:val="clear" w:color="auto" w:fill="000000"/>
              </w:rPr>
              <w:t>.</w:t>
            </w:r>
            <w:r>
              <w:rPr>
                <w:rStyle w:val="CharStyle30"/>
                <w:shd w:val="clear" w:color="auto" w:fill="000000"/>
              </w:rPr>
              <w:t>​</w:t>
            </w:r>
            <w:r>
              <w:rPr>
                <w:rStyle w:val="CharStyle30"/>
                <w:spacing w:val="3"/>
                <w:shd w:val="clear" w:color="auto" w:fill="000000"/>
              </w:rPr>
              <w:t>..</w:t>
            </w:r>
            <w:r>
              <w:rPr>
                <w:rStyle w:val="CharStyle30"/>
                <w:spacing w:val="4"/>
                <w:shd w:val="clear" w:color="auto" w:fill="000000"/>
              </w:rPr>
              <w:t>......</w:t>
            </w:r>
            <w:r>
              <w:rPr>
                <w:rStyle w:val="CharStyle30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CharStyle30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..........................</w:t>
            </w:r>
            <w:r>
              <w:rPr>
                <w:rStyle w:val="CharStyle30"/>
                <w:spacing w:val="2"/>
                <w:u w:val="single"/>
                <w:shd w:val="clear" w:color="auto" w:fill="000000"/>
                <w:lang w:val="en-US" w:eastAsia="en-US" w:bidi="en-US"/>
              </w:rPr>
              <w:t>......</w:t>
            </w:r>
            <w:r>
              <w:rPr>
                <w:rStyle w:val="CharStyle30"/>
                <w:u w:val="single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CharStyle30"/>
                <w:spacing w:val="8"/>
                <w:shd w:val="clear" w:color="auto" w:fill="000000"/>
                <w:lang w:val="en-US" w:eastAsia="en-US" w:bidi="en-US"/>
              </w:rPr>
              <w:t>...</w:t>
            </w:r>
            <w:r>
              <w:rPr>
                <w:rStyle w:val="CharStyle30"/>
                <w:spacing w:val="9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CharStyle30"/>
                <w:shd w:val="clear" w:color="auto" w:fill="000000"/>
              </w:rPr>
              <w:t>​.......​</w:t>
            </w:r>
            <w:r>
              <w:rPr>
                <w:rStyle w:val="CharStyle30"/>
                <w:spacing w:val="6"/>
                <w:shd w:val="clear" w:color="auto" w:fill="000000"/>
              </w:rPr>
              <w:t>...</w:t>
            </w:r>
            <w:r>
              <w:rPr>
                <w:rStyle w:val="CharStyle30"/>
                <w:spacing w:val="7"/>
                <w:shd w:val="clear" w:color="auto" w:fill="000000"/>
              </w:rPr>
              <w:t>...</w:t>
            </w:r>
            <w:r>
              <w:rPr>
                <w:rStyle w:val="CharStyle30"/>
                <w:shd w:val="clear" w:color="auto" w:fill="000000"/>
              </w:rPr>
              <w:t>​......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IČ:</w:t>
            </w:r>
          </w:p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DIČ: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00346292</w:t>
            </w:r>
          </w:p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CZ00346292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Krajský soud v Brně sp. zn. Pr 1245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MONETA Money Bank, a.s., č. ú. 117203514/0600</w:t>
            </w:r>
          </w:p>
        </w:tc>
      </w:tr>
    </w:tbl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rStyle w:val="CharStyle27"/>
        </w:rPr>
        <w:t xml:space="preserve">(dále jen </w:t>
      </w:r>
      <w:r>
        <w:rPr>
          <w:rStyle w:val="CharStyle27"/>
          <w:b/>
          <w:bCs/>
          <w:i/>
          <w:iCs/>
        </w:rPr>
        <w:t>„kupujíc?)</w:t>
      </w:r>
    </w:p>
    <w:p>
      <w:pPr>
        <w:widowControl w:val="0"/>
        <w:spacing w:after="2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630"/>
        <w:gridCol w:w="6120"/>
      </w:tblGrid>
      <w:tr>
        <w:trPr>
          <w:trHeight w:val="59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ČI</w:t>
            </w:r>
          </w:p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  <w:b/>
                <w:bCs/>
              </w:rPr>
              <w:t>TECOM Analytical Systems CS spol. s r.o.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K Fialce 276/35, 155 00 Praha 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Lenka Habalová, prokurista společnosti</w:t>
            </w:r>
          </w:p>
        </w:tc>
      </w:tr>
      <w:tr>
        <w:trPr>
          <w:trHeight w:val="49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Kontaktní osoba: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  <w:shd w:val="clear" w:color="auto" w:fill="000000"/>
              </w:rPr>
              <w:t>.......​</w:t>
            </w:r>
            <w:r>
              <w:rPr>
                <w:rStyle w:val="CharStyle30"/>
                <w:spacing w:val="7"/>
                <w:shd w:val="clear" w:color="auto" w:fill="000000"/>
              </w:rPr>
              <w:t>......</w:t>
            </w:r>
            <w:r>
              <w:rPr>
                <w:rStyle w:val="CharStyle30"/>
                <w:shd w:val="clear" w:color="auto" w:fill="000000"/>
              </w:rPr>
              <w:t>​</w:t>
            </w:r>
            <w:r>
              <w:rPr>
                <w:rStyle w:val="CharStyle30"/>
                <w:spacing w:val="4"/>
                <w:shd w:val="clear" w:color="auto" w:fill="000000"/>
              </w:rPr>
              <w:t>..........</w:t>
            </w:r>
          </w:p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  <w:spacing w:val="3"/>
                <w:shd w:val="clear" w:color="auto" w:fill="000000"/>
              </w:rPr>
              <w:t>..</w:t>
            </w:r>
            <w:r>
              <w:rPr>
                <w:rStyle w:val="CharStyle30"/>
                <w:spacing w:val="4"/>
                <w:shd w:val="clear" w:color="auto" w:fill="000000"/>
              </w:rPr>
              <w:t>.</w:t>
            </w:r>
            <w:r>
              <w:rPr>
                <w:rStyle w:val="CharStyle30"/>
                <w:shd w:val="clear" w:color="auto" w:fill="000000"/>
              </w:rPr>
              <w:t>​</w:t>
            </w:r>
            <w:r>
              <w:rPr>
                <w:rStyle w:val="CharStyle30"/>
                <w:spacing w:val="3"/>
                <w:shd w:val="clear" w:color="auto" w:fill="000000"/>
              </w:rPr>
              <w:t>..</w:t>
            </w:r>
            <w:r>
              <w:rPr>
                <w:rStyle w:val="CharStyle30"/>
                <w:spacing w:val="4"/>
                <w:shd w:val="clear" w:color="auto" w:fill="000000"/>
              </w:rPr>
              <w:t>......</w:t>
            </w:r>
            <w:r>
              <w:rPr>
                <w:rStyle w:val="CharStyle30"/>
                <w:u w:val="single"/>
                <w:shd w:val="clear" w:color="auto" w:fill="000000"/>
                <w:lang w:val="en-US" w:eastAsia="en-US" w:bidi="en-US"/>
              </w:rPr>
              <w:t>​.</w:t>
            </w:r>
            <w:r>
              <w:rPr>
                <w:rStyle w:val="CharStyle30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.............................</w:t>
            </w:r>
            <w:r>
              <w:rPr>
                <w:rStyle w:val="CharStyle30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CharStyle30"/>
                <w:spacing w:val="2"/>
                <w:u w:val="single"/>
                <w:shd w:val="clear" w:color="auto" w:fill="000000"/>
                <w:lang w:val="en-US" w:eastAsia="en-US" w:bidi="en-US"/>
              </w:rPr>
              <w:t>...</w:t>
            </w:r>
            <w:r>
              <w:rPr>
                <w:rStyle w:val="CharStyle30"/>
                <w:spacing w:val="3"/>
                <w:u w:val="single"/>
                <w:shd w:val="clear" w:color="auto" w:fill="000000"/>
                <w:lang w:val="en-US" w:eastAsia="en-US" w:bidi="en-US"/>
              </w:rPr>
              <w:t>........</w:t>
            </w:r>
            <w:r>
              <w:rPr>
                <w:rStyle w:val="CharStyle30"/>
                <w:u w:val="single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CharStyle30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CharStyle30"/>
                <w:shd w:val="clear" w:color="auto" w:fill="000000"/>
              </w:rPr>
              <w:t>​</w:t>
            </w:r>
            <w:r>
              <w:rPr>
                <w:rStyle w:val="CharStyle30"/>
                <w:spacing w:val="7"/>
                <w:shd w:val="clear" w:color="auto" w:fill="000000"/>
              </w:rPr>
              <w:t>......</w:t>
            </w:r>
            <w:r>
              <w:rPr>
                <w:rStyle w:val="CharStyle30"/>
                <w:shd w:val="clear" w:color="auto" w:fill="000000"/>
              </w:rPr>
              <w:t>​....</w:t>
            </w:r>
            <w:r>
              <w:rPr>
                <w:rStyle w:val="CharStyle30"/>
                <w:spacing w:val="1"/>
                <w:shd w:val="clear" w:color="auto" w:fill="000000"/>
              </w:rPr>
              <w:t>.....</w:t>
            </w:r>
            <w:r>
              <w:rPr>
                <w:rStyle w:val="CharStyle30"/>
                <w:shd w:val="clear" w:color="auto" w:fill="000000"/>
              </w:rPr>
              <w:t>​.......​.......​......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IČO: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15889785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CZ15889785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Městský soud v Praze, oddíl C, vložka 7284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UniCredit Bank Czech Republic and Slovakia, a.s., č.ú. 934006/2700</w:t>
            </w:r>
          </w:p>
        </w:tc>
      </w:tr>
    </w:tbl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rStyle w:val="CharStyle27"/>
        </w:rPr>
        <w:t xml:space="preserve">(dále jen </w:t>
      </w:r>
      <w:r>
        <w:rPr>
          <w:rStyle w:val="CharStyle27"/>
          <w:b/>
          <w:bCs/>
          <w:i/>
          <w:iCs/>
        </w:rPr>
        <w:t>„prodávajíc?)</w:t>
      </w:r>
    </w:p>
    <w:p>
      <w:pPr>
        <w:widowControl w:val="0"/>
        <w:spacing w:after="1079" w:line="1" w:lineRule="exact"/>
      </w:pP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 xml:space="preserve">Prodávající je oprávněn na základě svého vlastnického práva nakládat s tímto zbožím: </w:t>
      </w:r>
      <w:r>
        <w:rPr>
          <w:rStyle w:val="CharStyle3"/>
          <w:b/>
          <w:bCs/>
        </w:rPr>
        <w:t xml:space="preserve">15 ks analyzátoru pro monitoring laktátu, hemoglobinu a hematokritu. </w:t>
      </w:r>
      <w:r>
        <w:rPr>
          <w:rStyle w:val="CharStyle3"/>
        </w:rPr>
        <w:t>Bližší specifikace tohoto zboží je uvedena v příloze č. 1, která je nedílnou součástí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Prodávající prodává zboží podle čl. 1 této smlouvy se všemi jejich součástmi a příslušenstvím kupujícímu, a kupující kupuje toto zboží do vlastnictví Jihomoravského kraje, jako jeho zřizovatele, za kupní cenu podle čl. 6 této smlouvy. Místem plnění závazku prodávajícího je sídlo kupujícího podle záhlaví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Součástí dodávky zboží dle čl. 1 této smlouvy je také dodání veškerých návodů k obsluze, odpovídající technické dokumentace v tištěné a datové podobě, dodání dokladů prokazujících kvalitu a schválení pro užívání v České republice, zejm. dodání příslušných atestů, certifikátů a prohlášení o shodě, to vše v českém jazyce.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after="240" w:line="240" w:lineRule="auto"/>
        <w:ind w:left="400" w:right="0" w:hanging="400"/>
        <w:jc w:val="both"/>
      </w:pPr>
      <w:r>
        <w:rPr>
          <w:rStyle w:val="CharStyle3"/>
        </w:rPr>
        <w:t xml:space="preserve">Prodávající se zavazuje splnit svůj závazek k dodání zboží podle čl. 1 této smlouvy ve lhůtě nejpozději do </w:t>
      </w:r>
      <w:r>
        <w:rPr>
          <w:rStyle w:val="CharStyle3"/>
          <w:b/>
          <w:bCs/>
        </w:rPr>
        <w:t xml:space="preserve">4 týdnů </w:t>
      </w:r>
      <w:r>
        <w:rPr>
          <w:rStyle w:val="CharStyle3"/>
        </w:rPr>
        <w:t>od účinnosti kupní smlouvy dle čl. 16 této smlouvy. Závazek prodávajícího k dodání zboží podle čl. 1 této smlouvy se pak považuje za splněný dnem předání a převzetí tohoto zboží, prostého všech vad, formou písemného předávacího protokolu, podepsaného oběma stranami.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after="200" w:line="240" w:lineRule="auto"/>
        <w:ind w:left="420" w:right="0" w:hanging="420"/>
        <w:jc w:val="both"/>
      </w:pPr>
      <w:r>
        <w:rPr>
          <w:rStyle w:val="CharStyle3"/>
        </w:rPr>
        <w:t>Nebezpečí škody na převáděném zboží a vlastnické právo k tomuto zboží přechází z prodávajícího na kupujícího dnem splnění závazku prodávajícího k dodání tohoto zboží způsobem podle čl. 4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after="200" w:line="240" w:lineRule="auto"/>
        <w:ind w:left="420" w:right="0" w:hanging="420"/>
        <w:jc w:val="both"/>
      </w:pPr>
      <w:r>
        <w:rPr>
          <w:rStyle w:val="CharStyle3"/>
        </w:rPr>
        <w:t xml:space="preserve">Kupující se zavazuje zaplatit prodávajícímu za předmět koupě a prodeje podle čl. 1 této smlouvy kupní cenu ve výši celkem </w:t>
      </w:r>
      <w:r>
        <w:rPr>
          <w:rStyle w:val="CharStyle3"/>
          <w:b/>
          <w:bCs/>
        </w:rPr>
        <w:t xml:space="preserve">303 600,- Kč bez DPH, </w:t>
      </w:r>
      <w:r>
        <w:rPr>
          <w:rStyle w:val="CharStyle3"/>
        </w:rPr>
        <w:t xml:space="preserve">tj. celkem </w:t>
      </w:r>
      <w:r>
        <w:rPr>
          <w:rStyle w:val="CharStyle3"/>
          <w:b/>
          <w:bCs/>
        </w:rPr>
        <w:t xml:space="preserve">367 356,- Kč včetně DPH. </w:t>
      </w:r>
      <w:r>
        <w:rPr>
          <w:rStyle w:val="CharStyle3"/>
        </w:rPr>
        <w:t>Součástí této ceny jsou veškeré náklady prodávajícího na splnění jeho závazku k dodání zboží podle této smlouvy a daň z přidané hodnoty v sazbě podle zákona. Změna ceny je možná pouze v případě zákonné změny sazby DPH.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after="200" w:line="240" w:lineRule="auto"/>
        <w:ind w:left="420" w:right="0" w:hanging="420"/>
        <w:jc w:val="both"/>
      </w:pPr>
      <w:r>
        <w:rPr>
          <w:rStyle w:val="CharStyle3"/>
        </w:rPr>
        <w:t xml:space="preserve">Kupní cena podle čl. 6 této smlouvy je splatná do rukou nebo na účet prodávajícího po splnění závazku prodávajícího k dodání zboží podle čl. 1 této smlouvy způsobem podle čl. 4 této smlouvy ve lhůtě do 30-ti dnů ode dne doručení jejího písemného vyúčtování (faktury/daňového dokladu) ve lhůtě do 30 dnů od jejího doručení. Faktura bude doručena elektronicky na email: 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shd w:val="clear" w:color="auto" w:fill="000000"/>
          <w:lang w:val="en-US" w:eastAsia="en-US" w:bidi="en-US"/>
        </w:rPr>
        <w:t>.</w:t>
      </w:r>
      <w:r>
        <w:rPr>
          <w:rStyle w:val="CharStyle3"/>
          <w:shd w:val="clear" w:color="auto" w:fill="000000"/>
        </w:rPr>
        <w:t>​...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.........................</w:t>
      </w:r>
      <w:r>
        <w:rPr>
          <w:rStyle w:val="CharStyle3"/>
          <w:spacing w:val="2"/>
          <w:u w:val="single"/>
          <w:shd w:val="clear" w:color="auto" w:fill="000000"/>
          <w:lang w:val="en-US" w:eastAsia="en-US" w:bidi="en-US"/>
        </w:rPr>
        <w:t>.......</w:t>
      </w:r>
      <w:r>
        <w:rPr>
          <w:rStyle w:val="CharStyle3"/>
          <w:lang w:val="en-US" w:eastAsia="en-US" w:bidi="en-US"/>
        </w:rPr>
        <w:t xml:space="preserve">. </w:t>
      </w:r>
      <w:r>
        <w:rPr>
          <w:rStyle w:val="CharStyle3"/>
        </w:rPr>
        <w:t xml:space="preserve">Na faktuře musí být mimo jiné vždy uvedeno toto číslo veřejné zakázky, ke které se faktura vztahuje: </w:t>
      </w:r>
      <w:r>
        <w:rPr>
          <w:rStyle w:val="CharStyle3"/>
          <w:b/>
          <w:bCs/>
        </w:rPr>
        <w:t xml:space="preserve">P23V00003056. </w:t>
      </w:r>
      <w:r>
        <w:rPr>
          <w:rStyle w:val="CharStyle3"/>
        </w:rPr>
        <w:t>Přílohou faktury bude rovněž kopie písemného předávacího protokolu podepsaného oběma stranami. Nebude-li faktura splňovat veškeré náležitosti daňového dokladu podle zákona a další náležitosti podle této smlouvy, je kupující oprávněn vrátit takovou fakturu prodávajícímu k opravě, přičemž doba její splatnosti začne znovu celá běžet ode dne doručení opravené faktury kupujícímu.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after="420" w:line="240" w:lineRule="auto"/>
        <w:ind w:left="420" w:right="0" w:hanging="420"/>
        <w:jc w:val="both"/>
      </w:pPr>
      <w:r>
        <w:rPr>
          <w:rStyle w:val="CharStyle3"/>
        </w:rPr>
        <w:t>S převodem zboží podle čl. 1 této smlouvy je spojena záruka za jeho jakost v trvání 24 měsíců. V rámci této záruky se prodávající zavazuje bezplatně odstraňovat vady na zboží podle čl. 1 této smlouvy ve lhůtě do 5-ti pracovních dní od doručení příslušné reklamace kupujícího. Za odstranění vady v uvedené lhůtě se přitom považuje i zapůjčení náhradního srovnatelného plnění v této lhůtě, a to na dobu nezbytnou k odstranění reklamované vady.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after="420" w:line="240" w:lineRule="auto"/>
        <w:ind w:left="420" w:right="0" w:hanging="420"/>
        <w:jc w:val="both"/>
      </w:pPr>
      <w:r>
        <w:rPr>
          <w:rStyle w:val="CharStyle3"/>
        </w:rPr>
        <w:t>Pro případ sporu o oprávněnost reklamace se kupujícímu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after="420" w:line="240" w:lineRule="auto"/>
        <w:ind w:left="420" w:right="0" w:hanging="420"/>
        <w:jc w:val="both"/>
      </w:pPr>
      <w:r>
        <w:rPr>
          <w:rStyle w:val="CharStyle3"/>
        </w:rPr>
        <w:t>Nepřikročí-li prodávající k odstranění vady ve lhůtě podle čl. 8 této smlouvy nebo v něm z důvodů na své straně nepokračuje, a to ani po písemné výzvě ze strany kupujícího, je kupující oprávněn nechat provést toto odstranění třetí osobou na náklady prodávajícího.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after="420" w:line="240" w:lineRule="auto"/>
        <w:ind w:left="420" w:right="0" w:hanging="420"/>
        <w:jc w:val="both"/>
      </w:pPr>
      <w:r>
        <w:rPr>
          <w:rStyle w:val="CharStyle3"/>
        </w:rPr>
        <w:t>Pro případ prodlení se splněním jeho závazku k dodání zboží ve lhůtě podle čl. 4 této smlouvy a pro případ jeho prodlení s odstraněním vady ve lhůtě podle čl. 8 této smlouvy se prodávající zavazuje platit kupujícímu smluvní pokutu ve výši 0,1 % z kupní ceny podle čl. 5 této smlouvy za každý započatý den tohoto prodlení.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after="420" w:line="240" w:lineRule="auto"/>
        <w:ind w:left="420" w:right="0" w:hanging="420"/>
        <w:jc w:val="both"/>
      </w:pPr>
      <w:r>
        <w:rPr>
          <w:rStyle w:val="CharStyle3"/>
        </w:rPr>
        <w:t>Pro případ prodlení se splněním jeho závazku k dodání zboží ve lhůtě podle čl. 4 této smlouvy o více, než 2 týdny nebo pro případ výskytu neodstranitelné vady resp. výskytu tří a více vad, a i to postupně, je kupující oprávněn odstoupit od této smlouvy s účinky ex tunc.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after="200" w:line="240" w:lineRule="auto"/>
        <w:ind w:left="420" w:right="0" w:hanging="420"/>
        <w:jc w:val="both"/>
      </w:pPr>
      <w:r>
        <w:rPr>
          <w:rStyle w:val="CharStyle3"/>
        </w:rPr>
        <w:t>Pro případ prodlení kupujícího se zaplacením kupní ceny nebo její části ve lhůtě podle čl. 7 této smlouvy o víc, než 2 týdny, je prodávající oprávněn od této smlouvy odstoupit s účinky ex tunc.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after="420" w:line="240" w:lineRule="auto"/>
        <w:ind w:left="420" w:right="0" w:hanging="420"/>
        <w:jc w:val="both"/>
      </w:pPr>
      <w:r>
        <w:rPr>
          <w:rStyle w:val="CharStyle3"/>
        </w:rPr>
        <w:t>Není-Ii touto smlouvou ujednáno jinak, řídí se vzájemný právní vztah mezi kupujícím a prodávajícím při realizaci této smlouvy ust. § 2079 a násl. občanského zákoníku. Obě strany přitom vylučují použití ust. §1917 až 1918, §1920 až 1922, §1924, § 2099 až 2101, § 2103 až 2105 a §2165 až 2172 občanského zákoníku a také obchodních zvyklostí, které jsou svým smyslem nebo účinky totožné nebo obdobné s uvedenými ustanoveními, na jejich právní vztah podle této smlouvy.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Tato smlouva se uzavírá na základě návrhu na její uzavření ze strany kupujícího. Předpokladem uzavření této smlouvy je její písemná forma a dohoda o jejích podstatných náležitostech, čímž se rozumí celý obsah této smlouvy, jak je uveden v čl. 1 až 20 této smlouvy. Kupující přitom předem vylučuje přijetí tohoto návrhu s dodatkem nebo odchylkou ve smyslu ust. par. 1740 odst. 3 občanského zákoníku.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Prodávající bere na vědomí a souhlasí s tím, aby kupující uveřejnil tuto smlouvu v registru smluv v souladu s ustanoveními zákona č. 340/2015 Sb., o registru smluv, ve znění pozdějších předpisů.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after="440" w:line="240" w:lineRule="auto"/>
        <w:ind w:left="0" w:right="0" w:firstLine="0"/>
        <w:jc w:val="left"/>
      </w:pPr>
      <w:r>
        <w:rPr>
          <w:rStyle w:val="CharStyle3"/>
        </w:rPr>
        <w:t>Tuto smlouvu lze změnit nebo zrušit pouze jinou písemnou dohodou obou smluvních stran.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after="440" w:line="240" w:lineRule="auto"/>
        <w:ind w:left="0" w:right="0" w:firstLine="0"/>
        <w:jc w:val="left"/>
      </w:pPr>
      <w:r>
        <w:rPr>
          <w:rStyle w:val="CharStyle3"/>
        </w:rPr>
        <w:t>Tato smlouva nabývá účinnosti dnem jejího uveřejnění v registru smluv dle čl. 16.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Prodávající uděluje kupujícímu svůj výslovný souhlas se zveřejněním podmínek této smlouvy v rozsahu a za podmínek vyplývajících z příslušných právních předpisů (zejména zákona č. 106/1999 Sb., o svobodném přístupu k informacím, v platném znění).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after="880" w:line="240" w:lineRule="auto"/>
        <w:ind w:left="400" w:right="0" w:hanging="400"/>
        <w:jc w:val="both"/>
      </w:pPr>
      <w:r>
        <w:rPr>
          <w:rStyle w:val="CharStyle3"/>
        </w:rPr>
        <w:t>Dáno ve dvou originálních písemných vyhotoveních, z nichž každá ze smluvních stran obdrží po jednom.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814" w:right="705" w:bottom="1696" w:left="1557" w:header="386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4246880</wp:posOffset>
                </wp:positionH>
                <wp:positionV relativeFrom="margin">
                  <wp:posOffset>4248785</wp:posOffset>
                </wp:positionV>
                <wp:extent cx="770890" cy="14922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7089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Ve Praze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34.40000000000003pt;margin-top:334.55000000000001pt;width:60.700000000000003pt;height:11.75pt;z-index:-125829375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Ve Praze dne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15900" distB="267970" distL="114300" distR="1247775" simplePos="0" relativeHeight="125829380" behindDoc="0" locked="0" layoutInCell="1" allowOverlap="1">
                <wp:simplePos x="0" y="0"/>
                <wp:positionH relativeFrom="page">
                  <wp:posOffset>4350385</wp:posOffset>
                </wp:positionH>
                <wp:positionV relativeFrom="margin">
                  <wp:posOffset>4751705</wp:posOffset>
                </wp:positionV>
                <wp:extent cx="524510" cy="26543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24510" cy="265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spacing w:val="2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5"/>
                                <w:spacing w:val="3"/>
                                <w:shd w:val="clear" w:color="auto" w:fill="000000"/>
                              </w:rPr>
                              <w:t>........</w:t>
                            </w:r>
                            <w:bookmarkStart w:id="0" w:name="bookmark0"/>
                            <w:bookmarkEnd w:id="0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42.55000000000001pt;margin-top:374.15000000000003pt;width:41.300000000000004pt;height:20.900000000000002pt;z-index:-125829373;mso-wrap-distance-left:9.pt;mso-wrap-distance-top:17.pt;mso-wrap-distance-right:98.25pt;mso-wrap-distance-bottom:21.1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spacing w:val="2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5"/>
                          <w:spacing w:val="3"/>
                          <w:shd w:val="clear" w:color="auto" w:fill="000000"/>
                        </w:rPr>
                        <w:t>........</w:t>
                      </w:r>
                      <w:bookmarkStart w:id="0" w:name="bookmark0"/>
                      <w:bookmarkEnd w:id="0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83870" distB="0" distL="114300" distR="949325" simplePos="0" relativeHeight="125829382" behindDoc="0" locked="0" layoutInCell="1" allowOverlap="1">
                <wp:simplePos x="0" y="0"/>
                <wp:positionH relativeFrom="page">
                  <wp:posOffset>4350385</wp:posOffset>
                </wp:positionH>
                <wp:positionV relativeFrom="margin">
                  <wp:posOffset>5019675</wp:posOffset>
                </wp:positionV>
                <wp:extent cx="822960" cy="26543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22960" cy="265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5"/>
                                <w:spacing w:val="5"/>
                                <w:shd w:val="clear" w:color="auto" w:fill="000000"/>
                              </w:rPr>
                              <w:t>...........</w:t>
                            </w:r>
                            <w:r>
                              <w:rPr>
                                <w:rStyle w:val="CharStyle5"/>
                                <w:spacing w:val="6"/>
                                <w:shd w:val="clear" w:color="auto" w:fill="000000"/>
                              </w:rPr>
                              <w:t>...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42.55000000000001pt;margin-top:395.25pt;width:64.799999999999997pt;height:20.900000000000002pt;z-index:-125829371;mso-wrap-distance-left:9.pt;mso-wrap-distance-top:38.100000000000001pt;mso-wrap-distance-right:74.7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5"/>
                          <w:spacing w:val="5"/>
                          <w:shd w:val="clear" w:color="auto" w:fill="000000"/>
                        </w:rPr>
                        <w:t>...........</w:t>
                      </w:r>
                      <w:r>
                        <w:rPr>
                          <w:rStyle w:val="CharStyle5"/>
                          <w:spacing w:val="6"/>
                          <w:shd w:val="clear" w:color="auto" w:fill="000000"/>
                        </w:rPr>
                        <w:t>...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19075" distB="18415" distL="946150" distR="114300" simplePos="0" relativeHeight="125829384" behindDoc="0" locked="0" layoutInCell="1" allowOverlap="1">
                <wp:simplePos x="0" y="0"/>
                <wp:positionH relativeFrom="page">
                  <wp:posOffset>5182235</wp:posOffset>
                </wp:positionH>
                <wp:positionV relativeFrom="margin">
                  <wp:posOffset>4754880</wp:posOffset>
                </wp:positionV>
                <wp:extent cx="826135" cy="51181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26135" cy="511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  <w:shd w:val="clear" w:color="auto" w:fill="000000"/>
                              </w:rPr>
                              <w:t>..............</w:t>
                            </w:r>
                            <w:r>
                              <w:rPr>
                                <w:rStyle w:val="CharStyle11"/>
                                <w:spacing w:val="1"/>
                                <w:shd w:val="clear" w:color="auto" w:fill="000000"/>
                              </w:rPr>
                              <w:t>.....</w:t>
                            </w:r>
                            <w:r>
                              <w:rPr>
                                <w:rStyle w:val="CharStyle11"/>
                                <w:shd w:val="clear" w:color="auto" w:fill="000000"/>
                              </w:rPr>
                              <w:t>​......</w:t>
                            </w:r>
                            <w:r>
                              <w:rPr>
                                <w:rStyle w:val="CharStyle11"/>
                                <w:spacing w:val="1"/>
                                <w:shd w:val="clear" w:color="auto" w:fill="000000"/>
                              </w:rPr>
                              <w:t>............</w:t>
                            </w:r>
                            <w:r>
                              <w:rPr>
                                <w:rStyle w:val="CharStyle11"/>
                              </w:rPr>
                              <w:t xml:space="preserve"> </w:t>
                            </w:r>
                            <w:r>
                              <w:rPr>
                                <w:rStyle w:val="CharStyle11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11"/>
                                <w:spacing w:val="2"/>
                                <w:shd w:val="clear" w:color="auto" w:fill="000000"/>
                              </w:rPr>
                              <w:t>......</w:t>
                            </w:r>
                            <w:r>
                              <w:rPr>
                                <w:rStyle w:val="CharStyle11"/>
                                <w:spacing w:val="3"/>
                                <w:shd w:val="clear" w:color="auto" w:fill="000000"/>
                              </w:rPr>
                              <w:t>......</w:t>
                            </w:r>
                            <w:r>
                              <w:rPr>
                                <w:rStyle w:val="CharStyle11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11"/>
                                <w:spacing w:val="1"/>
                                <w:shd w:val="clear" w:color="auto" w:fill="000000"/>
                              </w:rPr>
                              <w:t>............</w:t>
                            </w:r>
                            <w:r>
                              <w:rPr>
                                <w:rStyle w:val="CharStyle11"/>
                                <w:spacing w:val="2"/>
                                <w:shd w:val="clear" w:color="auto" w:fill="000000"/>
                              </w:rPr>
                              <w:t>......</w:t>
                            </w:r>
                            <w:r>
                              <w:rPr>
                                <w:rStyle w:val="CharStyle11"/>
                              </w:rPr>
                              <w:t xml:space="preserve"> </w:t>
                            </w:r>
                            <w:r>
                              <w:rPr>
                                <w:rStyle w:val="CharStyle11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11"/>
                                <w:spacing w:val="1"/>
                                <w:shd w:val="clear" w:color="auto" w:fill="000000"/>
                              </w:rPr>
                              <w:t>.....</w:t>
                            </w:r>
                            <w:r>
                              <w:rPr>
                                <w:rStyle w:val="CharStyle11"/>
                                <w:spacing w:val="2"/>
                                <w:shd w:val="clear" w:color="auto" w:fill="000000"/>
                              </w:rPr>
                              <w:t>..........</w:t>
                            </w:r>
                            <w:r>
                              <w:rPr>
                                <w:rStyle w:val="CharStyle11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11"/>
                                <w:spacing w:val="1"/>
                                <w:shd w:val="clear" w:color="auto" w:fill="000000"/>
                              </w:rPr>
                              <w:t>.....................</w:t>
                            </w:r>
                            <w:r>
                              <w:rPr>
                                <w:rStyle w:val="CharStyle11"/>
                              </w:rPr>
                              <w:t xml:space="preserve"> </w:t>
                            </w:r>
                            <w:r>
                              <w:rPr>
                                <w:rStyle w:val="CharStyle11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11"/>
                                <w:spacing w:val="1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11"/>
                                <w:spacing w:val="2"/>
                                <w:shd w:val="clear" w:color="auto" w:fill="000000"/>
                              </w:rPr>
                              <w:t>...............</w:t>
                            </w:r>
                            <w:r>
                              <w:rPr>
                                <w:rStyle w:val="CharStyle11"/>
                                <w:shd w:val="clear" w:color="auto" w:fill="000000"/>
                              </w:rPr>
                              <w:t>​...............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08.05000000000001pt;margin-top:374.40000000000003pt;width:65.049999999999997pt;height:40.300000000000004pt;z-index:-125829369;mso-wrap-distance-left:74.5pt;mso-wrap-distance-top:17.25pt;mso-wrap-distance-right:9.pt;mso-wrap-distance-bottom:1.4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  <w:shd w:val="clear" w:color="auto" w:fill="000000"/>
                        </w:rPr>
                        <w:t>..............</w:t>
                      </w:r>
                      <w:r>
                        <w:rPr>
                          <w:rStyle w:val="CharStyle11"/>
                          <w:spacing w:val="1"/>
                          <w:shd w:val="clear" w:color="auto" w:fill="000000"/>
                        </w:rPr>
                        <w:t>.....</w:t>
                      </w:r>
                      <w:r>
                        <w:rPr>
                          <w:rStyle w:val="CharStyle11"/>
                          <w:shd w:val="clear" w:color="auto" w:fill="000000"/>
                        </w:rPr>
                        <w:t>​......</w:t>
                      </w:r>
                      <w:r>
                        <w:rPr>
                          <w:rStyle w:val="CharStyle11"/>
                          <w:spacing w:val="1"/>
                          <w:shd w:val="clear" w:color="auto" w:fill="000000"/>
                        </w:rPr>
                        <w:t>............</w:t>
                      </w:r>
                      <w:r>
                        <w:rPr>
                          <w:rStyle w:val="CharStyle11"/>
                        </w:rPr>
                        <w:t xml:space="preserve"> </w:t>
                      </w:r>
                      <w:r>
                        <w:rPr>
                          <w:rStyle w:val="CharStyle11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11"/>
                          <w:spacing w:val="2"/>
                          <w:shd w:val="clear" w:color="auto" w:fill="000000"/>
                        </w:rPr>
                        <w:t>......</w:t>
                      </w:r>
                      <w:r>
                        <w:rPr>
                          <w:rStyle w:val="CharStyle11"/>
                          <w:spacing w:val="3"/>
                          <w:shd w:val="clear" w:color="auto" w:fill="000000"/>
                        </w:rPr>
                        <w:t>......</w:t>
                      </w:r>
                      <w:r>
                        <w:rPr>
                          <w:rStyle w:val="CharStyle11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11"/>
                          <w:spacing w:val="1"/>
                          <w:shd w:val="clear" w:color="auto" w:fill="000000"/>
                        </w:rPr>
                        <w:t>............</w:t>
                      </w:r>
                      <w:r>
                        <w:rPr>
                          <w:rStyle w:val="CharStyle11"/>
                          <w:spacing w:val="2"/>
                          <w:shd w:val="clear" w:color="auto" w:fill="000000"/>
                        </w:rPr>
                        <w:t>......</w:t>
                      </w:r>
                      <w:r>
                        <w:rPr>
                          <w:rStyle w:val="CharStyle11"/>
                        </w:rPr>
                        <w:t xml:space="preserve"> </w:t>
                      </w:r>
                      <w:r>
                        <w:rPr>
                          <w:rStyle w:val="CharStyle11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11"/>
                          <w:spacing w:val="1"/>
                          <w:shd w:val="clear" w:color="auto" w:fill="000000"/>
                        </w:rPr>
                        <w:t>.....</w:t>
                      </w:r>
                      <w:r>
                        <w:rPr>
                          <w:rStyle w:val="CharStyle11"/>
                          <w:spacing w:val="2"/>
                          <w:shd w:val="clear" w:color="auto" w:fill="000000"/>
                        </w:rPr>
                        <w:t>..........</w:t>
                      </w:r>
                      <w:r>
                        <w:rPr>
                          <w:rStyle w:val="CharStyle11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11"/>
                          <w:spacing w:val="1"/>
                          <w:shd w:val="clear" w:color="auto" w:fill="000000"/>
                        </w:rPr>
                        <w:t>.....................</w:t>
                      </w:r>
                      <w:r>
                        <w:rPr>
                          <w:rStyle w:val="CharStyle11"/>
                        </w:rPr>
                        <w:t xml:space="preserve"> </w:t>
                      </w:r>
                      <w:r>
                        <w:rPr>
                          <w:rStyle w:val="CharStyle11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11"/>
                          <w:spacing w:val="1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11"/>
                          <w:spacing w:val="2"/>
                          <w:shd w:val="clear" w:color="auto" w:fill="000000"/>
                        </w:rPr>
                        <w:t>...............</w:t>
                      </w:r>
                      <w:r>
                        <w:rPr>
                          <w:rStyle w:val="CharStyle11"/>
                          <w:shd w:val="clear" w:color="auto" w:fill="000000"/>
                        </w:rPr>
                        <w:t>​...............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margin">
              <wp:posOffset>154940</wp:posOffset>
            </wp:positionH>
            <wp:positionV relativeFrom="margin">
              <wp:posOffset>4726940</wp:posOffset>
            </wp:positionV>
            <wp:extent cx="1865630" cy="96901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1865630" cy="9690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</w:rPr>
        <w:t>V Brně dne</w:t>
      </w:r>
    </w:p>
    <w:p>
      <w:pPr>
        <w:widowControl w:val="0"/>
        <w:spacing w:before="41" w:after="4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83" w:right="0" w:bottom="2858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4250055</wp:posOffset>
                </wp:positionH>
                <wp:positionV relativeFrom="paragraph">
                  <wp:posOffset>12700</wp:posOffset>
                </wp:positionV>
                <wp:extent cx="1200785" cy="435610"/>
                <wp:wrapSquare wrapText="lef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00785" cy="435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Lenka Habalová prokurista společnosti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34.65000000000003pt;margin-top:1.pt;width:94.549999999999997pt;height:34.300000000000004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Lenka Habalová prokurista společnosti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Prodávající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MUDr. Hana Albrechtová ředitelka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0" w:right="0" w:firstLine="0"/>
        <w:jc w:val="left"/>
      </w:pPr>
      <w:r>
        <w:rPr>
          <w:rStyle w:val="CharStyle3"/>
          <w:b/>
          <w:bCs/>
        </w:rPr>
        <w:t>Kupující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Příloha č.1 Technická specifikace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rStyle w:val="CharStyle3"/>
          <w:b/>
          <w:bCs/>
        </w:rPr>
        <w:t>Příloha č. 1 Technická specifikace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bookmarkStart w:id="7" w:name="bookmark7"/>
      <w:r>
        <w:rPr>
          <w:rStyle w:val="CharStyle24"/>
          <w:b/>
          <w:bCs/>
        </w:rPr>
        <w:t>Analyzátor pro monitoring laktátu, hemoglobinu a hematokritu</w:t>
      </w:r>
      <w:bookmarkEnd w:id="7"/>
    </w:p>
    <w:p>
      <w:pPr>
        <w:pStyle w:val="Style2"/>
        <w:keepNext w:val="0"/>
        <w:keepLines w:val="0"/>
        <w:widowControl w:val="0"/>
        <w:shd w:val="clear" w:color="auto" w:fill="auto"/>
        <w:tabs>
          <w:tab w:pos="200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Obchodní název:</w:t>
        <w:tab/>
      </w:r>
      <w:r>
        <w:rPr>
          <w:rStyle w:val="CharStyle3"/>
          <w:b/>
          <w:bCs/>
        </w:rPr>
        <w:t>60873 StatStrip Xpress 2 Lac/Hb/Hct Meter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80" w:right="0" w:firstLine="0"/>
        <w:jc w:val="left"/>
      </w:pPr>
      <w:r>
        <w:rPr>
          <w:rStyle w:val="CharStyle3"/>
        </w:rPr>
        <w:t>(jednotky laktát: mmol/l, Hb: g/l, Hct: %)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0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Výrobce:</w:t>
        <w:tab/>
      </w:r>
      <w:r>
        <w:rPr>
          <w:rStyle w:val="CharStyle3"/>
          <w:b/>
          <w:bCs/>
        </w:rPr>
        <w:t>Nova Biomedical, USA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08" w:val="left"/>
        </w:tabs>
        <w:bidi w:val="0"/>
        <w:spacing w:before="0" w:after="200" w:line="240" w:lineRule="auto"/>
        <w:ind w:left="0" w:right="0" w:firstLine="0"/>
        <w:jc w:val="left"/>
      </w:pPr>
      <w:r>
        <w:rPr>
          <w:rStyle w:val="CharStyle3"/>
        </w:rPr>
        <w:t>Počet ks:</w:t>
        <w:tab/>
      </w:r>
      <w:r>
        <w:rPr>
          <w:rStyle w:val="CharStyle3"/>
          <w:b/>
          <w:bCs/>
        </w:rPr>
        <w:t>15</w:t>
      </w:r>
    </w:p>
    <w:tbl>
      <w:tblPr>
        <w:tblOverlap w:val="never"/>
        <w:jc w:val="center"/>
        <w:tblLayout w:type="fixed"/>
      </w:tblPr>
      <w:tblGrid>
        <w:gridCol w:w="614"/>
        <w:gridCol w:w="5702"/>
        <w:gridCol w:w="2453"/>
      </w:tblGrid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  <w:b/>
                <w:bCs/>
              </w:rPr>
              <w:t>P.č.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0"/>
                <w:b/>
                <w:bCs/>
              </w:rPr>
              <w:t>Požadavky zadavatele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0"/>
                <w:b/>
                <w:bCs/>
              </w:rPr>
              <w:t>Splnění požadavků (ano/ne, údaj, hodnota)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0"/>
                <w:b/>
                <w:bCs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Měřené parametry: laktát, hemoglobin a hematoktrit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0"/>
              </w:rPr>
              <w:t>ano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0"/>
                <w:b/>
                <w:bCs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Objem vzorku: 0,6 pl laktát, 1,6 pl Hb/Hct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0"/>
              </w:rPr>
              <w:t>ano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0"/>
                <w:b/>
                <w:bCs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Doba měřeni: 13 s laktát, 40 s Hb/Hct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0"/>
              </w:rPr>
              <w:t>ano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0"/>
                <w:b/>
                <w:bCs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Metoda měření: elektrochemická, proužková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0"/>
              </w:rPr>
              <w:t>ano</w:t>
            </w:r>
          </w:p>
        </w:tc>
      </w:tr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0"/>
                <w:b/>
                <w:bCs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30"/>
              </w:rPr>
              <w:t>Typy vzorku:</w:t>
            </w:r>
          </w:p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rStyle w:val="CharStyle30"/>
              </w:rPr>
              <w:t>laktát - plná krev kapilární, arteriální, venózní Hb/Hct - plná krev kapilární, venózní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0"/>
              </w:rPr>
              <w:t>ano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0"/>
                <w:b/>
                <w:bCs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Použitelný antikoagulant heparin sodný, lithný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0"/>
              </w:rPr>
              <w:t>ano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0"/>
                <w:b/>
                <w:bCs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Displej: barevný, podsvícený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0"/>
              </w:rPr>
              <w:t>ano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0"/>
                <w:b/>
                <w:bCs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Měřící rozsah: hemoglobin (65-220 g/l), hematokrit 20% - 65%, laktát 0,3 - 20,0 mmol/l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0"/>
              </w:rPr>
              <w:t>ano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0"/>
                <w:b/>
                <w:bCs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Rozměry: 98 x 61 x 23 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0"/>
              </w:rPr>
              <w:t>ano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0"/>
                <w:b/>
                <w:bCs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Hmotnost: 79 g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0"/>
              </w:rPr>
              <w:t>ano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0"/>
                <w:b/>
                <w:bCs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Baterie: 2x AAA alkalická výměnná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0"/>
              </w:rPr>
              <w:t>ano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0"/>
                <w:b/>
                <w:bCs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Paměť na ukládání výsledků - Vzorky pacientů a QC: 400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0"/>
              </w:rPr>
              <w:t>ano</w:t>
            </w:r>
          </w:p>
        </w:tc>
      </w:tr>
      <w:tr>
        <w:trPr>
          <w:trHeight w:val="15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0"/>
                <w:b/>
                <w:bCs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 xml:space="preserve">Součást dodávky ke každému ks dodaného přístroje: </w:t>
            </w:r>
            <w:r>
              <w:rPr>
                <w:rStyle w:val="CharStyle30"/>
                <w:u w:val="single"/>
              </w:rPr>
              <w:t>pro stanovení laktátu</w:t>
            </w:r>
            <w:r>
              <w:rPr>
                <w:rStyle w:val="CharStyle30"/>
              </w:rPr>
              <w:t>:</w:t>
            </w:r>
          </w:p>
          <w:p>
            <w:pPr>
              <w:pStyle w:val="Style29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736" w:val="left"/>
              </w:tabs>
              <w:bidi w:val="0"/>
              <w:spacing w:before="0" w:after="0" w:line="240" w:lineRule="auto"/>
              <w:ind w:left="740" w:right="0" w:hanging="340"/>
              <w:jc w:val="left"/>
            </w:pPr>
            <w:r>
              <w:rPr>
                <w:rStyle w:val="CharStyle30"/>
              </w:rPr>
              <w:t>Balení měřících proužků: 50 ks (2 nádobky s 25 proužky) Stabilita 3 měsíce po prvním otevření nádobky.</w:t>
            </w:r>
          </w:p>
          <w:p>
            <w:pPr>
              <w:pStyle w:val="Style29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736" w:val="left"/>
              </w:tabs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0"/>
              </w:rPr>
              <w:t>Kontrolní roztok Level 1</w:t>
            </w:r>
          </w:p>
          <w:p>
            <w:pPr>
              <w:pStyle w:val="Style29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736" w:val="left"/>
              </w:tabs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0"/>
              </w:rPr>
              <w:t>Kontrolní roztok Level 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0"/>
              </w:rPr>
              <w:t>ano</w:t>
            </w:r>
          </w:p>
        </w:tc>
      </w:tr>
      <w:tr>
        <w:trPr>
          <w:trHeight w:val="15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0"/>
                <w:b/>
                <w:bCs/>
              </w:rPr>
              <w:t>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 xml:space="preserve">Součást dodávky ke každému ks dodaného přístroje: </w:t>
            </w:r>
            <w:r>
              <w:rPr>
                <w:rStyle w:val="CharStyle30"/>
                <w:u w:val="single"/>
              </w:rPr>
              <w:t>pro stanovení Hb/Hct</w:t>
            </w:r>
            <w:r>
              <w:rPr>
                <w:rStyle w:val="CharStyle30"/>
              </w:rPr>
              <w:t>:</w:t>
            </w:r>
          </w:p>
          <w:p>
            <w:pPr>
              <w:pStyle w:val="Style29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736" w:val="left"/>
              </w:tabs>
              <w:bidi w:val="0"/>
              <w:spacing w:before="0" w:after="0" w:line="240" w:lineRule="auto"/>
              <w:ind w:left="740" w:right="0" w:hanging="340"/>
              <w:jc w:val="left"/>
            </w:pPr>
            <w:r>
              <w:rPr>
                <w:rStyle w:val="CharStyle30"/>
              </w:rPr>
              <w:t>Balení měřících proužků: 50 ks (2 nádobky s 25 proužky) Stabilita 3 měsíce po prvním otevření nádobky.</w:t>
            </w:r>
          </w:p>
          <w:p>
            <w:pPr>
              <w:pStyle w:val="Style29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736" w:val="left"/>
              </w:tabs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0"/>
              </w:rPr>
              <w:t>Kontrolní roztok Level 1</w:t>
            </w:r>
          </w:p>
          <w:p>
            <w:pPr>
              <w:pStyle w:val="Style29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736" w:val="left"/>
              </w:tabs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0"/>
              </w:rPr>
              <w:t>Kontrolní roztok Level 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0"/>
              </w:rPr>
              <w:t>ano</w:t>
            </w:r>
          </w:p>
        </w:tc>
      </w:tr>
    </w:tbl>
    <w:sectPr>
      <w:footnotePr>
        <w:pos w:val="pageBottom"/>
        <w:numFmt w:val="decimal"/>
        <w:numRestart w:val="continuous"/>
      </w:footnotePr>
      <w:type w:val="continuous"/>
      <w:pgSz w:w="11900" w:h="16840"/>
      <w:pgMar w:top="1783" w:right="1604" w:bottom="2858" w:left="1527" w:header="1355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10240010</wp:posOffset>
              </wp:positionV>
              <wp:extent cx="4218305" cy="1155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1830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9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42-23: Analyzátory pro monitoring laktátu, hemoglobinu a hematokritu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9.5pt;margin-top:806.30000000000007pt;width:332.15000000000003pt;height:9.0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9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42-23: Analyzátory pro monitoring laktátu, hemoglobinu a hematokritu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Nadpis #2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1">
    <w:name w:val="Základní text (2)_"/>
    <w:basedOn w:val="DefaultParagraphFont"/>
    <w:link w:val="Style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7">
    <w:name w:val="Nadpis #1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CharStyle19">
    <w:name w:val="Záhlaví nebo zápatí (2)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Základní text (3)_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4">
    <w:name w:val="Nadpis #3_"/>
    <w:basedOn w:val="DefaultParagraphFont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7">
    <w:name w:val="Titulek tabulky_"/>
    <w:basedOn w:val="DefaultParagraphFont"/>
    <w:link w:val="Style26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30">
    <w:name w:val="Jiné_"/>
    <w:basedOn w:val="DefaultParagraphFont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">
    <w:name w:val="Nadpis #2"/>
    <w:basedOn w:val="Normal"/>
    <w:link w:val="CharStyle5"/>
    <w:pPr>
      <w:widowControl w:val="0"/>
      <w:shd w:val="clear" w:color="auto" w:fill="auto"/>
      <w:outlineLvl w:val="1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10">
    <w:name w:val="Základní text (2)"/>
    <w:basedOn w:val="Normal"/>
    <w:link w:val="CharStyle11"/>
    <w:pPr>
      <w:widowControl w:val="0"/>
      <w:shd w:val="clear" w:color="auto" w:fill="auto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6">
    <w:name w:val="Nadpis #1"/>
    <w:basedOn w:val="Normal"/>
    <w:link w:val="CharStyle17"/>
    <w:pPr>
      <w:widowControl w:val="0"/>
      <w:shd w:val="clear" w:color="auto" w:fill="auto"/>
      <w:ind w:right="1200"/>
      <w:jc w:val="right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paragraph" w:customStyle="1" w:styleId="Style18">
    <w:name w:val="Záhlaví nebo zápatí (2)"/>
    <w:basedOn w:val="Normal"/>
    <w:link w:val="CharStyle19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1">
    <w:name w:val="Základní text (3)"/>
    <w:basedOn w:val="Normal"/>
    <w:link w:val="CharStyle22"/>
    <w:pPr>
      <w:widowControl w:val="0"/>
      <w:shd w:val="clear" w:color="auto" w:fill="auto"/>
      <w:spacing w:after="360"/>
      <w:ind w:right="120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3">
    <w:name w:val="Nadpis #3"/>
    <w:basedOn w:val="Normal"/>
    <w:link w:val="CharStyle24"/>
    <w:pPr>
      <w:widowControl w:val="0"/>
      <w:shd w:val="clear" w:color="auto" w:fill="auto"/>
      <w:spacing w:after="220" w:line="245" w:lineRule="auto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6">
    <w:name w:val="Titulek tabulky"/>
    <w:basedOn w:val="Normal"/>
    <w:link w:val="CharStyle27"/>
    <w:pPr>
      <w:widowControl w:val="0"/>
      <w:shd w:val="clear" w:color="auto" w:fill="auto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29">
    <w:name w:val="Jiné"/>
    <w:basedOn w:val="Normal"/>
    <w:link w:val="CharStyle30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/Relationships>
</file>