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CEBC" w14:textId="77777777" w:rsidR="002F6BCB" w:rsidRPr="008F65E4" w:rsidRDefault="002F6BCB" w:rsidP="002F6BCB">
      <w:pPr>
        <w:keepNext/>
        <w:spacing w:after="0" w:line="240" w:lineRule="auto"/>
        <w:outlineLvl w:val="2"/>
        <w:rPr>
          <w:rFonts w:eastAsia="Times New Roman"/>
          <w:bCs/>
          <w:lang w:eastAsia="cs-CZ"/>
        </w:rPr>
      </w:pPr>
      <w:r w:rsidRPr="008F65E4">
        <w:rPr>
          <w:rFonts w:eastAsia="Times New Roman"/>
          <w:bCs/>
          <w:lang w:eastAsia="cs-CZ"/>
        </w:rPr>
        <w:t>Oprávněná organizace</w:t>
      </w:r>
      <w:r>
        <w:rPr>
          <w:rFonts w:eastAsia="Times New Roman"/>
          <w:bCs/>
          <w:lang w:eastAsia="cs-CZ"/>
        </w:rPr>
        <w:t>:</w:t>
      </w:r>
    </w:p>
    <w:p w14:paraId="0404E32F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  <w:b/>
        </w:rPr>
        <w:t>Národní památkový ústav</w:t>
      </w:r>
      <w:r w:rsidRPr="00432875">
        <w:rPr>
          <w:rFonts w:eastAsia="Times New Roman"/>
        </w:rPr>
        <w:t>, státní příspěvková organizace</w:t>
      </w:r>
    </w:p>
    <w:p w14:paraId="4A8C303B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IČO: 75032333, DIČ: CZ75032333,</w:t>
      </w:r>
    </w:p>
    <w:p w14:paraId="7F231D13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se sídlem: Valdštejnské nám. 162/3, PSČ 118 01 Praha 1 – Malá Strana,</w:t>
      </w:r>
    </w:p>
    <w:p w14:paraId="011F5359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zastoupen: PhDr. Zdeňkem Váchou, ředitelem územního odborného pracoviště v Brně</w:t>
      </w:r>
    </w:p>
    <w:p w14:paraId="29CD311C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 xml:space="preserve">bankovní spojení: Česká národní banka, č. </w:t>
      </w:r>
      <w:proofErr w:type="spellStart"/>
      <w:r w:rsidRPr="00432875">
        <w:rPr>
          <w:rFonts w:eastAsia="Times New Roman"/>
        </w:rPr>
        <w:t>ú.</w:t>
      </w:r>
      <w:proofErr w:type="spellEnd"/>
      <w:r w:rsidRPr="00432875">
        <w:rPr>
          <w:rFonts w:eastAsia="Times New Roman"/>
        </w:rPr>
        <w:t>: 710002-60039011/0710</w:t>
      </w:r>
    </w:p>
    <w:p w14:paraId="3FE1C65B" w14:textId="77777777" w:rsidR="002F6BCB" w:rsidRPr="00432875" w:rsidRDefault="002F6BCB" w:rsidP="002F6BCB">
      <w:pPr>
        <w:spacing w:after="0"/>
        <w:rPr>
          <w:rFonts w:eastAsia="Times New Roman"/>
          <w:b/>
          <w:i/>
        </w:rPr>
      </w:pPr>
      <w:r w:rsidRPr="00432875">
        <w:rPr>
          <w:rFonts w:eastAsia="Times New Roman"/>
          <w:b/>
          <w:i/>
        </w:rPr>
        <w:t>Doručovací adresa:</w:t>
      </w:r>
    </w:p>
    <w:p w14:paraId="53836577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Národní památkový ústav, územní odborné pracoviště v Brně</w:t>
      </w:r>
    </w:p>
    <w:p w14:paraId="72D864A3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adresa: nám. Svobody 72/8, 601 54 Brno</w:t>
      </w:r>
    </w:p>
    <w:p w14:paraId="7299BC52" w14:textId="77777777" w:rsidR="002F6BCB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tel.: +420 542 536 111, e-mail: sekretariat.brno@npu.cz</w:t>
      </w:r>
    </w:p>
    <w:p w14:paraId="0EDA806A" w14:textId="77777777" w:rsidR="002F6BCB" w:rsidRDefault="002F6BCB" w:rsidP="002F6BCB">
      <w:pPr>
        <w:rPr>
          <w:rFonts w:eastAsia="Times New Roman"/>
        </w:rPr>
      </w:pPr>
      <w:r w:rsidRPr="00EF701E">
        <w:rPr>
          <w:rFonts w:eastAsia="Times New Roman"/>
        </w:rPr>
        <w:t>(dále jen „objednatel“)</w:t>
      </w:r>
      <w:r>
        <w:rPr>
          <w:rFonts w:eastAsia="Times New Roman"/>
        </w:rPr>
        <w:t xml:space="preserve"> </w:t>
      </w:r>
    </w:p>
    <w:p w14:paraId="6F7D2843" w14:textId="77777777" w:rsidR="002F6BCB" w:rsidRDefault="002F6BCB" w:rsidP="002F6BCB">
      <w:r>
        <w:t>a</w:t>
      </w:r>
    </w:p>
    <w:p w14:paraId="2F7E96AA" w14:textId="2718C02A" w:rsidR="002F6BCB" w:rsidRPr="00450581" w:rsidRDefault="008B2BF0" w:rsidP="002F6BCB">
      <w:pPr>
        <w:suppressAutoHyphens/>
        <w:spacing w:after="0" w:line="240" w:lineRule="auto"/>
        <w:rPr>
          <w:rFonts w:eastAsia="Times New Roman" w:cs="Calibri"/>
          <w:lang w:eastAsia="zh-CN"/>
        </w:rPr>
      </w:pPr>
      <w:r w:rsidRPr="00450581">
        <w:rPr>
          <w:rFonts w:eastAsia="Times New Roman" w:cs="Calibri"/>
          <w:lang w:eastAsia="zh-CN"/>
        </w:rPr>
        <w:t>Dodavatel</w:t>
      </w:r>
      <w:r w:rsidR="002F6BCB" w:rsidRPr="00450581">
        <w:rPr>
          <w:rFonts w:eastAsia="Times New Roman" w:cs="Calibri"/>
          <w:lang w:eastAsia="zh-CN"/>
        </w:rPr>
        <w:t>:</w:t>
      </w:r>
    </w:p>
    <w:p w14:paraId="2666C935" w14:textId="737FC486" w:rsidR="00681CFC" w:rsidRPr="00450581" w:rsidRDefault="00DD46F9" w:rsidP="00681CFC">
      <w:pPr>
        <w:suppressAutoHyphens/>
        <w:spacing w:after="0" w:line="240" w:lineRule="auto"/>
        <w:rPr>
          <w:rFonts w:eastAsia="Times New Roman"/>
          <w:lang w:eastAsia="zh-CN"/>
        </w:rPr>
      </w:pPr>
      <w:proofErr w:type="spellStart"/>
      <w:r w:rsidRPr="00DD46F9">
        <w:rPr>
          <w:rFonts w:eastAsia="Times New Roman"/>
          <w:b/>
          <w:lang w:eastAsia="zh-CN"/>
        </w:rPr>
        <w:t>Archaia</w:t>
      </w:r>
      <w:proofErr w:type="spellEnd"/>
      <w:r w:rsidRPr="00DD46F9">
        <w:rPr>
          <w:rFonts w:eastAsia="Times New Roman"/>
          <w:b/>
          <w:lang w:eastAsia="zh-CN"/>
        </w:rPr>
        <w:t xml:space="preserve"> Brno </w:t>
      </w:r>
      <w:proofErr w:type="spellStart"/>
      <w:r w:rsidRPr="00DD46F9">
        <w:rPr>
          <w:rFonts w:eastAsia="Times New Roman"/>
          <w:b/>
          <w:lang w:eastAsia="zh-CN"/>
        </w:rPr>
        <w:t>z.ú</w:t>
      </w:r>
      <w:proofErr w:type="spellEnd"/>
      <w:r w:rsidRPr="00DD46F9">
        <w:rPr>
          <w:rFonts w:eastAsia="Times New Roman"/>
          <w:b/>
          <w:lang w:eastAsia="zh-CN"/>
        </w:rPr>
        <w:t>.</w:t>
      </w:r>
      <w:r w:rsidR="008B2BF0" w:rsidRPr="00450581">
        <w:rPr>
          <w:rFonts w:eastAsia="Times New Roman"/>
          <w:b/>
          <w:lang w:eastAsia="zh-CN"/>
        </w:rPr>
        <w:br/>
      </w:r>
      <w:r w:rsidR="00646A9F" w:rsidRPr="00450581">
        <w:rPr>
          <w:rFonts w:eastAsia="Times New Roman"/>
          <w:lang w:eastAsia="zh-CN"/>
        </w:rPr>
        <w:t xml:space="preserve">Adresa: </w:t>
      </w:r>
      <w:r>
        <w:rPr>
          <w:rFonts w:eastAsia="Times New Roman"/>
          <w:lang w:eastAsia="zh-CN"/>
        </w:rPr>
        <w:t>Bezručova 78/15</w:t>
      </w:r>
      <w:r w:rsidR="00450581" w:rsidRPr="00450581">
        <w:rPr>
          <w:rFonts w:eastAsia="Times New Roman"/>
          <w:lang w:eastAsia="zh-CN"/>
        </w:rPr>
        <w:t xml:space="preserve">, </w:t>
      </w:r>
      <w:r w:rsidR="008B2BF0" w:rsidRPr="00450581">
        <w:rPr>
          <w:rFonts w:eastAsia="Times New Roman"/>
          <w:lang w:eastAsia="zh-CN"/>
        </w:rPr>
        <w:t>602 00 Brno</w:t>
      </w:r>
    </w:p>
    <w:p w14:paraId="5041BABD" w14:textId="50BC5D37" w:rsidR="00681CFC" w:rsidRPr="00450581" w:rsidRDefault="00450581" w:rsidP="00681CFC">
      <w:pPr>
        <w:suppressAutoHyphens/>
        <w:spacing w:after="0" w:line="240" w:lineRule="auto"/>
        <w:rPr>
          <w:rFonts w:eastAsia="Times New Roman"/>
          <w:lang w:eastAsia="zh-CN"/>
        </w:rPr>
      </w:pPr>
      <w:r w:rsidRPr="00450581">
        <w:rPr>
          <w:rFonts w:eastAsia="Times New Roman"/>
          <w:lang w:eastAsia="zh-CN"/>
        </w:rPr>
        <w:t>Z</w:t>
      </w:r>
      <w:r w:rsidR="00681CFC" w:rsidRPr="00450581">
        <w:rPr>
          <w:rFonts w:eastAsia="Times New Roman"/>
          <w:lang w:eastAsia="zh-CN"/>
        </w:rPr>
        <w:t>astoupen</w:t>
      </w:r>
      <w:r w:rsidR="00DD46F9">
        <w:rPr>
          <w:rFonts w:eastAsia="Times New Roman"/>
          <w:lang w:eastAsia="zh-CN"/>
        </w:rPr>
        <w:t>ý</w:t>
      </w:r>
      <w:r w:rsidRPr="00450581">
        <w:rPr>
          <w:rFonts w:eastAsia="Times New Roman"/>
          <w:lang w:eastAsia="zh-CN"/>
        </w:rPr>
        <w:t>:</w:t>
      </w:r>
      <w:r w:rsidR="00681CFC" w:rsidRPr="00450581">
        <w:rPr>
          <w:rFonts w:eastAsia="Times New Roman"/>
          <w:lang w:eastAsia="zh-CN"/>
        </w:rPr>
        <w:t xml:space="preserve"> </w:t>
      </w:r>
      <w:proofErr w:type="spellStart"/>
      <w:r w:rsidR="00DF6444">
        <w:rPr>
          <w:rStyle w:val="xcontentpasted0"/>
          <w:shd w:val="clear" w:color="auto" w:fill="FFFFFF"/>
        </w:rPr>
        <w:t>xxxxxxxxxxxxxxxxxxxx</w:t>
      </w:r>
      <w:proofErr w:type="spellEnd"/>
      <w:r w:rsidRPr="00450581">
        <w:rPr>
          <w:rStyle w:val="xcontentpasted0"/>
          <w:shd w:val="clear" w:color="auto" w:fill="FFFFFF"/>
        </w:rPr>
        <w:t xml:space="preserve"> </w:t>
      </w:r>
      <w:r w:rsidR="00DD46F9">
        <w:rPr>
          <w:rStyle w:val="xcontentpasted0"/>
          <w:shd w:val="clear" w:color="auto" w:fill="FFFFFF"/>
        </w:rPr>
        <w:t>ředitelem</w:t>
      </w:r>
    </w:p>
    <w:p w14:paraId="04A5BF41" w14:textId="59DA6560" w:rsidR="00681CFC" w:rsidRPr="00450581" w:rsidRDefault="00681CFC" w:rsidP="00681CFC">
      <w:pPr>
        <w:suppressAutoHyphens/>
        <w:spacing w:after="0" w:line="240" w:lineRule="auto"/>
        <w:rPr>
          <w:rFonts w:eastAsia="Times New Roman"/>
          <w:lang w:eastAsia="zh-CN"/>
        </w:rPr>
      </w:pPr>
      <w:r w:rsidRPr="00450581">
        <w:rPr>
          <w:rFonts w:eastAsia="Times New Roman"/>
          <w:lang w:eastAsia="zh-CN"/>
        </w:rPr>
        <w:t xml:space="preserve">IČ: </w:t>
      </w:r>
      <w:r w:rsidR="00DD46F9">
        <w:rPr>
          <w:rFonts w:eastAsia="Times New Roman"/>
          <w:lang w:eastAsia="zh-CN"/>
        </w:rPr>
        <w:t>26268469</w:t>
      </w:r>
    </w:p>
    <w:p w14:paraId="65A6C4E0" w14:textId="31D4451C" w:rsidR="00450581" w:rsidRPr="00450581" w:rsidRDefault="00681CFC" w:rsidP="00450581">
      <w:pPr>
        <w:suppressAutoHyphens/>
        <w:spacing w:after="0" w:line="240" w:lineRule="auto"/>
        <w:rPr>
          <w:rFonts w:cs="Calibri"/>
          <w:bCs/>
        </w:rPr>
      </w:pPr>
      <w:r w:rsidRPr="00450581">
        <w:rPr>
          <w:rFonts w:eastAsia="Times New Roman"/>
          <w:lang w:eastAsia="zh-CN"/>
        </w:rPr>
        <w:t xml:space="preserve">Bankovní spojení: </w:t>
      </w:r>
      <w:r w:rsidR="00DD46F9">
        <w:rPr>
          <w:rFonts w:eastAsia="Times New Roman"/>
          <w:lang w:eastAsia="zh-CN"/>
        </w:rPr>
        <w:t>Fio</w:t>
      </w:r>
      <w:r w:rsidR="00450581" w:rsidRPr="00450581">
        <w:rPr>
          <w:rFonts w:eastAsia="Times New Roman"/>
          <w:lang w:eastAsia="zh-CN"/>
        </w:rPr>
        <w:t xml:space="preserve"> banka, a.s.</w:t>
      </w:r>
      <w:r w:rsidRPr="00450581">
        <w:rPr>
          <w:rFonts w:eastAsia="Times New Roman"/>
          <w:lang w:eastAsia="zh-CN"/>
        </w:rPr>
        <w:t xml:space="preserve">, č. </w:t>
      </w:r>
      <w:proofErr w:type="spellStart"/>
      <w:r w:rsidRPr="00450581">
        <w:rPr>
          <w:rFonts w:eastAsia="Times New Roman"/>
          <w:lang w:eastAsia="zh-CN"/>
        </w:rPr>
        <w:t>ú.</w:t>
      </w:r>
      <w:proofErr w:type="spellEnd"/>
      <w:r w:rsidRPr="00450581">
        <w:rPr>
          <w:rFonts w:eastAsia="Times New Roman"/>
          <w:lang w:eastAsia="zh-CN"/>
        </w:rPr>
        <w:t>:</w:t>
      </w:r>
      <w:r w:rsidR="00450581" w:rsidRPr="00450581">
        <w:rPr>
          <w:rFonts w:cs="Calibri"/>
          <w:bCs/>
        </w:rPr>
        <w:t xml:space="preserve"> </w:t>
      </w:r>
      <w:r w:rsidR="00DD46F9">
        <w:rPr>
          <w:rFonts w:cs="Calibri"/>
          <w:bCs/>
        </w:rPr>
        <w:t>2901482974</w:t>
      </w:r>
      <w:r w:rsidR="00450581" w:rsidRPr="00450581">
        <w:rPr>
          <w:rFonts w:cs="Calibri"/>
          <w:bCs/>
        </w:rPr>
        <w:t>/</w:t>
      </w:r>
      <w:r w:rsidR="00DD46F9">
        <w:rPr>
          <w:rFonts w:cs="Calibri"/>
          <w:bCs/>
        </w:rPr>
        <w:t>2010</w:t>
      </w:r>
      <w:r w:rsidR="00450581" w:rsidRPr="00450581">
        <w:rPr>
          <w:rFonts w:cs="Calibri"/>
          <w:bCs/>
        </w:rPr>
        <w:t> </w:t>
      </w:r>
    </w:p>
    <w:p w14:paraId="49DBC248" w14:textId="77777777" w:rsidR="00681CFC" w:rsidRPr="008F65E4" w:rsidRDefault="00681CFC" w:rsidP="00681CFC">
      <w:pPr>
        <w:suppressAutoHyphens/>
        <w:spacing w:after="0" w:line="240" w:lineRule="auto"/>
        <w:rPr>
          <w:rFonts w:eastAsia="Times New Roman"/>
          <w:lang w:eastAsia="zh-CN"/>
        </w:rPr>
      </w:pPr>
    </w:p>
    <w:p w14:paraId="0EB91622" w14:textId="77777777" w:rsidR="00AB1FE8" w:rsidRDefault="00681CFC" w:rsidP="00AB1FE8">
      <w:r>
        <w:t xml:space="preserve"> </w:t>
      </w:r>
      <w:r w:rsidR="00AB1FE8">
        <w:t>(dále jen „zhotovitel“)</w:t>
      </w:r>
    </w:p>
    <w:p w14:paraId="6D92BEE3" w14:textId="77777777"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14:paraId="31B1EE92" w14:textId="77777777"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14:paraId="0FEF0F24" w14:textId="77777777"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14:paraId="61248CE7" w14:textId="10F22F97" w:rsidR="00646A9F" w:rsidRPr="00CD1581" w:rsidRDefault="00AB1FE8" w:rsidP="00AC1918">
      <w:pPr>
        <w:numPr>
          <w:ilvl w:val="0"/>
          <w:numId w:val="5"/>
        </w:numPr>
        <w:rPr>
          <w:b/>
          <w:i/>
        </w:rPr>
      </w:pPr>
      <w:r>
        <w:t xml:space="preserve">Předmětem této smlouvy je úprava podmínek, za kterých zhotovitel provede pro objednatele následující dílo: </w:t>
      </w:r>
      <w:r w:rsidR="007901CB" w:rsidRPr="007901CB">
        <w:rPr>
          <w:rFonts w:cs="Calibri"/>
          <w:b/>
          <w:bCs/>
          <w:i/>
        </w:rPr>
        <w:t xml:space="preserve">Vyhotovení zjišťovacího archeologického výzkumu v areálu zahradnictví zámku Lednice p. č. 60/1 k. </w:t>
      </w:r>
      <w:proofErr w:type="spellStart"/>
      <w:r w:rsidR="007901CB" w:rsidRPr="007901CB">
        <w:rPr>
          <w:rFonts w:cs="Calibri"/>
          <w:b/>
          <w:bCs/>
          <w:i/>
        </w:rPr>
        <w:t>ú.</w:t>
      </w:r>
      <w:proofErr w:type="spellEnd"/>
      <w:r w:rsidR="007901CB" w:rsidRPr="007901CB">
        <w:rPr>
          <w:rFonts w:cs="Calibri"/>
          <w:b/>
          <w:bCs/>
          <w:i/>
        </w:rPr>
        <w:t xml:space="preserve"> Lednice</w:t>
      </w:r>
      <w:r w:rsidR="00683B42">
        <w:rPr>
          <w:rFonts w:cs="Calibri"/>
          <w:b/>
          <w:bCs/>
          <w:i/>
        </w:rPr>
        <w:t xml:space="preserve"> a </w:t>
      </w:r>
      <w:r w:rsidR="00683B42" w:rsidRPr="00683B42">
        <w:rPr>
          <w:rFonts w:cs="Calibri"/>
          <w:b/>
          <w:bCs/>
          <w:i/>
        </w:rPr>
        <w:t xml:space="preserve">Vyhotovení zjišťovacího archeologického výzkumu v areálu státního hradu Bítov p. č. 46/1 k. </w:t>
      </w:r>
      <w:proofErr w:type="spellStart"/>
      <w:r w:rsidR="00683B42" w:rsidRPr="00683B42">
        <w:rPr>
          <w:rFonts w:cs="Calibri"/>
          <w:b/>
          <w:bCs/>
          <w:i/>
        </w:rPr>
        <w:t>ú.</w:t>
      </w:r>
      <w:proofErr w:type="spellEnd"/>
      <w:r w:rsidR="00683B42" w:rsidRPr="00683B42">
        <w:rPr>
          <w:rFonts w:cs="Calibri"/>
          <w:b/>
          <w:bCs/>
          <w:i/>
        </w:rPr>
        <w:t xml:space="preserve"> Bítov</w:t>
      </w:r>
      <w:r w:rsidR="00AC05F0" w:rsidRPr="00CD1581">
        <w:rPr>
          <w:rFonts w:cs="Calibri"/>
          <w:b/>
          <w:bCs/>
          <w:i/>
        </w:rPr>
        <w:t>.</w:t>
      </w:r>
      <w:r w:rsidR="00646A9F" w:rsidRPr="00CD1581">
        <w:rPr>
          <w:rFonts w:cs="Calibri"/>
          <w:b/>
          <w:bCs/>
          <w:i/>
        </w:rPr>
        <w:t xml:space="preserve"> </w:t>
      </w:r>
      <w:r w:rsidR="00CD1581" w:rsidRPr="00CD1581">
        <w:rPr>
          <w:rFonts w:cs="Calibri"/>
          <w:iCs/>
        </w:rPr>
        <w:t xml:space="preserve">Bližší specifikace díla je uvedena v příloze č. 1 smlouvy. </w:t>
      </w:r>
    </w:p>
    <w:p w14:paraId="523E55EE" w14:textId="77777777" w:rsidR="00646A9F" w:rsidRDefault="007577E7" w:rsidP="00646A9F">
      <w:pPr>
        <w:numPr>
          <w:ilvl w:val="0"/>
          <w:numId w:val="5"/>
        </w:numPr>
      </w:pPr>
      <w:r w:rsidRPr="008A57FB">
        <w:t>Zhotovitel se zavazuje provést dílo řádně, kvalitně a včas za podmínek dle této smlouvy včetně příloh a dle pokynů objednatele</w:t>
      </w:r>
      <w:r w:rsidR="00AB1FE8">
        <w:t>.</w:t>
      </w:r>
    </w:p>
    <w:p w14:paraId="3C736766" w14:textId="77777777" w:rsidR="00646A9F" w:rsidRDefault="007577E7" w:rsidP="00646A9F">
      <w:pPr>
        <w:numPr>
          <w:ilvl w:val="0"/>
          <w:numId w:val="5"/>
        </w:numPr>
      </w:pPr>
      <w:r w:rsidRPr="008A57FB">
        <w:t>Objednatel se zavazuje řádně zhotovené dílo převzít a včas zaplatit cenu sjednanou podle této smlouvy.</w:t>
      </w:r>
    </w:p>
    <w:p w14:paraId="32528906" w14:textId="77777777" w:rsidR="007577E7" w:rsidRDefault="007577E7" w:rsidP="00646A9F">
      <w:pPr>
        <w:numPr>
          <w:ilvl w:val="0"/>
          <w:numId w:val="5"/>
        </w:numPr>
      </w:pPr>
      <w:r w:rsidRPr="00646A9F">
        <w:rPr>
          <w:rFonts w:cs="Arial"/>
          <w:snapToGrid w:val="0"/>
        </w:rPr>
        <w:t>Zhotovitel prohlašuje, že je způsobilý dílo provést a že v rozsahu odpovídajícím jeho odborné kvalifikaci veškeré místní či technické podmínky shledal způsobilé ke zhotovení díla. Zhotovitel prohlašuje, že zadání je kompletní a nepotřebuje žádné změny či úpravy.</w:t>
      </w:r>
    </w:p>
    <w:p w14:paraId="651A9AAB" w14:textId="77777777" w:rsidR="00AB1FE8" w:rsidRPr="00071F32" w:rsidRDefault="00EF701E" w:rsidP="00EF701E">
      <w:pPr>
        <w:jc w:val="center"/>
        <w:rPr>
          <w:b/>
        </w:rPr>
      </w:pPr>
      <w:r>
        <w:rPr>
          <w:b/>
        </w:rPr>
        <w:t xml:space="preserve">II. </w:t>
      </w:r>
      <w:r w:rsidR="00AB1FE8" w:rsidRPr="00071F32">
        <w:rPr>
          <w:b/>
        </w:rPr>
        <w:t>Dodací podmínky a termíny předání díla</w:t>
      </w:r>
    </w:p>
    <w:p w14:paraId="48AC8117" w14:textId="3B505E8C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8B2BF0">
        <w:t>30</w:t>
      </w:r>
      <w:r w:rsidR="00071F32" w:rsidRPr="00EF701E">
        <w:t xml:space="preserve">. </w:t>
      </w:r>
      <w:r w:rsidR="007901CB">
        <w:t>11</w:t>
      </w:r>
      <w:r w:rsidR="00071F32" w:rsidRPr="00EF701E">
        <w:t>. 20</w:t>
      </w:r>
      <w:r w:rsidR="005410F0">
        <w:t>2</w:t>
      </w:r>
      <w:r w:rsidR="008B2BF0">
        <w:t>3</w:t>
      </w:r>
      <w:r w:rsidR="00071F32">
        <w:t xml:space="preserve"> </w:t>
      </w:r>
      <w:r w:rsidR="000310B0">
        <w:t>v</w:t>
      </w:r>
      <w:r w:rsidR="00650677">
        <w:t> </w:t>
      </w:r>
      <w:r w:rsidR="000310B0">
        <w:t xml:space="preserve">adrese objednatele </w:t>
      </w:r>
      <w:r>
        <w:t>uvedené v záhlaví této smlouvy.</w:t>
      </w:r>
    </w:p>
    <w:p w14:paraId="1CE12992" w14:textId="77777777" w:rsidR="00AB1FE8" w:rsidRDefault="00AB1FE8" w:rsidP="00EF701E">
      <w:pPr>
        <w:ind w:left="425" w:hanging="425"/>
        <w:jc w:val="both"/>
      </w:pPr>
      <w:r>
        <w:t>2.</w:t>
      </w:r>
      <w:r>
        <w:tab/>
        <w:t xml:space="preserve">O předání </w:t>
      </w:r>
      <w:r w:rsidR="003E3248">
        <w:t xml:space="preserve">dílčích částí </w:t>
      </w:r>
      <w:r>
        <w:t>díla bude mezi smluvními stranami sepsán protokol. Objednatel dílo nepřevezme, nebude-li dodáno v požadovaném množství, jakosti či druhu provedení.</w:t>
      </w:r>
    </w:p>
    <w:p w14:paraId="1BB5E096" w14:textId="77777777"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lastRenderedPageBreak/>
        <w:t xml:space="preserve">III. </w:t>
      </w:r>
      <w:r w:rsidR="00AB1FE8" w:rsidRPr="00071F32">
        <w:rPr>
          <w:b/>
        </w:rPr>
        <w:t>Cena a platební podmínky</w:t>
      </w:r>
    </w:p>
    <w:p w14:paraId="2B75AA98" w14:textId="4D03B2CC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Celková cena díla </w:t>
      </w:r>
      <w:r w:rsidR="005410F0">
        <w:t>činí</w:t>
      </w:r>
      <w:r w:rsidR="005410F0" w:rsidRPr="00874940">
        <w:rPr>
          <w:rFonts w:cs="Arial"/>
          <w:b/>
        </w:rPr>
        <w:t xml:space="preserve"> </w:t>
      </w:r>
      <w:r w:rsidR="00683B42">
        <w:rPr>
          <w:rFonts w:cs="Arial"/>
          <w:b/>
        </w:rPr>
        <w:t>255</w:t>
      </w:r>
      <w:r w:rsidR="007901CB">
        <w:rPr>
          <w:rFonts w:cs="Arial"/>
          <w:b/>
        </w:rPr>
        <w:t>.</w:t>
      </w:r>
      <w:r w:rsidR="00683B42">
        <w:rPr>
          <w:rFonts w:cs="Arial"/>
          <w:b/>
        </w:rPr>
        <w:t>8</w:t>
      </w:r>
      <w:r w:rsidR="007901CB">
        <w:rPr>
          <w:rFonts w:cs="Arial"/>
          <w:b/>
        </w:rPr>
        <w:t>00</w:t>
      </w:r>
      <w:r w:rsidR="00755126">
        <w:rPr>
          <w:rFonts w:cs="Arial"/>
          <w:b/>
        </w:rPr>
        <w:t>,</w:t>
      </w:r>
      <w:r w:rsidR="00650677">
        <w:rPr>
          <w:rFonts w:cs="Arial"/>
          <w:b/>
        </w:rPr>
        <w:t xml:space="preserve">- Kč bez DPH, tedy </w:t>
      </w:r>
      <w:r w:rsidR="00683B42">
        <w:rPr>
          <w:rFonts w:cs="Arial"/>
          <w:b/>
        </w:rPr>
        <w:t>309</w:t>
      </w:r>
      <w:r w:rsidR="007901CB">
        <w:rPr>
          <w:rFonts w:cs="Arial"/>
          <w:b/>
        </w:rPr>
        <w:t>.</w:t>
      </w:r>
      <w:r w:rsidR="00683B42">
        <w:rPr>
          <w:rFonts w:cs="Arial"/>
          <w:b/>
        </w:rPr>
        <w:t>518</w:t>
      </w:r>
      <w:r w:rsidR="00650677">
        <w:rPr>
          <w:rFonts w:cs="Arial"/>
          <w:b/>
        </w:rPr>
        <w:t xml:space="preserve">,- </w:t>
      </w:r>
      <w:r w:rsidR="00650677" w:rsidRPr="00874940">
        <w:rPr>
          <w:rFonts w:cs="Arial"/>
          <w:b/>
        </w:rPr>
        <w:t>Kč vč. DPH</w:t>
      </w:r>
      <w:r w:rsidR="00650677">
        <w:rPr>
          <w:rFonts w:cs="Arial"/>
          <w:b/>
        </w:rPr>
        <w:t xml:space="preserve"> </w:t>
      </w:r>
      <w:r w:rsidR="00E262BC">
        <w:rPr>
          <w:rFonts w:cs="Arial"/>
          <w:b/>
        </w:rPr>
        <w:t>21%.</w:t>
      </w:r>
      <w:r>
        <w:t xml:space="preserve"> Sjednaná cena díla je konečná a nepřekročitelná a zahrnuje provedení a</w:t>
      </w:r>
      <w:r w:rsidR="0079478E">
        <w:t> </w:t>
      </w:r>
      <w:r>
        <w:t>dodání díla, jakož i</w:t>
      </w:r>
      <w:r w:rsidR="003E3248">
        <w:t> </w:t>
      </w:r>
      <w:r>
        <w:t>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14:paraId="5C1E435D" w14:textId="77777777"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Po řádném předání </w:t>
      </w:r>
      <w:r w:rsidR="003E3248">
        <w:t xml:space="preserve">každé jednotlivé dílčí části </w:t>
      </w:r>
      <w:r>
        <w:t>díla objednateli vystaví zhotovitel na</w:t>
      </w:r>
      <w:r w:rsidR="003E3248">
        <w:t xml:space="preserve"> její</w:t>
      </w:r>
      <w:r>
        <w:t xml:space="preserve"> úhradu bez zbytečného odkladu běžný daňový doklad (fakturu) se splatností 21 dní ode dne jejího doručení objednateli.</w:t>
      </w:r>
    </w:p>
    <w:p w14:paraId="100B1ED4" w14:textId="77777777"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14:paraId="15AA6EE7" w14:textId="77777777"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14:paraId="466D5D1F" w14:textId="77777777" w:rsidR="00AB1FE8" w:rsidRPr="003C7277" w:rsidRDefault="00AB1FE8" w:rsidP="0006778D">
      <w:pPr>
        <w:spacing w:after="0"/>
        <w:ind w:left="425" w:hanging="425"/>
        <w:contextualSpacing/>
        <w:jc w:val="both"/>
        <w:rPr>
          <w:rFonts w:cs="Calibri"/>
        </w:rPr>
      </w:pPr>
      <w:r>
        <w:t>5.</w:t>
      </w:r>
      <w:r>
        <w:tab/>
        <w:t xml:space="preserve">Objednatel je oprávněn provést zajišťovací úhradu DPH na účet příslušného finančního úřadu, </w:t>
      </w:r>
      <w:r w:rsidRPr="003C7277">
        <w:rPr>
          <w:rFonts w:cs="Calibri"/>
        </w:rPr>
        <w:t>jestliže se zhotovitel stane ke dni uskutečnění zdanitelného plnění nespolehlivým plátcem dle zákona o dani z přidané hodnoty.</w:t>
      </w:r>
    </w:p>
    <w:p w14:paraId="6C9A59DB" w14:textId="77777777" w:rsidR="00AB1FE8" w:rsidRPr="0006778D" w:rsidRDefault="00AB1FE8" w:rsidP="0006778D">
      <w:pPr>
        <w:pStyle w:val="Zkladntext"/>
        <w:keepNext/>
        <w:widowControl w:val="0"/>
        <w:ind w:left="426" w:hanging="426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3C7277">
        <w:rPr>
          <w:rFonts w:ascii="Calibri" w:hAnsi="Calibri" w:cs="Calibri"/>
          <w:sz w:val="22"/>
          <w:szCs w:val="22"/>
        </w:rPr>
        <w:t>6.</w:t>
      </w:r>
      <w:r w:rsidRPr="003C7277">
        <w:rPr>
          <w:rFonts w:ascii="Calibri" w:hAnsi="Calibri" w:cs="Calibri"/>
          <w:sz w:val="22"/>
          <w:szCs w:val="22"/>
        </w:rPr>
        <w:tab/>
      </w:r>
      <w:r w:rsidR="0006778D" w:rsidRPr="003C7277">
        <w:rPr>
          <w:rFonts w:ascii="Calibri" w:hAnsi="Calibri" w:cs="Calibri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06778D" w:rsidRPr="003C7277">
        <w:rPr>
          <w:rFonts w:ascii="Calibri" w:hAnsi="Calibri" w:cs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06778D" w:rsidRPr="003C7277">
        <w:rPr>
          <w:rFonts w:ascii="Calibri" w:hAnsi="Calibri" w:cs="Calibri"/>
          <w:sz w:val="22"/>
          <w:szCs w:val="22"/>
          <w:lang w:val="cs-CZ"/>
        </w:rPr>
        <w:t xml:space="preserve">celkové </w:t>
      </w:r>
      <w:r w:rsidR="0006778D" w:rsidRPr="003C7277">
        <w:rPr>
          <w:rFonts w:ascii="Calibri" w:hAnsi="Calibri" w:cs="Calibri"/>
          <w:sz w:val="22"/>
          <w:szCs w:val="22"/>
        </w:rPr>
        <w:t>ceně</w:t>
      </w:r>
      <w:r w:rsidR="0006778D" w:rsidRPr="003C7277">
        <w:rPr>
          <w:rFonts w:ascii="Calibri" w:hAnsi="Calibri" w:cs="Calibri"/>
          <w:sz w:val="22"/>
          <w:szCs w:val="22"/>
          <w:lang w:val="cs-CZ"/>
        </w:rPr>
        <w:t xml:space="preserve"> díla.</w:t>
      </w:r>
      <w:r>
        <w:t xml:space="preserve"> </w:t>
      </w:r>
    </w:p>
    <w:p w14:paraId="78762077" w14:textId="77777777"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14:paraId="1B92002C" w14:textId="77777777" w:rsidR="007901CB" w:rsidRDefault="007901CB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09C141C" w14:textId="3605E795" w:rsidR="0006778D" w:rsidRPr="008A57FB" w:rsidRDefault="0006778D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IV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EBC4E23" w14:textId="77777777"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 od smlouvy je možné za podmínek stanovených zákonem či touto smlouvou. Odstoupení od smlouvy je platné a účinné okamžikem doručení projevu vůle směřujícího k odstoupení od smlouvy druhé smluvní straně.</w:t>
      </w:r>
    </w:p>
    <w:p w14:paraId="490E77FF" w14:textId="77777777"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4B1E3F0A" w14:textId="77777777"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Pr="008A57FB">
        <w:rPr>
          <w:rFonts w:ascii="Calibri" w:hAnsi="Calibri"/>
          <w:sz w:val="22"/>
          <w:szCs w:val="22"/>
        </w:rPr>
        <w:t xml:space="preserve"> </w:t>
      </w:r>
      <w:r w:rsidRPr="0006778D">
        <w:rPr>
          <w:rFonts w:ascii="Calibri" w:hAnsi="Calibri"/>
          <w:sz w:val="22"/>
          <w:szCs w:val="22"/>
        </w:rPr>
        <w:t>či jeho části dle čl. II. odst. 1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0677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Pr="008A57FB">
        <w:rPr>
          <w:rFonts w:ascii="Calibri" w:hAnsi="Calibri" w:cs="Arial"/>
          <w:sz w:val="22"/>
          <w:szCs w:val="22"/>
          <w:lang w:val="cs-CZ"/>
        </w:rPr>
        <w:t>,</w:t>
      </w:r>
    </w:p>
    <w:p w14:paraId="62652E75" w14:textId="77777777"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5EB437D0" w14:textId="77777777" w:rsidR="0006778D" w:rsidRPr="008A57FB" w:rsidRDefault="0006778D" w:rsidP="0006778D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14:paraId="42CE0353" w14:textId="77777777" w:rsidR="0006778D" w:rsidRPr="008A57FB" w:rsidRDefault="0006778D" w:rsidP="0006778D">
      <w:pPr>
        <w:pStyle w:val="Zkladntext"/>
        <w:keepNext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Pr="0006778D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dní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74625C0B" w14:textId="77777777" w:rsidR="0006778D" w:rsidRDefault="0006778D" w:rsidP="00EF701E">
      <w:pPr>
        <w:jc w:val="center"/>
        <w:rPr>
          <w:b/>
        </w:rPr>
      </w:pPr>
    </w:p>
    <w:p w14:paraId="7C720A7A" w14:textId="77777777" w:rsidR="00AB1FE8" w:rsidRPr="00071F32" w:rsidRDefault="00AB1FE8" w:rsidP="00EF701E">
      <w:pPr>
        <w:jc w:val="center"/>
        <w:rPr>
          <w:b/>
        </w:rPr>
      </w:pPr>
      <w:r w:rsidRPr="00EF701E">
        <w:rPr>
          <w:b/>
        </w:rPr>
        <w:lastRenderedPageBreak/>
        <w:t>V.</w:t>
      </w:r>
      <w:r w:rsidR="00EF701E" w:rsidRPr="00EF701E">
        <w:rPr>
          <w:b/>
        </w:rPr>
        <w:t xml:space="preserve"> </w:t>
      </w:r>
      <w:r w:rsidRPr="00071F32">
        <w:rPr>
          <w:b/>
        </w:rPr>
        <w:t>Společná a závěrečná ustanovení</w:t>
      </w:r>
    </w:p>
    <w:p w14:paraId="3E08ED85" w14:textId="77777777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14:paraId="778CE340" w14:textId="77777777"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14:paraId="72F70994" w14:textId="77777777"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>Tato smlouva byla sepsána ve dvou vyhotoveních. Každá ze smluvních stran obdržela po jednom totožném vyhotovení.</w:t>
      </w:r>
    </w:p>
    <w:p w14:paraId="0A37725F" w14:textId="77777777"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0C2B66E1" w14:textId="77777777"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14:paraId="78167A56" w14:textId="77777777"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16022B7" w14:textId="77777777" w:rsidR="00AB1FE8" w:rsidRDefault="00AB1FE8" w:rsidP="00EF701E">
      <w:pPr>
        <w:ind w:left="425" w:hanging="425"/>
        <w:contextualSpacing/>
        <w:jc w:val="both"/>
      </w:pPr>
      <w:r>
        <w:t>7.</w:t>
      </w:r>
      <w:r>
        <w:tab/>
      </w:r>
      <w:r w:rsidR="0006778D" w:rsidRPr="008A57FB">
        <w:rPr>
          <w:iCs/>
        </w:rPr>
        <w:t xml:space="preserve">Informace k ochraně osobních údajů jsou ze strany NPÚ uveřejněny na webových stránkách </w:t>
      </w:r>
      <w:r w:rsidR="0006778D" w:rsidRPr="0006778D">
        <w:rPr>
          <w:iCs/>
        </w:rPr>
        <w:t>www.npu.cz</w:t>
      </w:r>
      <w:r w:rsidR="0006778D" w:rsidRPr="008A57FB">
        <w:rPr>
          <w:iCs/>
        </w:rPr>
        <w:t xml:space="preserve"> v sekci „Ochrana osobních údajů“.</w:t>
      </w:r>
    </w:p>
    <w:p w14:paraId="3020887E" w14:textId="77777777" w:rsidR="00AB1FE8" w:rsidRDefault="00AB1FE8" w:rsidP="00EF701E">
      <w:pPr>
        <w:ind w:left="425" w:hanging="425"/>
        <w:contextualSpacing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14:paraId="6B212496" w14:textId="77777777"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smlouvy </w:t>
      </w:r>
      <w:r w:rsidR="008B7F8A" w:rsidRPr="008B7F8A">
        <w:t>není v hrubém nepoměru. Smlouva je pro obě smluvní strany určitá a srozumitelná.</w:t>
      </w:r>
    </w:p>
    <w:p w14:paraId="71856E06" w14:textId="77777777" w:rsidR="00AD596D" w:rsidRDefault="00AD596D" w:rsidP="00EF701E">
      <w:pPr>
        <w:ind w:left="425" w:hanging="425"/>
        <w:contextualSpacing/>
        <w:jc w:val="both"/>
      </w:pPr>
    </w:p>
    <w:p w14:paraId="26DACCCC" w14:textId="77777777" w:rsidR="00AD596D" w:rsidRPr="008B7F8A" w:rsidRDefault="00AD596D" w:rsidP="00EF701E">
      <w:pPr>
        <w:ind w:left="425" w:hanging="425"/>
        <w:contextualSpacing/>
        <w:jc w:val="both"/>
      </w:pPr>
    </w:p>
    <w:p w14:paraId="32EF8840" w14:textId="77777777" w:rsidR="00AB1FE8" w:rsidRDefault="00AB1FE8" w:rsidP="00EF701E">
      <w:pPr>
        <w:ind w:left="425" w:hanging="425"/>
        <w:contextualSpacing/>
        <w:jc w:val="both"/>
      </w:pPr>
    </w:p>
    <w:p w14:paraId="2A4AC66F" w14:textId="77777777" w:rsidR="00EF701E" w:rsidRPr="00EF701E" w:rsidRDefault="00EF701E" w:rsidP="00EF701E">
      <w:pPr>
        <w:rPr>
          <w:rFonts w:eastAsia="Times New Roman"/>
        </w:rPr>
      </w:pPr>
    </w:p>
    <w:p w14:paraId="11AB593C" w14:textId="77777777" w:rsidR="00EF701E" w:rsidRDefault="00EF701E" w:rsidP="00EF701E">
      <w:pPr>
        <w:rPr>
          <w:rFonts w:eastAsia="Times New Roman"/>
        </w:rPr>
      </w:pPr>
    </w:p>
    <w:p w14:paraId="758AFC28" w14:textId="77777777" w:rsidR="00AD596D" w:rsidRPr="00EF701E" w:rsidRDefault="00AD596D" w:rsidP="00EF701E">
      <w:pPr>
        <w:rPr>
          <w:rFonts w:eastAsia="Times New Roman"/>
        </w:rPr>
      </w:pPr>
    </w:p>
    <w:p w14:paraId="6FF86E8F" w14:textId="77777777" w:rsidR="00EF701E" w:rsidRPr="00EF701E" w:rsidRDefault="00EF701E" w:rsidP="00EF701E">
      <w:pPr>
        <w:contextualSpacing/>
        <w:rPr>
          <w:rFonts w:eastAsia="Times New Roman"/>
        </w:rPr>
      </w:pPr>
    </w:p>
    <w:p w14:paraId="28B650AC" w14:textId="77777777" w:rsidR="00EF701E" w:rsidRPr="00EF701E" w:rsidRDefault="00EF701E" w:rsidP="00EF701E">
      <w:pPr>
        <w:ind w:firstLine="708"/>
        <w:contextualSpacing/>
        <w:rPr>
          <w:rFonts w:eastAsia="Times New Roman"/>
        </w:rPr>
      </w:pPr>
      <w:r w:rsidRPr="00EF701E">
        <w:rPr>
          <w:rFonts w:eastAsia="Times New Roman"/>
        </w:rPr>
        <w:t>…………………………………………..</w:t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  <w:t>…………………………………………..</w:t>
      </w:r>
    </w:p>
    <w:p w14:paraId="75419F89" w14:textId="01D6F4C2" w:rsidR="00AB1FE8" w:rsidRDefault="00450581" w:rsidP="00EF701E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  </w:t>
      </w:r>
      <w:r w:rsidR="0006778D">
        <w:rPr>
          <w:rFonts w:eastAsia="Times New Roman"/>
        </w:rPr>
        <w:t>PhDr. Zdeněk Vácha</w:t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proofErr w:type="spellStart"/>
      <w:r w:rsidR="00DF6444">
        <w:rPr>
          <w:rFonts w:eastAsia="Times New Roman"/>
        </w:rPr>
        <w:t>xxxxxxxxxxxxxx</w:t>
      </w:r>
      <w:proofErr w:type="spellEnd"/>
      <w:r w:rsidRPr="00450581">
        <w:rPr>
          <w:rFonts w:eastAsia="Times New Roman"/>
        </w:rPr>
        <w:t xml:space="preserve"> </w:t>
      </w:r>
    </w:p>
    <w:p w14:paraId="71924ECA" w14:textId="246E2C28" w:rsidR="0006778D" w:rsidRDefault="00450581" w:rsidP="00450581">
      <w:pPr>
        <w:tabs>
          <w:tab w:val="left" w:pos="851"/>
          <w:tab w:val="left" w:pos="5670"/>
        </w:tabs>
        <w:ind w:firstLine="708"/>
        <w:rPr>
          <w:rFonts w:eastAsia="Times New Roman"/>
        </w:rPr>
      </w:pPr>
      <w:r>
        <w:rPr>
          <w:rFonts w:eastAsia="Times New Roman"/>
        </w:rPr>
        <w:tab/>
        <w:t>ředitel</w:t>
      </w:r>
      <w:r>
        <w:rPr>
          <w:rFonts w:eastAsia="Times New Roman"/>
        </w:rPr>
        <w:tab/>
      </w:r>
      <w:proofErr w:type="spellStart"/>
      <w:r w:rsidR="007901CB">
        <w:rPr>
          <w:rFonts w:eastAsia="Times New Roman"/>
        </w:rPr>
        <w:t>ředitel</w:t>
      </w:r>
      <w:proofErr w:type="spellEnd"/>
    </w:p>
    <w:p w14:paraId="14E59DB0" w14:textId="31A0BBDF" w:rsidR="003E3248" w:rsidRDefault="003E3248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7E541C78" w14:textId="7BD52C37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3C0E274D" w14:textId="06068F6A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44B89233" w14:textId="77CD8D4F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23B30749" w14:textId="262B5177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66E102D1" w14:textId="6135FBCB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6F097BDA" w14:textId="77777777" w:rsidR="007901CB" w:rsidRDefault="007901CB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47DF179E" w14:textId="77777777" w:rsidR="003E3248" w:rsidRDefault="003E3248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5499E875" w14:textId="0D88349A" w:rsidR="003E3248" w:rsidRDefault="003E3248" w:rsidP="003E3248">
      <w:pPr>
        <w:tabs>
          <w:tab w:val="left" w:pos="5812"/>
        </w:tabs>
        <w:rPr>
          <w:rFonts w:eastAsia="Times New Roman"/>
        </w:rPr>
      </w:pPr>
      <w:r>
        <w:rPr>
          <w:rFonts w:eastAsia="Times New Roman"/>
        </w:rPr>
        <w:lastRenderedPageBreak/>
        <w:t>Příloha č. 1: Specifikace díla</w:t>
      </w:r>
    </w:p>
    <w:p w14:paraId="4BE320AF" w14:textId="285FA1D0" w:rsidR="00683B42" w:rsidRPr="00683B42" w:rsidRDefault="00683B42" w:rsidP="003E3248">
      <w:pPr>
        <w:tabs>
          <w:tab w:val="left" w:pos="5812"/>
        </w:tabs>
        <w:rPr>
          <w:rFonts w:eastAsia="Times New Roman"/>
          <w:b/>
          <w:bCs/>
        </w:rPr>
      </w:pPr>
      <w:r w:rsidRPr="00683B42">
        <w:rPr>
          <w:rFonts w:eastAsia="Times New Roman"/>
          <w:b/>
          <w:bCs/>
        </w:rPr>
        <w:t>Zakázka SZ Lednice, 98F3171038</w:t>
      </w:r>
      <w:r w:rsidR="00A07501">
        <w:rPr>
          <w:rFonts w:eastAsia="Times New Roman"/>
          <w:b/>
          <w:bCs/>
        </w:rPr>
        <w:t>, smluvní cena 211.629,- vč. DPH</w:t>
      </w:r>
      <w:r w:rsidRPr="00683B42">
        <w:rPr>
          <w:rFonts w:cstheme="minorHAnsi"/>
          <w:b/>
          <w:bCs/>
          <w:i/>
          <w:iCs/>
          <w:sz w:val="20"/>
          <w:szCs w:val="20"/>
        </w:rPr>
        <w:t>:</w:t>
      </w:r>
    </w:p>
    <w:p w14:paraId="6D94E4B6" w14:textId="64D042E6" w:rsidR="003E3248" w:rsidRDefault="00A62E61" w:rsidP="007901CB">
      <w:pPr>
        <w:tabs>
          <w:tab w:val="left" w:pos="5812"/>
        </w:tabs>
        <w:rPr>
          <w:rFonts w:eastAsia="Times New Roman"/>
        </w:rPr>
      </w:pPr>
      <w:r>
        <w:rPr>
          <w:rFonts w:eastAsia="Times New Roman"/>
        </w:rPr>
        <w:t>P</w:t>
      </w:r>
      <w:r w:rsidRPr="00A62E61">
        <w:rPr>
          <w:rFonts w:eastAsia="Times New Roman"/>
        </w:rPr>
        <w:t xml:space="preserve">rovedení </w:t>
      </w:r>
      <w:r w:rsidR="007901CB" w:rsidRPr="007901CB">
        <w:rPr>
          <w:rFonts w:eastAsia="Times New Roman"/>
        </w:rPr>
        <w:t xml:space="preserve">výkopu sond pro zjištění archeologických terénů. Je důležité ověřit původní rozsah osídlení a dochování archeologických terénů ulicové zástavby dnes zaniklé osy obce a dále vývoj terénů po změně využití v rámci zakomponování do zámeckého areálu. </w:t>
      </w:r>
      <w:r w:rsidR="007901CB">
        <w:rPr>
          <w:rFonts w:eastAsia="Times New Roman"/>
        </w:rPr>
        <w:t>Následné</w:t>
      </w:r>
      <w:r w:rsidR="007901CB" w:rsidRPr="007901CB">
        <w:rPr>
          <w:rFonts w:eastAsia="Times New Roman"/>
        </w:rPr>
        <w:t xml:space="preserve"> uvedení do původního stavu. Sondy budou umístěny </w:t>
      </w:r>
      <w:r w:rsidR="00A326D1">
        <w:rPr>
          <w:rFonts w:eastAsia="Times New Roman"/>
        </w:rPr>
        <w:t>v nevyužívaných zelených prostranstvích v návaznosti na požadavky vyplývající z projektové dokumentace</w:t>
      </w:r>
      <w:r w:rsidR="007901CB" w:rsidRPr="007901CB">
        <w:rPr>
          <w:rFonts w:eastAsia="Times New Roman"/>
        </w:rPr>
        <w:t xml:space="preserve"> plánované novostavby technického objektu</w:t>
      </w:r>
      <w:r w:rsidR="00A326D1">
        <w:rPr>
          <w:rFonts w:eastAsia="Times New Roman"/>
        </w:rPr>
        <w:t>, vedení sítí a úpravy</w:t>
      </w:r>
      <w:r w:rsidR="007901CB">
        <w:rPr>
          <w:rFonts w:eastAsia="Times New Roman"/>
        </w:rPr>
        <w:t> </w:t>
      </w:r>
      <w:r w:rsidR="007901CB" w:rsidRPr="007901CB">
        <w:rPr>
          <w:rFonts w:eastAsia="Times New Roman"/>
        </w:rPr>
        <w:t>zpevněných ploch.</w:t>
      </w:r>
    </w:p>
    <w:p w14:paraId="0416FD07" w14:textId="661BA5D6" w:rsidR="003E3248" w:rsidRPr="00A62E61" w:rsidRDefault="003E3248" w:rsidP="00A62E61">
      <w:pPr>
        <w:tabs>
          <w:tab w:val="left" w:pos="5812"/>
        </w:tabs>
        <w:rPr>
          <w:rFonts w:eastAsia="Times New Roman"/>
        </w:rPr>
      </w:pPr>
      <w:r w:rsidRPr="00A62E61">
        <w:rPr>
          <w:rFonts w:eastAsia="Times New Roman"/>
        </w:rPr>
        <w:t>V map</w:t>
      </w:r>
      <w:r w:rsidR="007901CB">
        <w:rPr>
          <w:rFonts w:eastAsia="Times New Roman"/>
        </w:rPr>
        <w:t>ě</w:t>
      </w:r>
      <w:r w:rsidRPr="00A62E61">
        <w:rPr>
          <w:rFonts w:eastAsia="Times New Roman"/>
        </w:rPr>
        <w:t xml:space="preserve"> </w:t>
      </w:r>
      <w:r w:rsidR="007901CB">
        <w:rPr>
          <w:rFonts w:eastAsia="Times New Roman"/>
        </w:rPr>
        <w:t xml:space="preserve">jsou </w:t>
      </w:r>
      <w:r w:rsidRPr="00A62E61">
        <w:rPr>
          <w:rFonts w:eastAsia="Times New Roman"/>
        </w:rPr>
        <w:t>vyznačeny plochy zájmu tmavě červeně</w:t>
      </w:r>
    </w:p>
    <w:p w14:paraId="6A090601" w14:textId="52BDC6FE" w:rsidR="003E3248" w:rsidRDefault="007901CB" w:rsidP="003E324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901CB">
        <w:rPr>
          <w:rFonts w:eastAsia="Times New Roman"/>
          <w:noProof/>
          <w:lang w:eastAsia="cs-CZ"/>
        </w:rPr>
        <w:drawing>
          <wp:inline distT="0" distB="0" distL="0" distR="0" wp14:anchorId="6B07D028" wp14:editId="0655CDB2">
            <wp:extent cx="4686300" cy="242786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74" cy="24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31AA7" w14:textId="77777777" w:rsidR="00683B42" w:rsidRDefault="00683B42" w:rsidP="003E3248">
      <w:pPr>
        <w:tabs>
          <w:tab w:val="left" w:pos="5812"/>
        </w:tabs>
        <w:rPr>
          <w:rFonts w:eastAsia="Times New Roman"/>
          <w:b/>
          <w:bCs/>
        </w:rPr>
      </w:pPr>
    </w:p>
    <w:p w14:paraId="56D38EB4" w14:textId="30ED2D00" w:rsidR="003E3248" w:rsidRPr="00683B42" w:rsidRDefault="00683B42" w:rsidP="003E3248">
      <w:pPr>
        <w:tabs>
          <w:tab w:val="left" w:pos="5812"/>
        </w:tabs>
        <w:rPr>
          <w:rFonts w:cstheme="minorHAnsi"/>
          <w:b/>
          <w:bCs/>
          <w:i/>
          <w:iCs/>
          <w:sz w:val="20"/>
          <w:szCs w:val="20"/>
        </w:rPr>
      </w:pPr>
      <w:r w:rsidRPr="00683B42">
        <w:rPr>
          <w:rFonts w:eastAsia="Times New Roman"/>
          <w:b/>
          <w:bCs/>
        </w:rPr>
        <w:t>Zakázka SH Bítov, 98F3171040</w:t>
      </w:r>
      <w:r w:rsidR="00A07501">
        <w:rPr>
          <w:rFonts w:eastAsia="Times New Roman"/>
          <w:b/>
          <w:bCs/>
        </w:rPr>
        <w:t>, smluvní cena 97.889,- vč. DPH</w:t>
      </w:r>
      <w:r w:rsidRPr="00683B42">
        <w:rPr>
          <w:rFonts w:cstheme="minorHAnsi"/>
          <w:b/>
          <w:bCs/>
          <w:i/>
          <w:iCs/>
          <w:sz w:val="20"/>
          <w:szCs w:val="20"/>
        </w:rPr>
        <w:t xml:space="preserve">: </w:t>
      </w:r>
    </w:p>
    <w:p w14:paraId="262B735E" w14:textId="05E0D9CF" w:rsidR="00683B42" w:rsidRDefault="00683B42" w:rsidP="003E3248">
      <w:pPr>
        <w:tabs>
          <w:tab w:val="left" w:pos="5812"/>
        </w:tabs>
      </w:pPr>
      <w:r w:rsidRPr="008B1082">
        <w:t>Provedené práce mají poskytnout první informace o dochování archeologických terénů a průběhu skalního podloží tak, aby bylo možné zahájit projekční práce a optimalizovat náklady na vyhotovení projektu.</w:t>
      </w:r>
    </w:p>
    <w:p w14:paraId="0D1664E3" w14:textId="49B9A57A" w:rsidR="003E3248" w:rsidRDefault="00683B42" w:rsidP="00683B42">
      <w:pPr>
        <w:tabs>
          <w:tab w:val="left" w:pos="5812"/>
        </w:tabs>
        <w:rPr>
          <w:rFonts w:eastAsia="Times New Roman"/>
        </w:rPr>
      </w:pPr>
      <w:r w:rsidRPr="00A62E61">
        <w:rPr>
          <w:rFonts w:eastAsia="Times New Roman"/>
        </w:rPr>
        <w:t>V map</w:t>
      </w:r>
      <w:r>
        <w:rPr>
          <w:rFonts w:eastAsia="Times New Roman"/>
        </w:rPr>
        <w:t>ě</w:t>
      </w:r>
      <w:r w:rsidRPr="00A62E61">
        <w:rPr>
          <w:rFonts w:eastAsia="Times New Roman"/>
        </w:rPr>
        <w:t xml:space="preserve"> </w:t>
      </w:r>
      <w:r>
        <w:rPr>
          <w:rFonts w:eastAsia="Times New Roman"/>
        </w:rPr>
        <w:t xml:space="preserve">jsou </w:t>
      </w:r>
      <w:r w:rsidRPr="00A62E61">
        <w:rPr>
          <w:rFonts w:eastAsia="Times New Roman"/>
        </w:rPr>
        <w:t>vyznačeny plochy zájmu tmavě červeně</w:t>
      </w:r>
    </w:p>
    <w:p w14:paraId="2F29159C" w14:textId="720E0405" w:rsidR="003E3248" w:rsidRDefault="00A07501" w:rsidP="003E3248">
      <w:pPr>
        <w:tabs>
          <w:tab w:val="left" w:pos="851"/>
          <w:tab w:val="left" w:pos="5812"/>
        </w:tabs>
        <w:ind w:firstLine="708"/>
      </w:pPr>
      <w:r w:rsidRPr="008B1082"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4C20A464" wp14:editId="4F45E13C">
            <wp:simplePos x="0" y="0"/>
            <wp:positionH relativeFrom="page">
              <wp:posOffset>895350</wp:posOffset>
            </wp:positionH>
            <wp:positionV relativeFrom="paragraph">
              <wp:posOffset>23495</wp:posOffset>
            </wp:positionV>
            <wp:extent cx="4314825" cy="2607945"/>
            <wp:effectExtent l="0" t="0" r="9525" b="190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248" w:rsidSect="00EF701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16DA" w14:textId="77777777" w:rsidR="00F07DCE" w:rsidRDefault="00F07DCE" w:rsidP="00EF701E">
      <w:pPr>
        <w:spacing w:after="0" w:line="240" w:lineRule="auto"/>
      </w:pPr>
      <w:r>
        <w:separator/>
      </w:r>
    </w:p>
  </w:endnote>
  <w:endnote w:type="continuationSeparator" w:id="0">
    <w:p w14:paraId="2EEE380F" w14:textId="77777777" w:rsidR="00F07DCE" w:rsidRDefault="00F07DCE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9CCD" w14:textId="77777777" w:rsidR="00F07DCE" w:rsidRDefault="00F07DCE" w:rsidP="00EF701E">
      <w:pPr>
        <w:spacing w:after="0" w:line="240" w:lineRule="auto"/>
      </w:pPr>
      <w:r>
        <w:separator/>
      </w:r>
    </w:p>
  </w:footnote>
  <w:footnote w:type="continuationSeparator" w:id="0">
    <w:p w14:paraId="6AECE6D6" w14:textId="77777777" w:rsidR="00F07DCE" w:rsidRDefault="00F07DCE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1E77" w14:textId="133739AC" w:rsidR="00EF701E" w:rsidRDefault="005410F0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/>
      </w:rPr>
    </w:pPr>
    <w:r>
      <w:rPr>
        <w:rFonts w:eastAsia="Times New Roman"/>
      </w:rPr>
      <w:t xml:space="preserve">NAK: </w:t>
    </w:r>
    <w:r w:rsidR="00646A9F" w:rsidRPr="00646A9F">
      <w:rPr>
        <w:rFonts w:eastAsia="Times New Roman"/>
      </w:rPr>
      <w:t>7100H12300</w:t>
    </w:r>
    <w:r w:rsidR="00DD46F9">
      <w:rPr>
        <w:rFonts w:eastAsia="Times New Roman"/>
      </w:rPr>
      <w:t>13</w:t>
    </w:r>
  </w:p>
  <w:p w14:paraId="505F6DE2" w14:textId="27375FF1" w:rsidR="00646A9F" w:rsidRDefault="005410F0" w:rsidP="00646A9F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/>
      </w:rPr>
    </w:pPr>
    <w:r>
      <w:rPr>
        <w:rFonts w:eastAsia="Times New Roman"/>
      </w:rPr>
      <w:t>zakázk</w:t>
    </w:r>
    <w:r w:rsidR="00DD46F9">
      <w:rPr>
        <w:rFonts w:eastAsia="Times New Roman"/>
      </w:rPr>
      <w:t>a</w:t>
    </w:r>
    <w:r>
      <w:rPr>
        <w:rFonts w:eastAsia="Times New Roman"/>
      </w:rPr>
      <w:t xml:space="preserve">: </w:t>
    </w:r>
    <w:r w:rsidR="00646A9F" w:rsidRPr="00646A9F">
      <w:rPr>
        <w:rFonts w:eastAsia="Times New Roman"/>
      </w:rPr>
      <w:t>98F317103</w:t>
    </w:r>
    <w:r w:rsidR="00DD46F9">
      <w:rPr>
        <w:rFonts w:eastAsia="Times New Roman"/>
      </w:rPr>
      <w:t>8</w:t>
    </w:r>
  </w:p>
  <w:p w14:paraId="126876CC" w14:textId="4CA22635" w:rsidR="00683B42" w:rsidRPr="00646A9F" w:rsidRDefault="00683B42" w:rsidP="00646A9F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/>
      </w:rPr>
    </w:pPr>
    <w:r w:rsidRPr="00683B42">
      <w:rPr>
        <w:rFonts w:eastAsia="Times New Roman"/>
      </w:rPr>
      <w:t>98F3171040</w:t>
    </w:r>
  </w:p>
  <w:p w14:paraId="0D6F5B0F" w14:textId="0DF10114" w:rsidR="00EF701E" w:rsidRPr="00EF701E" w:rsidRDefault="00EF701E" w:rsidP="00646A9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</w:rPr>
    </w:pPr>
    <w:r w:rsidRPr="005179A5">
      <w:rPr>
        <w:rFonts w:eastAsia="Times New Roman"/>
      </w:rPr>
      <w:t>ESS: NPU-371/</w:t>
    </w:r>
    <w:r w:rsidR="00DD46F9">
      <w:rPr>
        <w:rFonts w:eastAsia="Times New Roman"/>
      </w:rPr>
      <w:t>85404</w:t>
    </w:r>
    <w:r w:rsidR="002F6BCB">
      <w:rPr>
        <w:rFonts w:eastAsia="Times New Roman"/>
      </w:rPr>
      <w:t>/</w:t>
    </w:r>
    <w:r w:rsidR="005410F0">
      <w:rPr>
        <w:rFonts w:eastAsia="Times New Roman"/>
      </w:rPr>
      <w:t>202</w:t>
    </w:r>
    <w:r w:rsidR="00646A9F">
      <w:rPr>
        <w:rFonts w:eastAsia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4A5"/>
    <w:multiLevelType w:val="hybridMultilevel"/>
    <w:tmpl w:val="026E75D2"/>
    <w:lvl w:ilvl="0" w:tplc="67DCD84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57B1614A"/>
    <w:multiLevelType w:val="hybridMultilevel"/>
    <w:tmpl w:val="F07433C0"/>
    <w:lvl w:ilvl="0" w:tplc="A05C64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wMDczMrEwsjQ1sbBQ0lEKTi0uzszPAykwrgUATM9KIywAAAA="/>
  </w:docVars>
  <w:rsids>
    <w:rsidRoot w:val="00AB1FE8"/>
    <w:rsid w:val="000310B0"/>
    <w:rsid w:val="0006778D"/>
    <w:rsid w:val="00071F32"/>
    <w:rsid w:val="00127750"/>
    <w:rsid w:val="00167678"/>
    <w:rsid w:val="00175197"/>
    <w:rsid w:val="001A1866"/>
    <w:rsid w:val="0025330E"/>
    <w:rsid w:val="002616A9"/>
    <w:rsid w:val="00261BED"/>
    <w:rsid w:val="002B54F8"/>
    <w:rsid w:val="002F6BCB"/>
    <w:rsid w:val="00337823"/>
    <w:rsid w:val="00362EA9"/>
    <w:rsid w:val="00373CEF"/>
    <w:rsid w:val="00390F97"/>
    <w:rsid w:val="00392B1D"/>
    <w:rsid w:val="0039402D"/>
    <w:rsid w:val="003C7277"/>
    <w:rsid w:val="003D3642"/>
    <w:rsid w:val="003E3248"/>
    <w:rsid w:val="003E4BEF"/>
    <w:rsid w:val="00435619"/>
    <w:rsid w:val="00450581"/>
    <w:rsid w:val="00450C83"/>
    <w:rsid w:val="00480F3F"/>
    <w:rsid w:val="004D2480"/>
    <w:rsid w:val="00506E31"/>
    <w:rsid w:val="005179A5"/>
    <w:rsid w:val="0053560E"/>
    <w:rsid w:val="005410F0"/>
    <w:rsid w:val="00544E3E"/>
    <w:rsid w:val="005B461E"/>
    <w:rsid w:val="005F1765"/>
    <w:rsid w:val="00616FDE"/>
    <w:rsid w:val="00646A9F"/>
    <w:rsid w:val="00650677"/>
    <w:rsid w:val="00681CFC"/>
    <w:rsid w:val="00683B42"/>
    <w:rsid w:val="00686D2C"/>
    <w:rsid w:val="006E012D"/>
    <w:rsid w:val="00707412"/>
    <w:rsid w:val="007240C6"/>
    <w:rsid w:val="00755126"/>
    <w:rsid w:val="007577E7"/>
    <w:rsid w:val="007901CB"/>
    <w:rsid w:val="0079478E"/>
    <w:rsid w:val="008061FA"/>
    <w:rsid w:val="008562CB"/>
    <w:rsid w:val="00895F86"/>
    <w:rsid w:val="008B2BF0"/>
    <w:rsid w:val="008B7F8A"/>
    <w:rsid w:val="008F65E4"/>
    <w:rsid w:val="00922221"/>
    <w:rsid w:val="009323D7"/>
    <w:rsid w:val="00944F52"/>
    <w:rsid w:val="00951139"/>
    <w:rsid w:val="00953913"/>
    <w:rsid w:val="00974A10"/>
    <w:rsid w:val="00976648"/>
    <w:rsid w:val="00A07501"/>
    <w:rsid w:val="00A14094"/>
    <w:rsid w:val="00A15C93"/>
    <w:rsid w:val="00A326D1"/>
    <w:rsid w:val="00A51F87"/>
    <w:rsid w:val="00A62E61"/>
    <w:rsid w:val="00AA7373"/>
    <w:rsid w:val="00AB1FE8"/>
    <w:rsid w:val="00AC05F0"/>
    <w:rsid w:val="00AC1918"/>
    <w:rsid w:val="00AD596D"/>
    <w:rsid w:val="00B14BCC"/>
    <w:rsid w:val="00B30BD7"/>
    <w:rsid w:val="00B83268"/>
    <w:rsid w:val="00B841B1"/>
    <w:rsid w:val="00B93C19"/>
    <w:rsid w:val="00C142A9"/>
    <w:rsid w:val="00C47610"/>
    <w:rsid w:val="00C85B09"/>
    <w:rsid w:val="00CD1581"/>
    <w:rsid w:val="00D250B0"/>
    <w:rsid w:val="00D31C7F"/>
    <w:rsid w:val="00D72622"/>
    <w:rsid w:val="00DD46F9"/>
    <w:rsid w:val="00DF6444"/>
    <w:rsid w:val="00DF74E4"/>
    <w:rsid w:val="00E214DA"/>
    <w:rsid w:val="00E2361F"/>
    <w:rsid w:val="00E262BC"/>
    <w:rsid w:val="00ED5AD7"/>
    <w:rsid w:val="00EF701E"/>
    <w:rsid w:val="00F07DCE"/>
    <w:rsid w:val="00F601E1"/>
    <w:rsid w:val="00FD4C85"/>
    <w:rsid w:val="00FE3FD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35DD7"/>
  <w15:chartTrackingRefBased/>
  <w15:docId w15:val="{26D953A7-BAE9-4B7E-AED8-9966202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B4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6A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  <w:style w:type="character" w:styleId="Hypertextovodkaz">
    <w:name w:val="Hyperlink"/>
    <w:semiHidden/>
    <w:rsid w:val="00067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6778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06778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">
    <w:uiPriority w:val="20"/>
    <w:qFormat/>
    <w:rsid w:val="00650677"/>
    <w:pPr>
      <w:spacing w:after="160" w:line="259" w:lineRule="auto"/>
    </w:pPr>
    <w:rPr>
      <w:sz w:val="22"/>
      <w:szCs w:val="22"/>
      <w:lang w:eastAsia="en-US"/>
    </w:rPr>
  </w:style>
  <w:style w:type="character" w:styleId="Zdraznn">
    <w:name w:val="Emphasis"/>
    <w:uiPriority w:val="20"/>
    <w:qFormat/>
    <w:rsid w:val="005410F0"/>
    <w:rPr>
      <w:i/>
      <w:iCs/>
    </w:rPr>
  </w:style>
  <w:style w:type="character" w:customStyle="1" w:styleId="Nadpis1Char">
    <w:name w:val="Nadpis 1 Char"/>
    <w:link w:val="Nadpis1"/>
    <w:uiPriority w:val="9"/>
    <w:rsid w:val="00646A9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xcontentpasted0">
    <w:name w:val="x_contentpasted0"/>
    <w:rsid w:val="00450581"/>
  </w:style>
  <w:style w:type="paragraph" w:customStyle="1" w:styleId="Default">
    <w:name w:val="Default"/>
    <w:rsid w:val="007901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8455</CharactersWithSpaces>
  <SharedDoc>false</SharedDoc>
  <HLinks>
    <vt:vector size="12" baseType="variant">
      <vt:variant>
        <vt:i4>7143502</vt:i4>
      </vt:variant>
      <vt:variant>
        <vt:i4>21730</vt:i4>
      </vt:variant>
      <vt:variant>
        <vt:i4>1026</vt:i4>
      </vt:variant>
      <vt:variant>
        <vt:i4>1</vt:i4>
      </vt:variant>
      <vt:variant>
        <vt:lpwstr>cid:fb0030534e23f21f61a45950bbf8b0cb48736cdd@zimbra</vt:lpwstr>
      </vt:variant>
      <vt:variant>
        <vt:lpwstr/>
      </vt:variant>
      <vt:variant>
        <vt:i4>3538964</vt:i4>
      </vt:variant>
      <vt:variant>
        <vt:i4>21968</vt:i4>
      </vt:variant>
      <vt:variant>
        <vt:i4>1027</vt:i4>
      </vt:variant>
      <vt:variant>
        <vt:i4>1</vt:i4>
      </vt:variant>
      <vt:variant>
        <vt:lpwstr>cid:03570b062dfd6d4385514479593aabff1047203e@zimbra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Martin Šildberger</cp:lastModifiedBy>
  <cp:revision>7</cp:revision>
  <cp:lastPrinted>2022-09-26T05:59:00Z</cp:lastPrinted>
  <dcterms:created xsi:type="dcterms:W3CDTF">2023-10-04T10:22:00Z</dcterms:created>
  <dcterms:modified xsi:type="dcterms:W3CDTF">2023-10-13T07:51:00Z</dcterms:modified>
</cp:coreProperties>
</file>