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81455" cy="35369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1455" cy="3536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rStyle w:val="CharStyle3"/>
          <w:sz w:val="16"/>
          <w:szCs w:val="16"/>
        </w:rPr>
        <w:t>2023007976</w:t>
      </w:r>
    </w:p>
    <w:p>
      <w:pPr>
        <w:widowControl w:val="0"/>
        <w:spacing w:after="99" w:line="1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21"/>
          <w:b/>
          <w:bCs/>
        </w:rPr>
        <w:t>RÁMCOVÁ KUPNÍ SMLOUVA</w:t>
      </w:r>
      <w:bookmarkEnd w:id="0"/>
    </w:p>
    <w:p>
      <w:pPr>
        <w:pStyle w:val="Style22"/>
        <w:keepNext/>
        <w:keepLines/>
        <w:widowControl w:val="0"/>
        <w:shd w:val="clear" w:color="auto" w:fill="auto"/>
        <w:bidi w:val="0"/>
        <w:spacing w:before="0"/>
        <w:ind w:right="0"/>
        <w:jc w:val="both"/>
      </w:pPr>
      <w:bookmarkStart w:id="2" w:name="bookmark2"/>
      <w:r>
        <w:rPr>
          <w:rStyle w:val="CharStyle23"/>
        </w:rPr>
        <w:t>uzavřená v souladu s ustanovením § 2079 a násl. zákona č. 89/2012 Sb., občanský zákoník, mezi níže uvedenými smluvními stranami</w:t>
      </w:r>
      <w:bookmarkEnd w:id="2"/>
    </w:p>
    <w:tbl>
      <w:tblPr>
        <w:tblOverlap w:val="never"/>
        <w:jc w:val="center"/>
        <w:tblLayout w:type="fixed"/>
      </w:tblPr>
      <w:tblGrid>
        <w:gridCol w:w="2626"/>
        <w:gridCol w:w="6120"/>
      </w:tblGrid>
      <w:tr>
        <w:trPr>
          <w:trHeight w:val="4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Kamenice 798/1 d, 625 00 Brno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MUDr. Hana Albrechtová, ředitelka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  <w:spacing w:val="1"/>
                <w:shd w:val="clear" w:color="auto" w:fill="000000"/>
              </w:rPr>
              <w:t>..</w:t>
            </w:r>
            <w:r>
              <w:rPr>
                <w:rStyle w:val="CharStyle28"/>
                <w:spacing w:val="2"/>
                <w:shd w:val="clear" w:color="auto" w:fill="000000"/>
              </w:rPr>
              <w:t>....</w:t>
            </w:r>
            <w:r>
              <w:rPr>
                <w:rStyle w:val="CharStyle28"/>
                <w:shd w:val="clear" w:color="auto" w:fill="000000"/>
              </w:rPr>
              <w:t>​</w:t>
            </w:r>
            <w:r>
              <w:rPr>
                <w:rStyle w:val="CharStyle28"/>
                <w:spacing w:val="5"/>
                <w:shd w:val="clear" w:color="auto" w:fill="000000"/>
              </w:rPr>
              <w:t>......</w:t>
            </w:r>
            <w:r>
              <w:rPr>
                <w:rStyle w:val="CharStyle28"/>
                <w:spacing w:val="6"/>
                <w:shd w:val="clear" w:color="auto" w:fill="000000"/>
              </w:rPr>
              <w:t>..</w:t>
            </w:r>
            <w:r>
              <w:rPr>
                <w:rStyle w:val="CharStyle28"/>
                <w:shd w:val="clear" w:color="auto" w:fill="000000"/>
              </w:rPr>
              <w:t>​.</w:t>
            </w:r>
            <w:r>
              <w:rPr>
                <w:rStyle w:val="CharStyle28"/>
                <w:spacing w:val="1"/>
                <w:shd w:val="clear" w:color="auto" w:fill="000000"/>
              </w:rPr>
              <w:t>....................</w:t>
            </w:r>
            <w:r>
              <w:rPr>
                <w:rStyle w:val="CharStyle28"/>
                <w:u w:val="single"/>
                <w:shd w:val="clear" w:color="auto" w:fill="000000"/>
                <w:lang w:val="en-US" w:eastAsia="en-US" w:bidi="en-US"/>
              </w:rPr>
              <w:t>​...............................</w:t>
            </w:r>
            <w:r>
              <w:rPr>
                <w:rStyle w:val="CharStyle28"/>
                <w:spacing w:val="1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CharStyle28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8"/>
                <w:u w:val="single"/>
                <w:lang w:val="en-US" w:eastAsia="en-US" w:bidi="en-US"/>
              </w:rPr>
              <w:t xml:space="preserve"> </w:t>
            </w:r>
            <w:r>
              <w:rPr>
                <w:rStyle w:val="CharStyle28"/>
                <w:shd w:val="clear" w:color="auto" w:fill="000000"/>
              </w:rPr>
              <w:t>​</w:t>
            </w:r>
            <w:r>
              <w:rPr>
                <w:rStyle w:val="CharStyle28"/>
                <w:spacing w:val="8"/>
                <w:shd w:val="clear" w:color="auto" w:fill="000000"/>
              </w:rPr>
              <w:t>...</w:t>
            </w:r>
            <w:r>
              <w:rPr>
                <w:rStyle w:val="CharStyle28"/>
                <w:spacing w:val="9"/>
                <w:shd w:val="clear" w:color="auto" w:fill="000000"/>
              </w:rPr>
              <w:t>..</w:t>
            </w:r>
            <w:r>
              <w:rPr>
                <w:rStyle w:val="CharStyle28"/>
                <w:shd w:val="clear" w:color="auto" w:fill="000000"/>
              </w:rPr>
              <w:t>​....</w:t>
            </w:r>
            <w:r>
              <w:rPr>
                <w:rStyle w:val="CharStyle28"/>
                <w:spacing w:val="1"/>
                <w:shd w:val="clear" w:color="auto" w:fill="000000"/>
              </w:rPr>
              <w:t>.....</w:t>
            </w:r>
            <w:r>
              <w:rPr>
                <w:rStyle w:val="CharStyle28"/>
                <w:shd w:val="clear" w:color="auto" w:fill="000000"/>
              </w:rPr>
              <w:t>​.......​</w:t>
            </w:r>
            <w:r>
              <w:rPr>
                <w:rStyle w:val="CharStyle28"/>
                <w:spacing w:val="6"/>
                <w:shd w:val="clear" w:color="auto" w:fill="000000"/>
              </w:rPr>
              <w:t>...</w:t>
            </w:r>
            <w:r>
              <w:rPr>
                <w:rStyle w:val="CharStyle28"/>
                <w:spacing w:val="7"/>
                <w:shd w:val="clear" w:color="auto" w:fill="000000"/>
              </w:rPr>
              <w:t>...</w:t>
            </w:r>
            <w:r>
              <w:rPr>
                <w:rStyle w:val="CharStyle28"/>
                <w:shd w:val="clear" w:color="auto" w:fill="000000"/>
              </w:rPr>
              <w:t>​......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IČO: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00346292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CZ00346292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Krajský soud v Brně sp. zn. Pr 1245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MONETA Money Bank, a.s., č. ú. 117203514/0600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25"/>
        </w:rPr>
        <w:t xml:space="preserve">(dále jen </w:t>
      </w:r>
      <w:r>
        <w:rPr>
          <w:rStyle w:val="CharStyle25"/>
          <w:b/>
          <w:bCs/>
          <w:i/>
          <w:iCs/>
        </w:rPr>
        <w:t>„kupující")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26"/>
        <w:gridCol w:w="6115"/>
      </w:tblGrid>
      <w:tr>
        <w:trPr>
          <w:trHeight w:val="54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ČI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  <w:b/>
                <w:bCs/>
              </w:rPr>
              <w:t>TECOM Analytical Systems CS spol. s r.o.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 Fialce 276/35,155 00 Praha 5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Lenka Habalová, prokurista společnosti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  <w:shd w:val="clear" w:color="auto" w:fill="000000"/>
              </w:rPr>
              <w:t>.......​</w:t>
            </w:r>
            <w:r>
              <w:rPr>
                <w:rStyle w:val="CharStyle28"/>
                <w:spacing w:val="7"/>
                <w:shd w:val="clear" w:color="auto" w:fill="000000"/>
              </w:rPr>
              <w:t>......</w:t>
            </w:r>
            <w:r>
              <w:rPr>
                <w:rStyle w:val="CharStyle28"/>
                <w:shd w:val="clear" w:color="auto" w:fill="000000"/>
              </w:rPr>
              <w:t>​</w:t>
            </w:r>
            <w:r>
              <w:rPr>
                <w:rStyle w:val="CharStyle28"/>
                <w:spacing w:val="4"/>
                <w:shd w:val="clear" w:color="auto" w:fill="000000"/>
              </w:rPr>
              <w:t>..........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  <w:spacing w:val="3"/>
                <w:shd w:val="clear" w:color="auto" w:fill="000000"/>
              </w:rPr>
              <w:t>..</w:t>
            </w:r>
            <w:r>
              <w:rPr>
                <w:rStyle w:val="CharStyle28"/>
                <w:spacing w:val="4"/>
                <w:shd w:val="clear" w:color="auto" w:fill="000000"/>
              </w:rPr>
              <w:t>.</w:t>
            </w:r>
            <w:r>
              <w:rPr>
                <w:rStyle w:val="CharStyle28"/>
                <w:shd w:val="clear" w:color="auto" w:fill="000000"/>
              </w:rPr>
              <w:t>​</w:t>
            </w:r>
            <w:r>
              <w:rPr>
                <w:rStyle w:val="CharStyle28"/>
                <w:spacing w:val="3"/>
                <w:shd w:val="clear" w:color="auto" w:fill="000000"/>
              </w:rPr>
              <w:t>..</w:t>
            </w:r>
            <w:r>
              <w:rPr>
                <w:rStyle w:val="CharStyle28"/>
                <w:spacing w:val="4"/>
                <w:shd w:val="clear" w:color="auto" w:fill="000000"/>
              </w:rPr>
              <w:t>......</w:t>
            </w:r>
            <w:r>
              <w:rPr>
                <w:rStyle w:val="CharStyle28"/>
                <w:shd w:val="clear" w:color="auto" w:fill="000000"/>
              </w:rPr>
              <w:t>​.......</w:t>
            </w:r>
            <w:r>
              <w:rPr>
                <w:rStyle w:val="CharStyle28"/>
                <w:spacing w:val="1"/>
                <w:shd w:val="clear" w:color="auto" w:fill="000000"/>
              </w:rPr>
              <w:t>....................</w:t>
            </w:r>
            <w:r>
              <w:rPr>
                <w:rStyle w:val="CharStyle28"/>
                <w:spacing w:val="2"/>
                <w:u w:val="single"/>
                <w:shd w:val="clear" w:color="auto" w:fill="000000"/>
              </w:rPr>
              <w:t>...</w:t>
            </w:r>
            <w:r>
              <w:rPr>
                <w:rStyle w:val="CharStyle28"/>
                <w:spacing w:val="3"/>
                <w:u w:val="single"/>
                <w:shd w:val="clear" w:color="auto" w:fill="000000"/>
              </w:rPr>
              <w:t>.</w:t>
            </w:r>
            <w:r>
              <w:rPr>
                <w:rStyle w:val="CharStyle28"/>
                <w:u w:val="single"/>
                <w:shd w:val="clear" w:color="auto" w:fill="000000"/>
              </w:rPr>
              <w:t>​</w:t>
            </w:r>
            <w:r>
              <w:rPr>
                <w:rStyle w:val="CharStyle28"/>
                <w:spacing w:val="14"/>
                <w:u w:val="single"/>
                <w:shd w:val="clear" w:color="auto" w:fill="000000"/>
              </w:rPr>
              <w:t>...</w:t>
            </w:r>
            <w:r>
              <w:rPr>
                <w:rStyle w:val="CharStyle28"/>
                <w:spacing w:val="4"/>
                <w:shd w:val="clear" w:color="auto" w:fill="000000"/>
              </w:rPr>
              <w:t>....</w:t>
            </w:r>
            <w:r>
              <w:rPr>
                <w:rStyle w:val="CharStyle28"/>
                <w:spacing w:val="5"/>
                <w:shd w:val="clear" w:color="auto" w:fill="000000"/>
              </w:rPr>
              <w:t>.....</w:t>
            </w:r>
            <w:r>
              <w:rPr>
                <w:rStyle w:val="CharStyle28"/>
                <w:shd w:val="clear" w:color="auto" w:fill="000000"/>
              </w:rPr>
              <w:t>​</w:t>
            </w:r>
            <w:r>
              <w:rPr>
                <w:rStyle w:val="CharStyle28"/>
                <w:spacing w:val="7"/>
                <w:shd w:val="clear" w:color="auto" w:fill="000000"/>
              </w:rPr>
              <w:t>......</w:t>
            </w:r>
            <w:r>
              <w:rPr>
                <w:rStyle w:val="CharStyle28"/>
                <w:shd w:val="clear" w:color="auto" w:fill="000000"/>
              </w:rPr>
              <w:t>​....</w:t>
            </w:r>
            <w:r>
              <w:rPr>
                <w:rStyle w:val="CharStyle28"/>
                <w:spacing w:val="1"/>
                <w:shd w:val="clear" w:color="auto" w:fill="000000"/>
              </w:rPr>
              <w:t>.....</w:t>
            </w:r>
            <w:r>
              <w:rPr>
                <w:rStyle w:val="CharStyle28"/>
                <w:shd w:val="clear" w:color="auto" w:fill="000000"/>
              </w:rPr>
              <w:t>​.......​.......​......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15889785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CZ15889785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Městský soud v Praze, oddíl C, vložka 7284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UniCredit Bank Czech Republic and Slovakia, a.s., č.ú. 934006/2700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25"/>
        </w:rPr>
        <w:t xml:space="preserve">(dále jen </w:t>
      </w:r>
      <w:r>
        <w:rPr>
          <w:rStyle w:val="CharStyle25"/>
          <w:b/>
          <w:bCs/>
          <w:i/>
          <w:iCs/>
        </w:rPr>
        <w:t>„prodávající“)</w:t>
      </w:r>
    </w:p>
    <w:p>
      <w:pPr>
        <w:widowControl w:val="0"/>
        <w:spacing w:after="619" w:line="1" w:lineRule="exact"/>
      </w:pP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47"/>
        </w:rPr>
        <w:t xml:space="preserve">Prodávající je oprávněn na základě svého vlastnického práva nakládat s tímto zbožím: </w:t>
      </w:r>
      <w:r>
        <w:rPr>
          <w:rStyle w:val="CharStyle47"/>
          <w:b/>
          <w:bCs/>
        </w:rPr>
        <w:t xml:space="preserve">spotřební materiál do analyzátoru pro monitoring laktátu, hemoglobinu a hematokritu. </w:t>
      </w:r>
      <w:r>
        <w:rPr>
          <w:rStyle w:val="CharStyle47"/>
        </w:rPr>
        <w:t>Bližší specifikace zboží je uvedena v příloze č. 1 této smlouvy.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47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47"/>
        </w:rPr>
        <w:t>Součástí dodávky zboží podle čl. 2 této smlouvy je vždy předání veškerých písemných dokladů, které jsou potřebné k používání tohoto zboží.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47"/>
        </w:rPr>
        <w:t xml:space="preserve">Prodávající se zavazuje plnit svůj závazek k dodání zboží podle čl. 1 této smlouvy vždy nejpozději do </w:t>
      </w:r>
      <w:r>
        <w:rPr>
          <w:rStyle w:val="CharStyle47"/>
          <w:b/>
          <w:bCs/>
        </w:rPr>
        <w:t xml:space="preserve">5-ti pracovních dní </w:t>
      </w:r>
      <w:r>
        <w:rPr>
          <w:rStyle w:val="CharStyle47"/>
        </w:rPr>
        <w:t>ode dne účinnosti příslušné dílčí kupní smlouvy. Tento závazek se bude považovat za splněný po předání a převzetí příslušného zboží formou písemného předávacího protokolu, podepsaného oběma stranami. Místem dodání je centrální sklad v sídle zadavatele.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 w:line="286" w:lineRule="auto"/>
        <w:ind w:left="400" w:right="0" w:hanging="400"/>
        <w:jc w:val="both"/>
      </w:pPr>
      <w:r>
        <w:rPr>
          <w:rStyle w:val="CharStyle47"/>
        </w:rPr>
        <w:t xml:space="preserve">Kupující se zavazuje převzít objednané zboží podle čí. 1 této smlouvy, prosté všech zjevných vad, ve lhůtě a místě podle této smlouvy. Kupující je oprávněn odmítnout převzetí </w:t>
      </w:r>
      <w:r>
        <w:rPr>
          <w:rStyle w:val="CharStyle47"/>
          <w:b/>
          <w:bCs/>
          <w:i/>
          <w:iCs/>
        </w:rPr>
        <w:t>zboží,</w:t>
      </w:r>
      <w:r>
        <w:rPr>
          <w:rStyle w:val="CharStyle47"/>
        </w:rPr>
        <w:t xml:space="preserve"> bude-li se na něm vyskytovat jakákoliv vada.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/>
        <w:ind w:left="400" w:right="0" w:hanging="400"/>
        <w:jc w:val="both"/>
      </w:pPr>
      <w:r>
        <w:rPr>
          <w:rStyle w:val="CharStyle47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/>
        <w:ind w:left="400" w:right="0" w:hanging="400"/>
        <w:jc w:val="both"/>
      </w:pPr>
      <w:r>
        <w:rPr>
          <w:rStyle w:val="CharStyle47"/>
        </w:rPr>
        <w:t>Kupující se zavazuje zaplatit prodávajícímu za předmět koupě a prodeje podle čl. 1 této smlouvy kupní cenu, která je součinem počtu jednotek zboží podle čl. 1 této smlouvy a jednotkových cen ve výši součinu počtu odebraných jednotek příslušného zboží a jednotkových cen tohoto zboží dle přílohy č. 1 této smlouvy. Součástí těchto cen jsou veškeré náklady prodávajícího na splnění jeho závazku k dodání zboží podle této smlouvy. Výše uvedené ceny se prodávající zavazuje garantovat po dobu podle čl. 20 této smlouvy.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/>
        <w:ind w:left="400" w:right="0" w:hanging="400"/>
        <w:jc w:val="both"/>
      </w:pPr>
      <w:r>
        <w:rPr>
          <w:rStyle w:val="CharStyle47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 </w:t>
      </w:r>
      <w:r>
        <w:rPr>
          <w:rStyle w:val="CharStyle47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47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47"/>
          <w:shd w:val="clear" w:color="auto" w:fill="000000"/>
          <w:lang w:val="en-US" w:eastAsia="en-US" w:bidi="en-US"/>
        </w:rPr>
        <w:t>.</w:t>
      </w:r>
      <w:r>
        <w:rPr>
          <w:rStyle w:val="CharStyle47"/>
          <w:shd w:val="clear" w:color="auto" w:fill="000000"/>
        </w:rPr>
        <w:t>​...</w:t>
      </w:r>
      <w:r>
        <w:rPr>
          <w:rStyle w:val="CharStyle47"/>
          <w:u w:val="single"/>
          <w:shd w:val="clear" w:color="auto" w:fill="000000"/>
          <w:lang w:val="en-US" w:eastAsia="en-US" w:bidi="en-US"/>
        </w:rPr>
        <w:t>​...............................</w:t>
      </w:r>
      <w:r>
        <w:rPr>
          <w:rStyle w:val="CharStyle47"/>
          <w:spacing w:val="1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47"/>
          <w:shd w:val="clear" w:color="auto" w:fill="000000"/>
          <w:lang w:val="en-US" w:eastAsia="en-US" w:bidi="en-US"/>
        </w:rPr>
        <w:t>..</w:t>
      </w:r>
      <w:r>
        <w:rPr>
          <w:rStyle w:val="CharStyle47"/>
        </w:rPr>
        <w:t xml:space="preserve">Na faktuře musí být mimo jiné vždy uvedeno toto číslo veřejné zakázky, ke které se faktura vztahuje: </w:t>
      </w:r>
      <w:r>
        <w:rPr>
          <w:rStyle w:val="CharStyle47"/>
          <w:b/>
          <w:bCs/>
        </w:rPr>
        <w:t xml:space="preserve">P23V00003056. </w:t>
      </w:r>
      <w:r>
        <w:rPr>
          <w:rStyle w:val="CharStyle47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/>
        <w:ind w:left="400" w:right="0" w:hanging="400"/>
        <w:jc w:val="both"/>
      </w:pPr>
      <w:r>
        <w:rPr>
          <w:rStyle w:val="CharStyle47"/>
        </w:rPr>
        <w:t>S převodem zboží je podle čl. 1 této smlouvy spojena záruka za jeho jakost v trvání 24 měsíců ode dne předání příslušného zboží. V rámci záruky se prodávající zavazuje, že zboží podle čl. 1 této smlouvy bude nové, v neporušeném balení s řádným označením, s minimální skladovací životností po celou dobu uvedené záruční lhůty a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5-ti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/>
        <w:ind w:left="400" w:right="0" w:hanging="400"/>
        <w:jc w:val="both"/>
      </w:pPr>
      <w:r>
        <w:rPr>
          <w:rStyle w:val="CharStyle47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/>
        <w:ind w:left="400" w:right="0" w:hanging="400"/>
        <w:jc w:val="both"/>
      </w:pPr>
      <w:r>
        <w:rPr>
          <w:rStyle w:val="CharStyle47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/>
        <w:ind w:left="400" w:right="0" w:hanging="400"/>
        <w:jc w:val="both"/>
      </w:pPr>
      <w:r>
        <w:rPr>
          <w:rStyle w:val="CharStyle47"/>
        </w:rPr>
        <w:t>Pro případ prodlení se splněním závazku prodávajícího k dodání zboží ve lhůtě podle čl. 4 této smlouvy se prodávající zavazuje platit kupujícímu smluvní pokutu ve výši 0,1 % z kupní podle čl. 7 této smlouvy za každý den tohoto prodlení. Pro případ prodlení s odstraněním vady ve lhůtě podle čl. 9 této smlouvy se prodávající zavazuje platit kupujícímu smluvní pokutu ve výši 0,1% z kupní ceny reklamovaného zboží za každý den tohoto prodlení.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  <w:r>
        <w:br w:type="page"/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320" w:right="0" w:hanging="320"/>
        <w:jc w:val="both"/>
      </w:pPr>
      <w:r>
        <w:rPr>
          <w:rStyle w:val="CharStyle47"/>
        </w:rPr>
        <w:t>Pro případ prodlení se splněním jeho závazku k dodání zboží ve lhůtě podle čl. 4 této smlouvy o více, než 1 týden nebo pro případ výskytu neodstranitelné vady resp. výskytu 3 a více vad, a to i postupně, je kupující oprávněn odstoupit od jednotlivé dílčí kupní smlouvy i od této smlouvy s účinky ex tunc.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320" w:right="0" w:hanging="320"/>
        <w:jc w:val="both"/>
      </w:pPr>
      <w:r>
        <w:rPr>
          <w:rStyle w:val="CharStyle47"/>
        </w:rPr>
        <w:t>Pro prodlení kupujícího se zaplacením kupní ceny nebo její části ve lhůtě podle čl. 8 této smlouvy o víc, než 2 týdny, je prodávající oprávněn od jednotlivé dílčí kupní smlouvy i od této smlouvy odstoupit s účinky ex tunc.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320" w:right="0" w:hanging="320"/>
        <w:jc w:val="both"/>
      </w:pPr>
      <w:r>
        <w:rPr>
          <w:rStyle w:val="CharStyle47"/>
        </w:rPr>
        <w:t>Není-li touto smlouvou ujednáno jinak, řídí se vzájemný právní vztah mezi kupujícím a prodávajícím při realizaci této smlouvy ust. § 2079 a násl. občanského zákoníku. Obě strany přitom vylučují použití ust. §1917 až 1918, §1920 až 1922, §1924, § 2099 až 2101, § 2103 až 2105 a §2165 až 2172 občanského zákoníku a také obchodních zvyklostí, které jsou svým smyslem nebo účinky totožné nebo obdobné s uvedenými ustanoveními, na jejich právní vztah podle této smlouvy.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320" w:right="0" w:hanging="320"/>
        <w:jc w:val="both"/>
      </w:pPr>
      <w:r>
        <w:rPr>
          <w:rStyle w:val="CharStyle47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320" w:right="0" w:hanging="320"/>
        <w:jc w:val="both"/>
      </w:pPr>
      <w:r>
        <w:rPr>
          <w:rStyle w:val="CharStyle47"/>
        </w:rPr>
        <w:t>Smluvní strany souhlasí se zveřejněním smlouvy v úplném zněni,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320" w:right="0" w:hanging="320"/>
        <w:jc w:val="both"/>
      </w:pPr>
      <w:r>
        <w:rPr>
          <w:rStyle w:val="CharStyle47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320" w:right="0" w:hanging="320"/>
        <w:jc w:val="both"/>
      </w:pPr>
      <w:r>
        <w:rPr>
          <w:rStyle w:val="CharStyle47"/>
        </w:rPr>
        <w:t>Tato smlouva nabývá účinnosti po jejím podpisu oběma smluvními stranami dnem jejího uveřejnění v Registru smluv.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0" w:right="0" w:firstLine="0"/>
        <w:jc w:val="both"/>
      </w:pPr>
      <w:r>
        <w:rPr>
          <w:rStyle w:val="CharStyle47"/>
        </w:rPr>
        <w:t xml:space="preserve">Tato smlouva se uzavírá na dobu určitou, a to do </w:t>
      </w:r>
      <w:r>
        <w:rPr>
          <w:rStyle w:val="CharStyle47"/>
          <w:b/>
          <w:bCs/>
        </w:rPr>
        <w:t>31.12. 2024.</w:t>
      </w:r>
    </w:p>
    <w:p>
      <w:pPr>
        <w:pStyle w:val="Style4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460"/>
        <w:ind w:left="320" w:right="0" w:hanging="320"/>
        <w:jc w:val="both"/>
      </w:pPr>
      <w:r>
        <w:drawing>
          <wp:anchor distT="335280" distB="347345" distL="120650" distR="114300" simplePos="0" relativeHeight="125829378" behindDoc="0" locked="0" layoutInCell="1" allowOverlap="1">
            <wp:simplePos x="0" y="0"/>
            <wp:positionH relativeFrom="page">
              <wp:posOffset>1033145</wp:posOffset>
            </wp:positionH>
            <wp:positionV relativeFrom="paragraph">
              <wp:posOffset>932180</wp:posOffset>
            </wp:positionV>
            <wp:extent cx="1822450" cy="816610"/>
            <wp:wrapSquare wrapText="right"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22450" cy="8166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596900</wp:posOffset>
                </wp:positionV>
                <wp:extent cx="667385" cy="179705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738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80.850000000000009pt;margin-top:47.pt;width:52.550000000000004pt;height:14.1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1782445</wp:posOffset>
                </wp:positionV>
                <wp:extent cx="481330" cy="149225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133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80.850000000000009pt;margin-top:140.34999999999999pt;width:37.899999999999999pt;height:11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1941195</wp:posOffset>
                </wp:positionV>
                <wp:extent cx="514985" cy="155575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498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80.850000000000009pt;margin-top:152.84999999999999pt;width:40.550000000000004pt;height:12.2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47"/>
        </w:rPr>
        <w:t>Dáno ve dvou originálních písemných vyhotoveních, z nichž každá ze smluvních stran obdrží po jednom.</w:t>
      </w:r>
    </w:p>
    <w:p>
      <w:pPr>
        <w:pStyle w:val="Style46"/>
        <w:keepNext w:val="0"/>
        <w:keepLines w:val="0"/>
        <w:widowControl w:val="0"/>
        <w:shd w:val="clear" w:color="auto" w:fill="auto"/>
        <w:tabs>
          <w:tab w:leader="dot" w:pos="4470" w:val="left"/>
        </w:tabs>
        <w:bidi w:val="0"/>
        <w:spacing w:before="0" w:after="360" w:line="240" w:lineRule="auto"/>
        <w:ind w:left="194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4245610</wp:posOffset>
                </wp:positionH>
                <wp:positionV relativeFrom="paragraph">
                  <wp:posOffset>342900</wp:posOffset>
                </wp:positionV>
                <wp:extent cx="533400" cy="277495"/>
                <wp:wrapSquare wrapText="righ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3400" cy="277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spacing w:val="3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6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34.30000000000001pt;margin-top:27.pt;width:42.pt;height:21.8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spacing w:val="3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6"/>
                          <w:spacing w:val="4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47"/>
        </w:rPr>
        <w:t>V Praze dne</w:t>
        <w:tab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rStyle w:val="CharStyle12"/>
          <w:spacing w:val="2"/>
          <w:shd w:val="clear" w:color="auto" w:fill="000000"/>
        </w:rPr>
        <w:t>.......</w:t>
      </w:r>
      <w:r>
        <w:rPr>
          <w:rStyle w:val="CharStyle12"/>
          <w:spacing w:val="3"/>
          <w:shd w:val="clear" w:color="auto" w:fill="000000"/>
        </w:rPr>
        <w:t>.......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1"/>
          <w:shd w:val="clear" w:color="auto" w:fill="000000"/>
        </w:rPr>
        <w:t>..........</w:t>
      </w:r>
      <w:r>
        <w:rPr>
          <w:rStyle w:val="CharStyle12"/>
          <w:spacing w:val="2"/>
          <w:shd w:val="clear" w:color="auto" w:fill="000000"/>
        </w:rPr>
        <w:t>....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mc:AlternateContent>
          <mc:Choice Requires="wps">
            <w:drawing>
              <wp:anchor distT="0" distB="0" distL="114300" distR="937260" simplePos="0" relativeHeight="125829381" behindDoc="0" locked="0" layoutInCell="1" allowOverlap="1">
                <wp:simplePos x="0" y="0"/>
                <wp:positionH relativeFrom="page">
                  <wp:posOffset>4245610</wp:posOffset>
                </wp:positionH>
                <wp:positionV relativeFrom="paragraph">
                  <wp:posOffset>127000</wp:posOffset>
                </wp:positionV>
                <wp:extent cx="838200" cy="280670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8200" cy="280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6"/>
                                <w:spacing w:val="5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6"/>
                                <w:spacing w:val="6"/>
                                <w:shd w:val="clear" w:color="auto" w:fill="000000"/>
                              </w:rPr>
                              <w:t>...........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34.30000000000001pt;margin-top:10.pt;width:66.pt;height:22.100000000000001pt;z-index:-125829372;mso-wrap-distance-left:9.pt;mso-wrap-distance-right:73.799999999999997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"/>
                          <w:spacing w:val="5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6"/>
                          <w:spacing w:val="6"/>
                          <w:shd w:val="clear" w:color="auto" w:fill="000000"/>
                        </w:rPr>
                        <w:t>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8415" distL="958850" distR="114300" simplePos="0" relativeHeight="125829383" behindDoc="0" locked="0" layoutInCell="1" allowOverlap="1">
                <wp:simplePos x="0" y="0"/>
                <wp:positionH relativeFrom="page">
                  <wp:posOffset>5090160</wp:posOffset>
                </wp:positionH>
                <wp:positionV relativeFrom="paragraph">
                  <wp:posOffset>127000</wp:posOffset>
                </wp:positionV>
                <wp:extent cx="816610" cy="262255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6610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2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2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CharStyle12"/>
                              </w:rPr>
                              <w:t xml:space="preserve"> 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​...............</w:t>
                            </w:r>
                            <w:r>
                              <w:rPr>
                                <w:rStyle w:val="CharStyle12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00.80000000000001pt;margin-top:10.pt;width:64.299999999999997pt;height:20.650000000000002pt;z-index:-125829370;mso-wrap-distance-left:75.5pt;mso-wrap-distance-right:9.pt;mso-wrap-distance-bottom:1.4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2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spacing w:val="2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12"/>
                        </w:rPr>
                        <w:t xml:space="preserve"> 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​...............</w:t>
                      </w:r>
                      <w:r>
                        <w:rPr>
                          <w:rStyle w:val="CharStyle12"/>
                          <w:spacing w:val="1"/>
                          <w:shd w:val="clear" w:color="auto" w:fill="000000"/>
                        </w:rPr>
                        <w:t>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CharStyle12"/>
          <w:spacing w:val="2"/>
          <w:shd w:val="clear" w:color="auto" w:fill="000000"/>
        </w:rPr>
        <w:t>.</w:t>
      </w:r>
      <w:r>
        <w:rPr>
          <w:rStyle w:val="CharStyle12"/>
          <w:spacing w:val="3"/>
          <w:shd w:val="clear" w:color="auto" w:fill="000000"/>
        </w:rPr>
        <w:t>.........</w:t>
      </w:r>
      <w:r>
        <w:rPr>
          <w:rStyle w:val="CharStyle12"/>
          <w:shd w:val="clear" w:color="auto" w:fill="000000"/>
        </w:rPr>
        <w:t>​..............</w:t>
      </w:r>
      <w:r>
        <w:rPr>
          <w:rStyle w:val="CharStyle12"/>
          <w:spacing w:val="1"/>
          <w:shd w:val="clear" w:color="auto" w:fill="000000"/>
        </w:rPr>
        <w:t>.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140" w:after="0"/>
        <w:ind w:left="1940" w:right="0" w:firstLine="0"/>
        <w:jc w:val="left"/>
      </w:pPr>
      <w:r>
        <w:rPr>
          <w:rStyle w:val="CharStyle47"/>
        </w:rPr>
        <w:t>Lenka Habalová prokurista společnosti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660"/>
        <w:ind w:left="1940" w:right="0" w:firstLine="0"/>
        <w:jc w:val="left"/>
      </w:pPr>
      <w:r>
        <w:rPr>
          <w:rStyle w:val="CharStyle47"/>
          <w:b/>
          <w:bCs/>
          <w:i/>
          <w:iCs/>
        </w:rPr>
        <w:t>Prodávající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593" w:right="1518" w:bottom="1912" w:left="1612" w:header="165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47"/>
        </w:rPr>
        <w:t>Příloha č. 1 Seznam zboží, ceník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rStyle w:val="CharStyle47"/>
          <w:color w:val="121836"/>
        </w:rPr>
        <w:t>P</w:t>
      </w:r>
      <w:r>
        <w:rPr>
          <w:rStyle w:val="CharStyle47"/>
          <w:strike/>
          <w:color w:val="121836"/>
          <w:sz w:val="18"/>
          <w:szCs w:val="18"/>
        </w:rPr>
        <w:t>ří</w:t>
      </w:r>
      <w:r>
        <w:rPr>
          <w:rStyle w:val="CharStyle47"/>
          <w:color w:val="121836"/>
        </w:rPr>
        <w:t>l</w:t>
      </w:r>
      <w:r>
        <w:rPr>
          <w:rStyle w:val="CharStyle47"/>
          <w:strike/>
          <w:color w:val="121836"/>
          <w:sz w:val="18"/>
          <w:szCs w:val="18"/>
        </w:rPr>
        <w:t>oha</w:t>
      </w:r>
      <w:r>
        <w:rPr>
          <w:rStyle w:val="CharStyle47"/>
          <w:color w:val="121836"/>
        </w:rPr>
        <w:t xml:space="preserve"> č.-^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Style w:val="CharStyle47"/>
          <w:b/>
          <w:bCs/>
        </w:rPr>
        <w:t>Příloha č. 1 Seznam zboží, ceník</w:t>
      </w:r>
    </w:p>
    <w:tbl>
      <w:tblPr>
        <w:tblOverlap w:val="never"/>
        <w:jc w:val="center"/>
        <w:tblLayout w:type="fixed"/>
      </w:tblPr>
      <w:tblGrid>
        <w:gridCol w:w="490"/>
        <w:gridCol w:w="4498"/>
        <w:gridCol w:w="4214"/>
        <w:gridCol w:w="2443"/>
        <w:gridCol w:w="2242"/>
      </w:tblGrid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b/>
                <w:bCs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b/>
                <w:bCs/>
              </w:rPr>
              <w:t>Obchodní název/kód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b/>
                <w:bCs/>
              </w:rPr>
              <w:t>Jednotková cena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b/>
                <w:bCs/>
              </w:rPr>
              <w:t>Jednotková cena vč. DPH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Měřící proužky (balení 50 ks) pro stanovení laktátu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Test Strips Lactate/EMS (50 ks) / 61440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3 189,00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3 858,69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Kontrolní roztok (Level 1) pro stanovení laktátu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Lactate Control Solution Level 1 / 47553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423,00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511,83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Kontrolní roztok (Level 2) pro stanovení laktátu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Lactate Control Solution Level 2 / 47554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423,00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511,83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Měřící proužky (balení 50 ks) pro stanovení Hb/Hct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Test Strips Hb/Hct (50 ks) / 58786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1 338,00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1 618,98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Kontrolní roztok (Level 1) pro stanovení Hb/Hct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Hb/Hct Control Level 1 / 59820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636,00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769,56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Kontrolní roztok (Level 2) pro stanovení Hb/Hct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Hb/Hct Control Level 2 / 59827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636,00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769,56</w:t>
            </w:r>
          </w:p>
        </w:tc>
      </w:tr>
    </w:tbl>
    <w:p>
      <w:pPr>
        <w:widowControl w:val="0"/>
        <w:spacing w:after="4559" w:line="1" w:lineRule="exact"/>
      </w:pP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8"/>
          <w:i/>
          <w:iCs/>
        </w:rPr>
        <w:t>Veřejná zakázka 42-23: Analyzátory pro monitoring laktátu, hemoglobinu a hematokhtu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6840" w:h="11900" w:orient="landscape"/>
      <w:pgMar w:top="1006" w:right="1231" w:bottom="728" w:left="1722" w:header="578" w:footer="300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10096500</wp:posOffset>
              </wp:positionV>
              <wp:extent cx="4218305" cy="10985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1830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42-23: Analyzátory pro monitoring laktátu, hemoglobinu a hematokritu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82.299999999999997pt;margin-top:795.pt;width:332.15000000000003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42-23: Analyzátory pro monitoring laktátu, hemoglobinu a hematokritu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kladní text (4)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Záhlaví nebo zápatí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Nadpis #1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23">
    <w:name w:val="Nadpis #2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Titulek tabulky_"/>
    <w:basedOn w:val="DefaultParagraphFont"/>
    <w:link w:val="Style2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8">
    <w:name w:val="Jiné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7">
    <w:name w:val="Základní text_"/>
    <w:basedOn w:val="DefaultParagraphFont"/>
    <w:link w:val="Styl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8">
    <w:name w:val="Základní text (2)_"/>
    <w:basedOn w:val="DefaultParagraphFont"/>
    <w:link w:val="Style5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auto"/>
      <w:spacing w:line="257" w:lineRule="auto"/>
      <w:ind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7">
    <w:name w:val="Záhlaví nebo zápatí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auto"/>
      <w:spacing w:after="2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22">
    <w:name w:val="Nadpis #2"/>
    <w:basedOn w:val="Normal"/>
    <w:link w:val="CharStyle23"/>
    <w:pPr>
      <w:widowControl w:val="0"/>
      <w:shd w:val="clear" w:color="auto" w:fill="auto"/>
      <w:spacing w:after="280" w:line="257" w:lineRule="auto"/>
      <w:ind w:left="2000" w:hanging="126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Titulek tabulky"/>
    <w:basedOn w:val="Normal"/>
    <w:link w:val="CharStyle25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27">
    <w:name w:val="Jiné"/>
    <w:basedOn w:val="Normal"/>
    <w:link w:val="CharStyle28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6">
    <w:name w:val="Základní text"/>
    <w:basedOn w:val="Normal"/>
    <w:link w:val="CharStyle47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7">
    <w:name w:val="Základní text (2)"/>
    <w:basedOn w:val="Normal"/>
    <w:link w:val="CharStyle58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