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30058A9F"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7214D7">
        <w:rPr>
          <w:rFonts w:cs="Arial"/>
          <w:b/>
          <w:sz w:val="22"/>
          <w:szCs w:val="22"/>
        </w:rPr>
        <w:t>6</w:t>
      </w:r>
      <w:r w:rsidR="005900C3">
        <w:rPr>
          <w:rFonts w:cs="Arial"/>
          <w:b/>
          <w:sz w:val="22"/>
          <w:szCs w:val="22"/>
        </w:rPr>
        <w:t xml:space="preserve">: </w:t>
      </w:r>
      <w:r w:rsidR="007214D7">
        <w:rPr>
          <w:rFonts w:cs="Arial"/>
          <w:b/>
          <w:sz w:val="22"/>
          <w:szCs w:val="22"/>
        </w:rPr>
        <w:t>Pracovník v sociálních službách</w:t>
      </w:r>
    </w:p>
    <w:p w14:paraId="1B85D330" w14:textId="2812D321"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7214D7">
        <w:rPr>
          <w:rFonts w:cs="Arial"/>
          <w:b/>
          <w:sz w:val="22"/>
          <w:szCs w:val="22"/>
        </w:rPr>
        <w:t>6</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Olomouci, Vejdovského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26D638E3"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816895">
        <w:rPr>
          <w:rFonts w:cs="Arial"/>
          <w:sz w:val="22"/>
          <w:szCs w:val="22"/>
        </w:rPr>
        <w:t>SANYLEX s.r.o.</w:t>
      </w:r>
    </w:p>
    <w:p w14:paraId="613E0B07" w14:textId="386A26F1"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816895">
        <w:rPr>
          <w:rFonts w:cs="Arial"/>
          <w:sz w:val="22"/>
          <w:szCs w:val="22"/>
        </w:rPr>
        <w:t>Vítkovická 3078/14, Moravská Ostrava, 702 00 Ostrava</w:t>
      </w:r>
    </w:p>
    <w:p w14:paraId="243A0288" w14:textId="39759DE9"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816895">
        <w:rPr>
          <w:rFonts w:cs="Arial"/>
          <w:sz w:val="22"/>
          <w:szCs w:val="22"/>
        </w:rPr>
        <w:t>Mgr. et Mgr. Alexandra Potoková, DiS., jednatelka</w:t>
      </w:r>
    </w:p>
    <w:p w14:paraId="607FDFF7" w14:textId="03232988"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E448E3">
        <w:rPr>
          <w:rFonts w:cs="Arial"/>
          <w:sz w:val="22"/>
          <w:szCs w:val="22"/>
        </w:rPr>
        <w:t>10688111</w:t>
      </w:r>
    </w:p>
    <w:p w14:paraId="24BFE84A" w14:textId="653DC07C"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3A63B5">
        <w:rPr>
          <w:rFonts w:cs="Arial"/>
          <w:sz w:val="22"/>
          <w:szCs w:val="22"/>
        </w:rPr>
        <w:t xml:space="preserve">Vítkovická 3078/14, Moravská Ostrava, 702 00 Ostrava </w:t>
      </w:r>
    </w:p>
    <w:p w14:paraId="713F2563" w14:textId="0D827EE8"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9F0D20">
        <w:rPr>
          <w:rFonts w:cs="Arial"/>
          <w:sz w:val="22"/>
          <w:szCs w:val="22"/>
        </w:rPr>
        <w:t>Česká spořitelna, a.s.</w:t>
      </w:r>
    </w:p>
    <w:p w14:paraId="1E8A443F" w14:textId="3D7277D5"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3A63B5">
        <w:rPr>
          <w:rFonts w:cs="Arial"/>
          <w:sz w:val="22"/>
          <w:szCs w:val="22"/>
        </w:rPr>
        <w:t>6007194319</w:t>
      </w:r>
      <w:r w:rsidR="009F0D20">
        <w:rPr>
          <w:rFonts w:cs="Arial"/>
          <w:sz w:val="22"/>
          <w:szCs w:val="22"/>
        </w:rPr>
        <w:t>/0800</w:t>
      </w:r>
    </w:p>
    <w:p w14:paraId="3968F356" w14:textId="12149612"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3A63B5">
        <w:rPr>
          <w:rFonts w:cs="Arial"/>
          <w:sz w:val="22"/>
          <w:szCs w:val="22"/>
        </w:rPr>
        <w:t>i6ieasq</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337C191E"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5B2C1C" w:rsidRPr="005B2C1C">
        <w:rPr>
          <w:rFonts w:cs="Arial"/>
          <w:b/>
          <w:sz w:val="22"/>
          <w:szCs w:val="22"/>
        </w:rPr>
        <w:t>P</w:t>
      </w:r>
      <w:r w:rsidR="00E50388">
        <w:rPr>
          <w:rFonts w:cs="Arial"/>
          <w:b/>
          <w:sz w:val="22"/>
          <w:szCs w:val="22"/>
        </w:rPr>
        <w:t>racovník v sociálních službách</w:t>
      </w:r>
      <w:r w:rsidR="00C9614F" w:rsidRPr="005B2C1C">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33A5C066"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E50388">
        <w:rPr>
          <w:rFonts w:cs="Arial"/>
          <w:bCs/>
          <w:sz w:val="22"/>
          <w:szCs w:val="22"/>
          <w:lang w:eastAsia="cs-CZ"/>
        </w:rPr>
        <w:t>6</w:t>
      </w:r>
      <w:r w:rsidR="00C9614F">
        <w:rPr>
          <w:rFonts w:cs="Arial"/>
          <w:bCs/>
          <w:sz w:val="22"/>
          <w:szCs w:val="22"/>
          <w:lang w:eastAsia="cs-CZ"/>
        </w:rPr>
        <w:t xml:space="preserve">: </w:t>
      </w:r>
      <w:r w:rsidR="005B2C1C">
        <w:rPr>
          <w:rFonts w:cs="Arial"/>
          <w:bCs/>
          <w:sz w:val="22"/>
          <w:szCs w:val="22"/>
          <w:lang w:eastAsia="cs-CZ"/>
        </w:rPr>
        <w:t>P</w:t>
      </w:r>
      <w:r w:rsidR="00E50388">
        <w:rPr>
          <w:rFonts w:cs="Arial"/>
          <w:bCs/>
          <w:sz w:val="22"/>
          <w:szCs w:val="22"/>
          <w:lang w:eastAsia="cs-CZ"/>
        </w:rPr>
        <w:t>racovník v sociálních službách</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05746890" w:rsidR="00D54167" w:rsidRPr="00023F9B" w:rsidRDefault="00FB1BF6" w:rsidP="00D54167">
            <w:pPr>
              <w:tabs>
                <w:tab w:val="left" w:pos="1418"/>
              </w:tabs>
              <w:rPr>
                <w:rFonts w:cs="Arial"/>
                <w:sz w:val="22"/>
                <w:szCs w:val="22"/>
              </w:rPr>
            </w:pPr>
            <w:r>
              <w:rPr>
                <w:rFonts w:cs="Arial"/>
                <w:sz w:val="22"/>
                <w:szCs w:val="22"/>
              </w:rPr>
              <w:t>7 951</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počet hodin rekvalifikačního kurz</w:t>
            </w:r>
            <w:r w:rsidR="00AD34C9">
              <w:rPr>
                <w:rFonts w:cs="Arial"/>
                <w:b/>
                <w:sz w:val="22"/>
                <w:szCs w:val="22"/>
              </w:rPr>
              <w:t xml:space="preserve">u - </w:t>
            </w:r>
            <w:r w:rsidRPr="00442003">
              <w:rPr>
                <w:rFonts w:cs="Arial"/>
                <w:b/>
                <w:sz w:val="22"/>
                <w:szCs w:val="22"/>
              </w:rPr>
              <w:t>součet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14DC6FBB" w:rsidR="00D54167" w:rsidRPr="00023F9B" w:rsidRDefault="00BF34FF" w:rsidP="00D54167">
            <w:pPr>
              <w:tabs>
                <w:tab w:val="left" w:pos="1418"/>
              </w:tabs>
              <w:rPr>
                <w:rFonts w:cs="Arial"/>
                <w:color w:val="FF0000"/>
                <w:sz w:val="22"/>
                <w:szCs w:val="22"/>
              </w:rPr>
            </w:pPr>
            <w:r w:rsidRPr="00BF34FF">
              <w:rPr>
                <w:rFonts w:cs="Arial"/>
                <w:color w:val="000000" w:themeColor="text1"/>
                <w:sz w:val="22"/>
                <w:szCs w:val="22"/>
              </w:rPr>
              <w:t>1</w:t>
            </w:r>
            <w:r w:rsidR="007920B6">
              <w:rPr>
                <w:rFonts w:cs="Arial"/>
                <w:color w:val="000000" w:themeColor="text1"/>
                <w:sz w:val="22"/>
                <w:szCs w:val="22"/>
              </w:rPr>
              <w:t>55</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140E43">
        <w:rPr>
          <w:rFonts w:cs="Arial"/>
          <w:sz w:val="22"/>
          <w:szCs w:val="22"/>
          <w:lang w:val="en-US"/>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19DC44AF"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4236CF">
        <w:rPr>
          <w:rFonts w:cs="Arial"/>
          <w:sz w:val="22"/>
          <w:szCs w:val="22"/>
        </w:rPr>
        <w:t>5 13</w:t>
      </w:r>
      <w:r w:rsidR="00966AEC">
        <w:rPr>
          <w:rFonts w:cs="Arial"/>
          <w:sz w:val="22"/>
          <w:szCs w:val="22"/>
        </w:rPr>
        <w:t>0 000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a řádně ho ukončí</w:t>
      </w:r>
      <w:r w:rsidR="00140E43" w:rsidRPr="00DB3B14">
        <w:rPr>
          <w:rFonts w:cs="Arial"/>
          <w:sz w:val="22"/>
          <w:szCs w:val="22"/>
        </w:rPr>
        <w:t xml:space="preserve">. </w:t>
      </w:r>
      <w:r w:rsidR="00442003" w:rsidRPr="00DB3B14">
        <w:rPr>
          <w:rFonts w:cs="Arial"/>
          <w:sz w:val="22"/>
          <w:szCs w:val="22"/>
        </w:rPr>
        <w:t xml:space="preserve">V případě, že účastník rekvalifikační kurz nedokončí,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8"/>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bjednatelem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případně navazujícího operačního programu pro programovací období 2021 – 2027.</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3EA5046F"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5BA7FDCC" w14:textId="77777777" w:rsidR="00287AA4" w:rsidRDefault="00287AA4" w:rsidP="00C03490">
      <w:pPr>
        <w:pStyle w:val="Odstavecseseznamem"/>
        <w:spacing w:line="360" w:lineRule="auto"/>
        <w:ind w:left="0"/>
        <w:jc w:val="both"/>
        <w:rPr>
          <w:rFonts w:cs="Arial"/>
          <w:bCs/>
          <w:sz w:val="22"/>
          <w:szCs w:val="22"/>
        </w:rPr>
      </w:pPr>
    </w:p>
    <w:p w14:paraId="4184126F" w14:textId="77777777" w:rsidR="00287AA4" w:rsidRPr="00287AA4" w:rsidRDefault="00287AA4" w:rsidP="00287AA4">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287AA4">
        <w:rPr>
          <w:rFonts w:cs="Arial"/>
          <w:b/>
          <w:bCs/>
          <w:color w:val="FFFFFF" w:themeColor="background1"/>
          <w:sz w:val="28"/>
          <w:szCs w:val="20"/>
        </w:rPr>
        <w:t xml:space="preserve">SPECIFIKACE A TECHNICKÉ PODMÍNKY PRO ČÁST č. 6: </w:t>
      </w:r>
    </w:p>
    <w:p w14:paraId="02C40B30" w14:textId="77777777" w:rsidR="00287AA4" w:rsidRPr="00287AA4" w:rsidRDefault="00287AA4" w:rsidP="00287AA4">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287AA4">
        <w:rPr>
          <w:rFonts w:cs="Arial"/>
          <w:b/>
          <w:bCs/>
          <w:color w:val="FFFFFF" w:themeColor="background1"/>
          <w:sz w:val="28"/>
          <w:szCs w:val="20"/>
        </w:rPr>
        <w:t>Pracovník v sociálních službách</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287AA4" w:rsidRPr="00287AA4" w14:paraId="6D1D180E" w14:textId="77777777" w:rsidTr="00C4012B">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EDE244" w14:textId="77777777" w:rsidR="00287AA4" w:rsidRPr="00287AA4" w:rsidRDefault="00287AA4" w:rsidP="00287AA4">
            <w:pPr>
              <w:suppressAutoHyphens/>
              <w:jc w:val="center"/>
              <w:rPr>
                <w:rFonts w:cs="Arial"/>
                <w:b/>
                <w:sz w:val="20"/>
                <w:szCs w:val="20"/>
                <w:lang w:eastAsia="ar-SA"/>
              </w:rPr>
            </w:pPr>
            <w:r w:rsidRPr="00287AA4">
              <w:rPr>
                <w:rFonts w:cs="Arial"/>
                <w:b/>
                <w:sz w:val="20"/>
                <w:szCs w:val="20"/>
                <w:lang w:eastAsia="ar-SA"/>
              </w:rPr>
              <w:t>Typ rekvalifikačního kurzu</w:t>
            </w:r>
          </w:p>
          <w:p w14:paraId="020E1C88" w14:textId="77777777" w:rsidR="00287AA4" w:rsidRPr="00287AA4" w:rsidRDefault="00287AA4" w:rsidP="00287AA4">
            <w:pPr>
              <w:suppressAutoHyphens/>
              <w:jc w:val="center"/>
              <w:rPr>
                <w:rFonts w:cs="Arial"/>
                <w:b/>
                <w:sz w:val="20"/>
                <w:szCs w:val="20"/>
                <w:lang w:eastAsia="ar-SA"/>
              </w:rPr>
            </w:pPr>
            <w:r w:rsidRPr="00287AA4">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693F02" w14:textId="77777777" w:rsidR="00287AA4" w:rsidRPr="00287AA4" w:rsidRDefault="00287AA4" w:rsidP="00287AA4">
            <w:pPr>
              <w:suppressAutoHyphens/>
              <w:jc w:val="center"/>
              <w:rPr>
                <w:rFonts w:cs="Arial"/>
                <w:b/>
                <w:sz w:val="20"/>
                <w:szCs w:val="20"/>
                <w:lang w:eastAsia="ar-SA"/>
              </w:rPr>
            </w:pPr>
            <w:r w:rsidRPr="00287AA4">
              <w:rPr>
                <w:rFonts w:cs="Arial"/>
                <w:b/>
                <w:sz w:val="20"/>
                <w:szCs w:val="20"/>
                <w:lang w:eastAsia="ar-SA"/>
              </w:rPr>
              <w:t>Minimální rozsah kurzu bez zkoušek</w:t>
            </w:r>
          </w:p>
          <w:p w14:paraId="4AA31302" w14:textId="77777777" w:rsidR="00287AA4" w:rsidRPr="00287AA4" w:rsidRDefault="00287AA4" w:rsidP="00287AA4">
            <w:pPr>
              <w:suppressAutoHyphens/>
              <w:jc w:val="center"/>
              <w:rPr>
                <w:rFonts w:cs="Arial"/>
                <w:b/>
                <w:sz w:val="20"/>
                <w:szCs w:val="20"/>
                <w:lang w:eastAsia="ar-SA"/>
              </w:rPr>
            </w:pPr>
            <w:r w:rsidRPr="00287AA4">
              <w:rPr>
                <w:rFonts w:cs="Arial"/>
                <w:b/>
                <w:sz w:val="20"/>
                <w:szCs w:val="20"/>
                <w:lang w:eastAsia="ar-SA"/>
              </w:rPr>
              <w:t>(počet vyučovacích hodin)</w:t>
            </w:r>
          </w:p>
        </w:tc>
      </w:tr>
      <w:tr w:rsidR="00287AA4" w:rsidRPr="00287AA4" w14:paraId="729C638F" w14:textId="77777777" w:rsidTr="00C4012B">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1030B33F" w14:textId="77777777" w:rsidR="00287AA4" w:rsidRPr="00287AA4" w:rsidRDefault="00287AA4" w:rsidP="00287AA4">
            <w:pPr>
              <w:suppressAutoHyphens/>
              <w:jc w:val="center"/>
              <w:rPr>
                <w:rFonts w:cs="Arial"/>
                <w:sz w:val="22"/>
                <w:szCs w:val="22"/>
                <w:lang w:eastAsia="ar-SA"/>
              </w:rPr>
            </w:pPr>
            <w:r w:rsidRPr="00287AA4">
              <w:rPr>
                <w:rFonts w:cs="Arial"/>
                <w:sz w:val="22"/>
                <w:szCs w:val="22"/>
                <w:lang w:eastAsia="ar-SA"/>
              </w:rPr>
              <w:t>Kvalifikační kurz pro pracovníky v sociálních službách</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37592991" w14:textId="77777777" w:rsidR="00287AA4" w:rsidRPr="00287AA4" w:rsidRDefault="00287AA4" w:rsidP="00287AA4">
            <w:pPr>
              <w:suppressAutoHyphens/>
              <w:jc w:val="center"/>
              <w:rPr>
                <w:rFonts w:cs="Arial"/>
                <w:color w:val="FF0000"/>
                <w:sz w:val="22"/>
                <w:szCs w:val="22"/>
                <w:lang w:eastAsia="ar-SA"/>
              </w:rPr>
            </w:pPr>
            <w:r w:rsidRPr="00287AA4">
              <w:rPr>
                <w:rFonts w:cs="Arial"/>
                <w:color w:val="000000" w:themeColor="text1"/>
                <w:sz w:val="22"/>
                <w:szCs w:val="22"/>
                <w:lang w:eastAsia="ar-SA"/>
              </w:rPr>
              <w:t>150</w:t>
            </w:r>
          </w:p>
        </w:tc>
      </w:tr>
    </w:tbl>
    <w:p w14:paraId="74A45484" w14:textId="77777777" w:rsidR="00287AA4" w:rsidRPr="00287AA4" w:rsidRDefault="00287AA4" w:rsidP="00287AA4">
      <w:pPr>
        <w:suppressAutoHyphens/>
        <w:spacing w:line="360" w:lineRule="auto"/>
        <w:jc w:val="both"/>
        <w:rPr>
          <w:rFonts w:cs="Arial"/>
          <w:sz w:val="20"/>
          <w:szCs w:val="20"/>
          <w:lang w:eastAsia="ar-SA"/>
        </w:rPr>
      </w:pPr>
    </w:p>
    <w:p w14:paraId="5F4B37A0" w14:textId="77777777" w:rsidR="00287AA4" w:rsidRPr="00287AA4" w:rsidRDefault="00287AA4" w:rsidP="00287AA4">
      <w:pPr>
        <w:suppressAutoHyphens/>
        <w:spacing w:line="360" w:lineRule="auto"/>
        <w:jc w:val="both"/>
        <w:rPr>
          <w:rFonts w:cs="Arial"/>
          <w:b/>
          <w:sz w:val="22"/>
          <w:szCs w:val="22"/>
          <w:u w:val="single"/>
          <w:lang w:eastAsia="ar-SA"/>
        </w:rPr>
      </w:pPr>
      <w:r w:rsidRPr="00287AA4">
        <w:rPr>
          <w:rFonts w:cs="Arial"/>
          <w:b/>
          <w:sz w:val="22"/>
          <w:szCs w:val="22"/>
          <w:u w:val="single"/>
          <w:lang w:eastAsia="ar-SA"/>
        </w:rPr>
        <w:t>Specifické podmínky a požadavky k této části veřejné zakázky:</w:t>
      </w:r>
    </w:p>
    <w:p w14:paraId="63A1CFB6"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Předpokládaný počet účastníků všech kurzů této části: 570</w:t>
      </w:r>
    </w:p>
    <w:p w14:paraId="51AA6A1C" w14:textId="5E3A4162"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 xml:space="preserve">Maximální cena za kurz (Kč/osoba/kurz): </w:t>
      </w:r>
      <w:r>
        <w:rPr>
          <w:rFonts w:cs="Arial"/>
          <w:sz w:val="22"/>
          <w:szCs w:val="22"/>
          <w:lang w:eastAsia="ar-SA"/>
        </w:rPr>
        <w:t>7 951</w:t>
      </w:r>
      <w:r w:rsidRPr="00287AA4">
        <w:rPr>
          <w:rFonts w:cs="Arial"/>
          <w:sz w:val="22"/>
          <w:szCs w:val="22"/>
          <w:lang w:eastAsia="ar-SA"/>
        </w:rPr>
        <w:t>,- Kč bez DPH</w:t>
      </w:r>
    </w:p>
    <w:p w14:paraId="11B58AB8"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U rekvalifikačního kurzu bude dodržen minimální počet hodin bez zkoušek uvedený v tabulce.</w:t>
      </w:r>
    </w:p>
    <w:p w14:paraId="7C976073"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Minimální počet účastníků nutný pro zahájení rekvalifikačního kurzu: 5.</w:t>
      </w:r>
    </w:p>
    <w:p w14:paraId="565C110A"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250690D0"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Organizace výuky: Teoretická výuka bude probíhat v pracovních dnech, se zahájením nejdříve v 8:00 hod. a s ukončením nejpozději v 16:00 hod. Celková délka kurzu včetně závěrečné zkoušky nepřesáhne 2 měsíce.</w:t>
      </w:r>
    </w:p>
    <w:p w14:paraId="07EE4FC9"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 xml:space="preserve">Požadovaný minimální obsah rekvalifikace: </w:t>
      </w:r>
    </w:p>
    <w:p w14:paraId="5C778BCA" w14:textId="77777777" w:rsidR="00287AA4" w:rsidRPr="00287AA4" w:rsidRDefault="00287AA4" w:rsidP="00287AA4">
      <w:pPr>
        <w:suppressAutoHyphens/>
        <w:spacing w:line="360" w:lineRule="auto"/>
        <w:ind w:left="340"/>
        <w:jc w:val="both"/>
        <w:rPr>
          <w:rFonts w:cs="Arial"/>
          <w:sz w:val="22"/>
          <w:szCs w:val="22"/>
          <w:lang w:eastAsia="ar-SA"/>
        </w:rPr>
      </w:pPr>
      <w:r w:rsidRPr="00287AA4">
        <w:rPr>
          <w:rFonts w:cs="Arial"/>
          <w:sz w:val="22"/>
          <w:szCs w:val="22"/>
          <w:lang w:eastAsia="ar-SA"/>
        </w:rPr>
        <w:t>Obsah rekvalifikačního kurzu je dán § 37 vyhlášky č. 505/2006 Sb., kterou se provádějí některá ustanovení zákona o sociálních službách, ve znění pozdějších předpisů.</w:t>
      </w:r>
    </w:p>
    <w:p w14:paraId="713A9FF1" w14:textId="77777777" w:rsidR="00287AA4" w:rsidRPr="00287AA4" w:rsidRDefault="00287AA4" w:rsidP="00287AA4">
      <w:pPr>
        <w:suppressAutoHyphens/>
        <w:spacing w:line="360" w:lineRule="auto"/>
        <w:ind w:left="340"/>
        <w:jc w:val="both"/>
        <w:rPr>
          <w:rFonts w:cs="Arial"/>
          <w:sz w:val="22"/>
          <w:szCs w:val="22"/>
          <w:lang w:eastAsia="ar-SA"/>
        </w:rPr>
      </w:pPr>
      <w:r w:rsidRPr="00287AA4">
        <w:rPr>
          <w:rFonts w:cs="Arial"/>
          <w:sz w:val="22"/>
          <w:szCs w:val="22"/>
          <w:lang w:eastAsia="ar-SA"/>
        </w:rPr>
        <w:t>Rekvalifikační kurz bude proveden v souladu s příslušnými platnými právními normami a předpisy (včetně povinnosti zvláštního očkování proti virové hepatitidě B před nástupem na praktickou přípravu podle vyhlášky č. 537/2006 Sb., o očkování proti infekčním nemocem, ve znění pozdějších předpisů).</w:t>
      </w:r>
    </w:p>
    <w:p w14:paraId="7116DF67" w14:textId="77777777" w:rsidR="00287AA4" w:rsidRPr="00287AA4" w:rsidRDefault="00287AA4" w:rsidP="00287AA4">
      <w:pPr>
        <w:suppressAutoHyphens/>
        <w:spacing w:line="360" w:lineRule="auto"/>
        <w:ind w:left="340"/>
        <w:jc w:val="both"/>
        <w:rPr>
          <w:rFonts w:cs="Arial"/>
          <w:sz w:val="22"/>
          <w:szCs w:val="22"/>
          <w:lang w:eastAsia="ar-SA"/>
        </w:rPr>
      </w:pPr>
      <w:r w:rsidRPr="00287AA4">
        <w:rPr>
          <w:rFonts w:cs="Arial"/>
          <w:sz w:val="22"/>
          <w:szCs w:val="22"/>
          <w:lang w:eastAsia="ar-SA"/>
        </w:rPr>
        <w:t>Obsah (tematické celky) bude v souladu s bodem 2.2 písm. i) Zadávací dokumentace rozepsán v Příloze č. 6 Nabídka zabezpečení rekvalifikace.</w:t>
      </w:r>
    </w:p>
    <w:p w14:paraId="15856031" w14:textId="77777777" w:rsidR="00287AA4" w:rsidRPr="00287AA4" w:rsidRDefault="00287AA4" w:rsidP="00287AA4">
      <w:pPr>
        <w:suppressAutoHyphens/>
        <w:spacing w:line="360" w:lineRule="auto"/>
        <w:ind w:left="340"/>
        <w:jc w:val="both"/>
        <w:rPr>
          <w:rFonts w:cs="Arial"/>
          <w:sz w:val="22"/>
          <w:szCs w:val="22"/>
          <w:lang w:eastAsia="ar-SA"/>
        </w:rPr>
      </w:pPr>
      <w:r w:rsidRPr="00287AA4">
        <w:rPr>
          <w:rFonts w:cs="Arial"/>
          <w:sz w:val="22"/>
          <w:szCs w:val="22"/>
          <w:lang w:eastAsia="ar-SA"/>
        </w:rPr>
        <w:t>Součástí rekvalifikačního kurzu je závěrečná zkouška.</w:t>
      </w:r>
    </w:p>
    <w:p w14:paraId="38C7EF53"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Každý účastník obdrží do svého vlastnictví studijní materiály k rekvalifikačnímu kurzu, a to buď na začátku pro celý kurz, nebo průběžně, při probírání jednotlivých témat.</w:t>
      </w:r>
    </w:p>
    <w:p w14:paraId="69350D7B" w14:textId="77777777" w:rsidR="00287AA4" w:rsidRPr="00287AA4" w:rsidRDefault="00287AA4" w:rsidP="00287AA4">
      <w:pPr>
        <w:numPr>
          <w:ilvl w:val="0"/>
          <w:numId w:val="35"/>
        </w:numPr>
        <w:suppressAutoHyphens/>
        <w:spacing w:line="360" w:lineRule="auto"/>
        <w:jc w:val="both"/>
        <w:rPr>
          <w:rFonts w:cs="Arial"/>
          <w:sz w:val="22"/>
          <w:szCs w:val="22"/>
          <w:lang w:eastAsia="ar-SA"/>
        </w:rPr>
      </w:pPr>
      <w:r w:rsidRPr="00287AA4">
        <w:rPr>
          <w:rFonts w:cs="Arial"/>
          <w:sz w:val="22"/>
          <w:szCs w:val="22"/>
          <w:lang w:eastAsia="ar-SA"/>
        </w:rPr>
        <w:t>Vstupní vzdělání účastníků kurzů: minimálně ukončené základní vzdělání.</w:t>
      </w:r>
    </w:p>
    <w:p w14:paraId="335308B8" w14:textId="77777777" w:rsidR="00287AA4" w:rsidRPr="00287AA4" w:rsidRDefault="00287AA4" w:rsidP="00287AA4">
      <w:pPr>
        <w:pStyle w:val="Odstavecseseznamem"/>
        <w:numPr>
          <w:ilvl w:val="0"/>
          <w:numId w:val="35"/>
        </w:numPr>
        <w:suppressAutoHyphens/>
        <w:autoSpaceDE w:val="0"/>
        <w:autoSpaceDN w:val="0"/>
        <w:adjustRightInd w:val="0"/>
        <w:spacing w:line="360" w:lineRule="auto"/>
        <w:jc w:val="both"/>
        <w:rPr>
          <w:rFonts w:cs="Arial"/>
          <w:sz w:val="22"/>
          <w:szCs w:val="22"/>
          <w:lang w:eastAsia="ar-SA"/>
        </w:rPr>
      </w:pPr>
      <w:r w:rsidRPr="00287AA4">
        <w:rPr>
          <w:rFonts w:cs="Arial"/>
          <w:sz w:val="22"/>
          <w:szCs w:val="22"/>
          <w:lang w:eastAsia="ar-SA"/>
        </w:rPr>
        <w:t>Místo konání kurzů (teoretická výuka): Podle požadavku zadavatele město Jeseník nebo Olomouc nebo Prostějov nebo Přerov nebo Šumperk. Zadavatel nevylučuje, že bude požadovat realizaci rekvalifikačního kurzu na více místech konání současně.</w:t>
      </w:r>
    </w:p>
    <w:p w14:paraId="40B3658F" w14:textId="08F34BE7" w:rsidR="00287AA4" w:rsidRPr="00287AA4" w:rsidRDefault="00287AA4" w:rsidP="00287AA4">
      <w:pPr>
        <w:pStyle w:val="Odstavecseseznamem"/>
        <w:numPr>
          <w:ilvl w:val="0"/>
          <w:numId w:val="35"/>
        </w:numPr>
        <w:suppressAutoHyphens/>
        <w:autoSpaceDE w:val="0"/>
        <w:autoSpaceDN w:val="0"/>
        <w:adjustRightInd w:val="0"/>
        <w:spacing w:line="360" w:lineRule="auto"/>
        <w:jc w:val="both"/>
        <w:rPr>
          <w:rFonts w:cs="Arial"/>
          <w:bCs/>
          <w:sz w:val="22"/>
          <w:szCs w:val="22"/>
          <w:lang w:eastAsia="cs-CZ"/>
        </w:rPr>
      </w:pPr>
      <w:r w:rsidRPr="00287AA4">
        <w:rPr>
          <w:rFonts w:cs="Arial"/>
          <w:sz w:val="22"/>
          <w:szCs w:val="22"/>
          <w:lang w:eastAsia="ar-SA"/>
        </w:rPr>
        <w:t>Praktická výuka může probíhat i mimo místa uvedená v předchozím bodu, vždy však v místě, které je pro účastníka kurzu dopravně dostupné.</w:t>
      </w:r>
    </w:p>
    <w:p w14:paraId="78B390C4" w14:textId="1BC5A3B8" w:rsidR="00287AA4" w:rsidRDefault="00287AA4" w:rsidP="00287AA4">
      <w:pPr>
        <w:suppressAutoHyphens/>
        <w:autoSpaceDE w:val="0"/>
        <w:autoSpaceDN w:val="0"/>
        <w:adjustRightInd w:val="0"/>
        <w:spacing w:line="360" w:lineRule="auto"/>
        <w:jc w:val="both"/>
        <w:rPr>
          <w:rFonts w:cs="Arial"/>
          <w:sz w:val="22"/>
          <w:szCs w:val="22"/>
          <w:lang w:eastAsia="ar-SA"/>
        </w:rPr>
      </w:pPr>
    </w:p>
    <w:p w14:paraId="08268EB5" w14:textId="77777777" w:rsidR="00287AA4" w:rsidRPr="00287AA4" w:rsidRDefault="00287AA4" w:rsidP="00287AA4">
      <w:pPr>
        <w:suppressAutoHyphens/>
        <w:autoSpaceDE w:val="0"/>
        <w:autoSpaceDN w:val="0"/>
        <w:adjustRightInd w:val="0"/>
        <w:spacing w:line="360" w:lineRule="auto"/>
        <w:jc w:val="both"/>
        <w:rPr>
          <w:rFonts w:cs="Arial"/>
          <w:bCs/>
          <w:sz w:val="22"/>
          <w:szCs w:val="22"/>
        </w:rPr>
      </w:pPr>
    </w:p>
    <w:p w14:paraId="5C879E27" w14:textId="59CB3168" w:rsidR="00D2792A" w:rsidRPr="00253B14" w:rsidRDefault="00D2792A" w:rsidP="00C03490">
      <w:pPr>
        <w:pStyle w:val="Odstavecseseznamem"/>
        <w:spacing w:line="360" w:lineRule="auto"/>
        <w:ind w:left="0"/>
        <w:jc w:val="both"/>
        <w:rPr>
          <w:rFonts w:cs="Arial"/>
          <w:sz w:val="22"/>
          <w:szCs w:val="22"/>
        </w:rPr>
      </w:pPr>
    </w:p>
    <w:p w14:paraId="09116C05" w14:textId="71A5EF46"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 </w:t>
      </w:r>
      <w:r w:rsidR="00287AA4">
        <w:rPr>
          <w:rFonts w:cs="Arial"/>
          <w:sz w:val="22"/>
          <w:szCs w:val="22"/>
        </w:rPr>
        <w:t>Ostravě</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77777777"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t>Mgr. et. Mgr. Alexandra Potoková, DiS.</w:t>
      </w:r>
    </w:p>
    <w:p w14:paraId="0F34BA06" w14:textId="3A16981E"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 Olomouci</w:t>
      </w:r>
      <w:r w:rsidR="00774AA6">
        <w:rPr>
          <w:rFonts w:cs="Arial"/>
          <w:sz w:val="22"/>
          <w:szCs w:val="22"/>
        </w:rPr>
        <w:tab/>
      </w:r>
      <w:r w:rsidR="00774AA6">
        <w:rPr>
          <w:rFonts w:cs="Arial"/>
          <w:sz w:val="22"/>
          <w:szCs w:val="22"/>
        </w:rPr>
        <w:tab/>
        <w:t>jednatelka</w:t>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7"/>
      <w:footerReference w:type="default" r:id="rId8"/>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9BDD" w14:textId="77777777" w:rsidR="003C4CD7" w:rsidRDefault="003C4CD7">
      <w:r>
        <w:separator/>
      </w:r>
    </w:p>
  </w:endnote>
  <w:endnote w:type="continuationSeparator" w:id="0">
    <w:p w14:paraId="09FD539C" w14:textId="77777777" w:rsidR="003C4CD7" w:rsidRDefault="003C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CB40" w14:textId="77777777" w:rsidR="003C4CD7" w:rsidRDefault="003C4CD7">
      <w:r>
        <w:separator/>
      </w:r>
    </w:p>
  </w:footnote>
  <w:footnote w:type="continuationSeparator" w:id="0">
    <w:p w14:paraId="58496211" w14:textId="77777777" w:rsidR="003C4CD7" w:rsidRDefault="003C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6"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8"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2"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4"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5"/>
  </w:num>
  <w:num w:numId="3" w16cid:durableId="1943296731">
    <w:abstractNumId w:val="22"/>
  </w:num>
  <w:num w:numId="4" w16cid:durableId="1976064964">
    <w:abstractNumId w:val="6"/>
  </w:num>
  <w:num w:numId="5" w16cid:durableId="652561553">
    <w:abstractNumId w:val="29"/>
  </w:num>
  <w:num w:numId="6" w16cid:durableId="635649107">
    <w:abstractNumId w:val="20"/>
  </w:num>
  <w:num w:numId="7" w16cid:durableId="1445953131">
    <w:abstractNumId w:val="12"/>
  </w:num>
  <w:num w:numId="8" w16cid:durableId="1101412796">
    <w:abstractNumId w:val="9"/>
  </w:num>
  <w:num w:numId="9" w16cid:durableId="141240096">
    <w:abstractNumId w:val="23"/>
  </w:num>
  <w:num w:numId="10" w16cid:durableId="1510560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4"/>
  </w:num>
  <w:num w:numId="12" w16cid:durableId="945960051">
    <w:abstractNumId w:val="27"/>
  </w:num>
  <w:num w:numId="13" w16cid:durableId="1741518050">
    <w:abstractNumId w:val="13"/>
  </w:num>
  <w:num w:numId="14" w16cid:durableId="1165895994">
    <w:abstractNumId w:val="21"/>
  </w:num>
  <w:num w:numId="15" w16cid:durableId="1042096317">
    <w:abstractNumId w:val="32"/>
  </w:num>
  <w:num w:numId="16" w16cid:durableId="704793074">
    <w:abstractNumId w:val="34"/>
  </w:num>
  <w:num w:numId="17" w16cid:durableId="765346137">
    <w:abstractNumId w:val="31"/>
  </w:num>
  <w:num w:numId="18" w16cid:durableId="215314048">
    <w:abstractNumId w:val="5"/>
  </w:num>
  <w:num w:numId="19" w16cid:durableId="1006520116">
    <w:abstractNumId w:val="17"/>
  </w:num>
  <w:num w:numId="20" w16cid:durableId="990252686">
    <w:abstractNumId w:val="18"/>
  </w:num>
  <w:num w:numId="21" w16cid:durableId="2079816917">
    <w:abstractNumId w:val="1"/>
  </w:num>
  <w:num w:numId="22" w16cid:durableId="518740912">
    <w:abstractNumId w:val="28"/>
  </w:num>
  <w:num w:numId="23" w16cid:durableId="26420014">
    <w:abstractNumId w:val="0"/>
  </w:num>
  <w:num w:numId="24" w16cid:durableId="665279649">
    <w:abstractNumId w:val="26"/>
  </w:num>
  <w:num w:numId="25" w16cid:durableId="510878826">
    <w:abstractNumId w:val="2"/>
  </w:num>
  <w:num w:numId="26" w16cid:durableId="1651208911">
    <w:abstractNumId w:val="8"/>
  </w:num>
  <w:num w:numId="27" w16cid:durableId="1619339516">
    <w:abstractNumId w:val="11"/>
  </w:num>
  <w:num w:numId="28" w16cid:durableId="100409170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16"/>
  </w:num>
  <w:num w:numId="30" w16cid:durableId="534386718">
    <w:abstractNumId w:val="7"/>
  </w:num>
  <w:num w:numId="31" w16cid:durableId="973214556">
    <w:abstractNumId w:val="19"/>
  </w:num>
  <w:num w:numId="32" w16cid:durableId="1397556864">
    <w:abstractNumId w:val="33"/>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0"/>
  </w:num>
  <w:num w:numId="34" w16cid:durableId="878249072">
    <w:abstractNumId w:val="4"/>
  </w:num>
  <w:num w:numId="35" w16cid:durableId="15002359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758C"/>
    <w:rsid w:val="000C196A"/>
    <w:rsid w:val="000C33CA"/>
    <w:rsid w:val="000C47FC"/>
    <w:rsid w:val="000C56E3"/>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7D58"/>
    <w:rsid w:val="002E1E0D"/>
    <w:rsid w:val="002E5F15"/>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28DE"/>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4CD7"/>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1211"/>
    <w:rsid w:val="00442003"/>
    <w:rsid w:val="00450E92"/>
    <w:rsid w:val="00451176"/>
    <w:rsid w:val="00461E94"/>
    <w:rsid w:val="00462B09"/>
    <w:rsid w:val="00463CF2"/>
    <w:rsid w:val="00467DBF"/>
    <w:rsid w:val="00471FBE"/>
    <w:rsid w:val="00472F2B"/>
    <w:rsid w:val="004756F0"/>
    <w:rsid w:val="0047677B"/>
    <w:rsid w:val="00476E07"/>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348B"/>
    <w:rsid w:val="005467EC"/>
    <w:rsid w:val="005474C0"/>
    <w:rsid w:val="00550F85"/>
    <w:rsid w:val="00551A12"/>
    <w:rsid w:val="005527BF"/>
    <w:rsid w:val="00554417"/>
    <w:rsid w:val="00554E20"/>
    <w:rsid w:val="005625C2"/>
    <w:rsid w:val="00565529"/>
    <w:rsid w:val="005659BA"/>
    <w:rsid w:val="00565CE0"/>
    <w:rsid w:val="00567971"/>
    <w:rsid w:val="00567EEB"/>
    <w:rsid w:val="005715DC"/>
    <w:rsid w:val="00572DDC"/>
    <w:rsid w:val="0057332F"/>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89D"/>
    <w:rsid w:val="005B0CAB"/>
    <w:rsid w:val="005B1CBC"/>
    <w:rsid w:val="005B1F9B"/>
    <w:rsid w:val="005B2C1C"/>
    <w:rsid w:val="005B3B1F"/>
    <w:rsid w:val="005B46BD"/>
    <w:rsid w:val="005B5E58"/>
    <w:rsid w:val="005C3C7B"/>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5022"/>
    <w:rsid w:val="006157ED"/>
    <w:rsid w:val="00616C62"/>
    <w:rsid w:val="0062289B"/>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D2FF2"/>
    <w:rsid w:val="007D5B18"/>
    <w:rsid w:val="007E0C71"/>
    <w:rsid w:val="007E727F"/>
    <w:rsid w:val="007F00E7"/>
    <w:rsid w:val="007F0825"/>
    <w:rsid w:val="007F4485"/>
    <w:rsid w:val="007F5C75"/>
    <w:rsid w:val="007F688E"/>
    <w:rsid w:val="0080022E"/>
    <w:rsid w:val="0080467D"/>
    <w:rsid w:val="00805540"/>
    <w:rsid w:val="00806195"/>
    <w:rsid w:val="00806543"/>
    <w:rsid w:val="00816895"/>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53B0"/>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50E1"/>
    <w:rsid w:val="008E57D4"/>
    <w:rsid w:val="008E6119"/>
    <w:rsid w:val="008F2B16"/>
    <w:rsid w:val="008F4332"/>
    <w:rsid w:val="008F5363"/>
    <w:rsid w:val="008F664C"/>
    <w:rsid w:val="0090520A"/>
    <w:rsid w:val="0090521F"/>
    <w:rsid w:val="009070CA"/>
    <w:rsid w:val="00907C2C"/>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9A5"/>
    <w:rsid w:val="00A56EFA"/>
    <w:rsid w:val="00A57640"/>
    <w:rsid w:val="00A60135"/>
    <w:rsid w:val="00A61EB3"/>
    <w:rsid w:val="00A6443C"/>
    <w:rsid w:val="00A65CF8"/>
    <w:rsid w:val="00A66D39"/>
    <w:rsid w:val="00A7006D"/>
    <w:rsid w:val="00A71085"/>
    <w:rsid w:val="00A74AFC"/>
    <w:rsid w:val="00A8052F"/>
    <w:rsid w:val="00A809A5"/>
    <w:rsid w:val="00A83C37"/>
    <w:rsid w:val="00A91454"/>
    <w:rsid w:val="00A93C80"/>
    <w:rsid w:val="00A95467"/>
    <w:rsid w:val="00AA106D"/>
    <w:rsid w:val="00AA4D76"/>
    <w:rsid w:val="00AB01C5"/>
    <w:rsid w:val="00AB29A3"/>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34FF"/>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150C"/>
    <w:rsid w:val="00C324AB"/>
    <w:rsid w:val="00C347E2"/>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3646</Words>
  <Characters>21517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Mikulenka Jiří Mgr. (UPM-KRP)</cp:lastModifiedBy>
  <cp:revision>2</cp:revision>
  <cp:lastPrinted>2018-06-20T11:15:00Z</cp:lastPrinted>
  <dcterms:created xsi:type="dcterms:W3CDTF">2023-10-23T05:59:00Z</dcterms:created>
  <dcterms:modified xsi:type="dcterms:W3CDTF">2023-10-23T05:59:00Z</dcterms:modified>
</cp:coreProperties>
</file>