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C9" w:rsidRDefault="00BB4A15">
      <w:pPr>
        <w:pStyle w:val="Headerorfooter10"/>
        <w:framePr w:wrap="none" w:vAnchor="page" w:hAnchor="page" w:x="4178" w:y="679"/>
        <w:shd w:val="clear" w:color="auto" w:fill="auto"/>
      </w:pPr>
      <w:r>
        <w:t xml:space="preserve">Vyúčtování pobytu - ZŠ a MŠ Emy Destinnové </w:t>
      </w:r>
      <w:r>
        <w:t xml:space="preserve"> , dne 25.4.2022</w:t>
      </w:r>
    </w:p>
    <w:p w:rsidR="00C214C9" w:rsidRDefault="00BB4A15">
      <w:pPr>
        <w:pStyle w:val="Headerorfooter10"/>
        <w:framePr w:w="2962" w:h="197" w:hRule="exact" w:wrap="none" w:vAnchor="page" w:hAnchor="page" w:x="851" w:y="674"/>
        <w:shd w:val="clear" w:color="auto" w:fill="auto"/>
      </w:pPr>
      <w:r>
        <w:t>25.04.22 12:18</w:t>
      </w:r>
    </w:p>
    <w:p w:rsidR="00C214C9" w:rsidRDefault="00BB4A15">
      <w:pPr>
        <w:pStyle w:val="Heading110"/>
        <w:framePr w:w="10094" w:h="902" w:hRule="exact" w:wrap="none" w:vAnchor="page" w:hAnchor="page" w:x="775" w:y="962"/>
        <w:pBdr>
          <w:bottom w:val="single" w:sz="4" w:space="1" w:color="auto"/>
        </w:pBdr>
        <w:shd w:val="clear" w:color="auto" w:fill="auto"/>
        <w:spacing w:after="0"/>
        <w:ind w:left="160" w:right="6100"/>
      </w:pPr>
      <w:bookmarkStart w:id="0" w:name="bookmark0"/>
      <w:r>
        <w:t xml:space="preserve">Rekreační areál Zbraslavice 285 21 Zbraslavice 255 </w:t>
      </w:r>
      <w:hyperlink r:id="rId7" w:history="1">
        <w:r>
          <w:rPr>
            <w:lang w:val="en-US" w:eastAsia="en-US" w:bidi="en-US"/>
          </w:rPr>
          <w:t>www.Zbraslavice.eu</w:t>
        </w:r>
        <w:bookmarkEnd w:id="0"/>
      </w:hyperlink>
    </w:p>
    <w:p w:rsidR="00C214C9" w:rsidRDefault="00BB4A15">
      <w:pPr>
        <w:pStyle w:val="Bodytext20"/>
        <w:framePr w:w="10094" w:h="838" w:hRule="exact" w:wrap="none" w:vAnchor="page" w:hAnchor="page" w:x="775" w:y="2148"/>
        <w:shd w:val="clear" w:color="auto" w:fill="auto"/>
        <w:spacing w:before="0" w:after="186"/>
        <w:ind w:left="160" w:firstLine="0"/>
      </w:pPr>
      <w:r>
        <w:t>Vážení hosté,</w:t>
      </w:r>
    </w:p>
    <w:p w:rsidR="00C214C9" w:rsidRDefault="00BB4A15">
      <w:pPr>
        <w:pStyle w:val="Bodytext20"/>
        <w:framePr w:w="10094" w:h="838" w:hRule="exact" w:wrap="none" w:vAnchor="page" w:hAnchor="page" w:x="775" w:y="2148"/>
        <w:shd w:val="clear" w:color="auto" w:fill="auto"/>
        <w:spacing w:before="0" w:after="0" w:line="211" w:lineRule="exact"/>
        <w:ind w:left="160" w:firstLine="0"/>
        <w:jc w:val="both"/>
      </w:pPr>
      <w:r>
        <w:t xml:space="preserve">děkujeme Vám, že jste si k Vašemu pobytu </w:t>
      </w:r>
      <w:r>
        <w:t>vybrali Rekreační areál Zbraslavice. Zasíláme Vám kalkulaci Vašeho pobytu, základní informace a Všeobecné obchodní podmínky.</w:t>
      </w:r>
    </w:p>
    <w:p w:rsidR="00C214C9" w:rsidRDefault="00BB4A15">
      <w:pPr>
        <w:pStyle w:val="Heading210"/>
        <w:framePr w:w="10094" w:h="1366" w:hRule="exact" w:wrap="none" w:vAnchor="page" w:hAnchor="page" w:x="775" w:y="3317"/>
        <w:shd w:val="clear" w:color="auto" w:fill="auto"/>
        <w:spacing w:before="0" w:after="135"/>
        <w:ind w:left="160"/>
      </w:pPr>
      <w:bookmarkStart w:id="1" w:name="bookmark1"/>
      <w:r>
        <w:rPr>
          <w:rStyle w:val="Heading211"/>
          <w:b/>
          <w:bCs/>
        </w:rPr>
        <w:t>Kalkulace pobytu</w:t>
      </w:r>
      <w:bookmarkEnd w:id="1"/>
    </w:p>
    <w:p w:rsidR="00C214C9" w:rsidRDefault="00BB4A15">
      <w:pPr>
        <w:pStyle w:val="Bodytext20"/>
        <w:framePr w:w="10094" w:h="1366" w:hRule="exact" w:wrap="none" w:vAnchor="page" w:hAnchor="page" w:x="775" w:y="3317"/>
        <w:shd w:val="clear" w:color="auto" w:fill="auto"/>
        <w:spacing w:before="0" w:after="39"/>
        <w:ind w:left="160" w:firstLine="0"/>
      </w:pPr>
      <w:r>
        <w:rPr>
          <w:rStyle w:val="Bodytext2Bold"/>
        </w:rPr>
        <w:t xml:space="preserve">Zákazník: </w:t>
      </w:r>
      <w:r>
        <w:t xml:space="preserve">ZŠ a MŠ Emy Destinnové , </w:t>
      </w:r>
    </w:p>
    <w:p w:rsidR="00C214C9" w:rsidRDefault="00BB4A15">
      <w:pPr>
        <w:pStyle w:val="Bodytext30"/>
        <w:framePr w:w="10094" w:h="1366" w:hRule="exact" w:wrap="none" w:vAnchor="page" w:hAnchor="page" w:x="775" w:y="3317"/>
        <w:shd w:val="clear" w:color="auto" w:fill="auto"/>
        <w:spacing w:before="0"/>
        <w:ind w:left="160"/>
      </w:pPr>
      <w:r>
        <w:t>Adresa:</w:t>
      </w:r>
    </w:p>
    <w:p w:rsidR="00C214C9" w:rsidRDefault="00BB4A15">
      <w:pPr>
        <w:pStyle w:val="Bodytext20"/>
        <w:framePr w:w="10094" w:h="1366" w:hRule="exact" w:wrap="none" w:vAnchor="page" w:hAnchor="page" w:x="775" w:y="3317"/>
        <w:shd w:val="clear" w:color="auto" w:fill="auto"/>
        <w:tabs>
          <w:tab w:val="left" w:pos="1048"/>
        </w:tabs>
        <w:spacing w:before="0" w:after="0" w:line="245" w:lineRule="exact"/>
        <w:ind w:left="160" w:firstLine="0"/>
        <w:jc w:val="both"/>
      </w:pPr>
      <w:r>
        <w:rPr>
          <w:rStyle w:val="Bodytext2Bold"/>
        </w:rPr>
        <w:t>Telefon:</w:t>
      </w:r>
      <w:r>
        <w:rPr>
          <w:rStyle w:val="Bodytext2Bold"/>
        </w:rPr>
        <w:tab/>
      </w:r>
    </w:p>
    <w:p w:rsidR="00C214C9" w:rsidRDefault="00BB4A15">
      <w:pPr>
        <w:pStyle w:val="Bodytext20"/>
        <w:framePr w:w="10094" w:h="1366" w:hRule="exact" w:wrap="none" w:vAnchor="page" w:hAnchor="page" w:x="775" w:y="3317"/>
        <w:shd w:val="clear" w:color="auto" w:fill="auto"/>
        <w:tabs>
          <w:tab w:val="left" w:pos="1048"/>
        </w:tabs>
        <w:spacing w:before="0" w:after="0" w:line="245" w:lineRule="exact"/>
        <w:ind w:left="160" w:firstLine="0"/>
        <w:jc w:val="both"/>
      </w:pPr>
      <w:r>
        <w:rPr>
          <w:rStyle w:val="Bodytext2Bold"/>
        </w:rPr>
        <w:t>E-mail</w:t>
      </w:r>
    </w:p>
    <w:p w:rsidR="00C214C9" w:rsidRDefault="00BB4A15">
      <w:pPr>
        <w:pStyle w:val="Bodytext20"/>
        <w:framePr w:w="10094" w:h="480" w:hRule="exact" w:wrap="none" w:vAnchor="page" w:hAnchor="page" w:x="775" w:y="4922"/>
        <w:shd w:val="clear" w:color="auto" w:fill="auto"/>
        <w:spacing w:before="0" w:after="100"/>
        <w:ind w:left="160" w:firstLine="0"/>
        <w:jc w:val="both"/>
      </w:pPr>
      <w:r>
        <w:rPr>
          <w:rStyle w:val="Bodytext2Bold"/>
        </w:rPr>
        <w:t xml:space="preserve">Ubytování: </w:t>
      </w:r>
      <w:r>
        <w:t>od 16.05.2022, do 19.05.2022</w:t>
      </w:r>
    </w:p>
    <w:p w:rsidR="00C214C9" w:rsidRDefault="00BB4A15">
      <w:pPr>
        <w:pStyle w:val="Bodytext20"/>
        <w:framePr w:w="10094" w:h="480" w:hRule="exact" w:wrap="none" w:vAnchor="page" w:hAnchor="page" w:x="775" w:y="4922"/>
        <w:shd w:val="clear" w:color="auto" w:fill="auto"/>
        <w:tabs>
          <w:tab w:val="left" w:pos="1048"/>
        </w:tabs>
        <w:spacing w:before="0" w:after="0"/>
        <w:ind w:left="160" w:firstLine="0"/>
        <w:jc w:val="both"/>
      </w:pPr>
      <w:r>
        <w:rPr>
          <w:rStyle w:val="Bodytext2Bold"/>
        </w:rPr>
        <w:t>Místo:</w:t>
      </w:r>
      <w:r>
        <w:rPr>
          <w:rStyle w:val="Bodytext2Bold"/>
        </w:rPr>
        <w:tab/>
      </w:r>
      <w:r>
        <w:t>Budova SPORT (103, 104, 105, 106, 107, 108, 111)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9"/>
        <w:gridCol w:w="533"/>
        <w:gridCol w:w="874"/>
        <w:gridCol w:w="403"/>
        <w:gridCol w:w="979"/>
      </w:tblGrid>
      <w:tr w:rsidR="00C214C9">
        <w:tblPrEx>
          <w:tblCellMar>
            <w:top w:w="0" w:type="dxa"/>
            <w:bottom w:w="0" w:type="dxa"/>
          </w:tblCellMar>
        </w:tblPrEx>
        <w:trPr>
          <w:trHeight w:hRule="exact" w:val="336"/>
        </w:trPr>
        <w:tc>
          <w:tcPr>
            <w:tcW w:w="5429"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Počet</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Částka</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Dny</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Celkem</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 xml:space="preserve">Ubytování v budově Sport vč. plné penze a pitného režimu - </w:t>
            </w:r>
            <w:r>
              <w:rPr>
                <w:rStyle w:val="Bodytext21"/>
              </w:rPr>
              <w:t>žáci</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29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570,00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49 590,-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Ubytování v budově Sport vč. plné penze a pitného režimu - dozor</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570,00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5 130,-Kč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Ubytování v budově Sport vč. plné penze a pitného režimu - dozor zdarma</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-570,00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-3 420,-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rPr>
              <w:t xml:space="preserve">(Nad každých 12 dětí 1 </w:t>
            </w:r>
            <w:r>
              <w:rPr>
                <w:rStyle w:val="Bodytext21"/>
              </w:rPr>
              <w:t>dozor zdarma, platí jen místní poplatky a lůžkoviny)</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Oběd navíc v den příjezdu - žáci</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29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164,00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4 756,-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Oběd navíc v den příjezdu - dozor</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164,00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492,-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Oběd navíc v den příjezdu dozor zdarma</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-164,00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-328,-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Svačiny 2x denně žáci</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29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28,00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2 436,-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Svačiny 2x denně dozor</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28,00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252,-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Svačiny 2x denně dozor ZDARMA</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-28,00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-168,-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Lůžkoviny</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32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54,00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1 728,-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Místní poplatky za kalendářní dny</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32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13,00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4</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1 664,-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Parkovné dle skutečnosti</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 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55,00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2"/>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lang w:val="en-US" w:eastAsia="en-US" w:bidi="en-US"/>
              </w:rPr>
              <w:t>Bungee running</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tcPr>
          <w:p w:rsidR="00C214C9" w:rsidRDefault="00BB4A15">
            <w:pPr>
              <w:pStyle w:val="Bodytext20"/>
              <w:framePr w:w="8218" w:h="9850" w:wrap="none" w:vAnchor="page" w:hAnchor="page" w:x="847" w:y="5699"/>
              <w:shd w:val="clear" w:color="auto" w:fill="auto"/>
              <w:spacing w:before="0" w:after="0"/>
              <w:ind w:firstLine="0"/>
            </w:pPr>
            <w:r>
              <w:rPr>
                <w:rStyle w:val="Bodytext21"/>
                <w:lang w:val="en-US" w:eastAsia="en-US" w:bidi="en-US"/>
              </w:rPr>
              <w:t>Aquazorbing</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textDirection w:val="tbRl"/>
          </w:tcPr>
          <w:p w:rsidR="00C214C9" w:rsidRDefault="00BB4A15">
            <w:pPr>
              <w:pStyle w:val="Bodytext20"/>
              <w:framePr w:w="8218" w:h="9850" w:wrap="none" w:vAnchor="page" w:hAnchor="page" w:x="847" w:y="5699"/>
              <w:shd w:val="clear" w:color="auto" w:fill="auto"/>
              <w:spacing w:before="0" w:after="0" w:line="90" w:lineRule="exact"/>
              <w:ind w:firstLine="0"/>
            </w:pPr>
            <w:r>
              <w:rPr>
                <w:rStyle w:val="Bodytext24pt"/>
              </w:rPr>
              <w:t>&gt;o</w:t>
            </w:r>
          </w:p>
          <w:p w:rsidR="00C214C9" w:rsidRDefault="00BB4A15">
            <w:pPr>
              <w:pStyle w:val="Bodytext20"/>
              <w:framePr w:w="8218" w:h="9850" w:wrap="none" w:vAnchor="page" w:hAnchor="page" w:x="847" w:y="5699"/>
              <w:shd w:val="clear" w:color="auto" w:fill="auto"/>
              <w:spacing w:before="0" w:after="0"/>
              <w:ind w:firstLine="0"/>
            </w:pPr>
            <w:r>
              <w:rPr>
                <w:rStyle w:val="Bodytext21"/>
              </w:rPr>
              <w:t>*</w:t>
            </w:r>
          </w:p>
          <w:p w:rsidR="00C214C9" w:rsidRDefault="00BB4A15">
            <w:pPr>
              <w:pStyle w:val="Bodytext20"/>
              <w:framePr w:w="8218" w:h="9850" w:wrap="none" w:vAnchor="page" w:hAnchor="page" w:x="847" w:y="5699"/>
              <w:shd w:val="clear" w:color="auto" w:fill="auto"/>
              <w:spacing w:before="0" w:after="0"/>
              <w:ind w:firstLine="0"/>
            </w:pPr>
            <w:r>
              <w:rPr>
                <w:rStyle w:val="Bodytext21"/>
              </w:rPr>
              <w:t>o"</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Horolezecká stěna</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22"/>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Rodinné dvoukolo</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lang w:val="en-US" w:eastAsia="en-US" w:bidi="en-US"/>
              </w:rPr>
              <w:t>Paintball</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2"/>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Treková kola</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rPr>
              <w:t>Vzduchovky</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rPr>
              <w:t>Vysoká lana</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rPr>
              <w:t>Koloběžky</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rPr>
              <w:t>Kajaky</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Lukostřelba</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lang w:val="en-US" w:eastAsia="en-US" w:bidi="en-US"/>
              </w:rPr>
              <w:t>Paddle Board</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 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pPr>
            <w:r>
              <w:rPr>
                <w:rStyle w:val="Bodytext21"/>
                <w:lang w:val="en-US" w:eastAsia="en-US" w:bidi="en-US"/>
              </w:rPr>
              <w:t>Nordic Walking</w:t>
            </w:r>
          </w:p>
        </w:tc>
        <w:tc>
          <w:tcPr>
            <w:tcW w:w="53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874"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403" w:type="dxa"/>
            <w:tcBorders>
              <w:top w:val="single" w:sz="4" w:space="0" w:color="auto"/>
              <w:left w:val="single" w:sz="4" w:space="0" w:color="auto"/>
            </w:tcBorders>
            <w:shd w:val="clear" w:color="auto" w:fill="FFFFFF"/>
          </w:tcPr>
          <w:p w:rsidR="00C214C9" w:rsidRDefault="00C214C9">
            <w:pPr>
              <w:framePr w:w="8218" w:h="9850" w:wrap="none" w:vAnchor="page" w:hAnchor="page" w:x="847" w:y="5699"/>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0,-Kč</w:t>
            </w:r>
          </w:p>
        </w:tc>
      </w:tr>
      <w:tr w:rsidR="00C214C9">
        <w:tblPrEx>
          <w:tblCellMar>
            <w:top w:w="0" w:type="dxa"/>
            <w:bottom w:w="0" w:type="dxa"/>
          </w:tblCellMar>
        </w:tblPrEx>
        <w:trPr>
          <w:trHeight w:hRule="exact" w:val="317"/>
        </w:trPr>
        <w:tc>
          <w:tcPr>
            <w:tcW w:w="5429"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pPr>
            <w:r>
              <w:rPr>
                <w:rStyle w:val="Bodytext21"/>
              </w:rPr>
              <w:t>Topení dle skutečnosti v závislosti na počasí</w:t>
            </w:r>
          </w:p>
        </w:tc>
        <w:tc>
          <w:tcPr>
            <w:tcW w:w="53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 xml:space="preserve">0 </w:t>
            </w:r>
            <w:r>
              <w:rPr>
                <w:rStyle w:val="Bodytext24pt"/>
              </w:rPr>
              <w:t>X</w:t>
            </w:r>
          </w:p>
        </w:tc>
        <w:tc>
          <w:tcPr>
            <w:tcW w:w="874"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66,00 Kč</w:t>
            </w:r>
          </w:p>
        </w:tc>
        <w:tc>
          <w:tcPr>
            <w:tcW w:w="403" w:type="dxa"/>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3</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1"/>
              </w:rPr>
              <w:t>0,- Kč</w:t>
            </w:r>
          </w:p>
        </w:tc>
      </w:tr>
      <w:tr w:rsidR="00C214C9">
        <w:tblPrEx>
          <w:tblCellMar>
            <w:top w:w="0" w:type="dxa"/>
            <w:bottom w:w="0" w:type="dxa"/>
          </w:tblCellMar>
        </w:tblPrEx>
        <w:trPr>
          <w:trHeight w:hRule="exact" w:val="317"/>
        </w:trPr>
        <w:tc>
          <w:tcPr>
            <w:tcW w:w="7239" w:type="dxa"/>
            <w:gridSpan w:val="4"/>
            <w:tcBorders>
              <w:top w:val="single" w:sz="4" w:space="0" w:color="auto"/>
              <w:lef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Celková cena</w:t>
            </w:r>
          </w:p>
        </w:tc>
        <w:tc>
          <w:tcPr>
            <w:tcW w:w="979" w:type="dxa"/>
            <w:tcBorders>
              <w:top w:val="single" w:sz="4" w:space="0" w:color="auto"/>
              <w:left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62 132,-Kč</w:t>
            </w:r>
          </w:p>
        </w:tc>
      </w:tr>
      <w:tr w:rsidR="00C214C9">
        <w:tblPrEx>
          <w:tblCellMar>
            <w:top w:w="0" w:type="dxa"/>
            <w:bottom w:w="0" w:type="dxa"/>
          </w:tblCellMar>
        </w:tblPrEx>
        <w:trPr>
          <w:trHeight w:hRule="exact" w:val="312"/>
        </w:trPr>
        <w:tc>
          <w:tcPr>
            <w:tcW w:w="7239" w:type="dxa"/>
            <w:gridSpan w:val="4"/>
            <w:tcBorders>
              <w:top w:val="single" w:sz="4" w:space="0" w:color="auto"/>
              <w:lef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Zaplacená záloha</w:t>
            </w:r>
          </w:p>
        </w:tc>
        <w:tc>
          <w:tcPr>
            <w:tcW w:w="979"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0,-Kč</w:t>
            </w:r>
          </w:p>
        </w:tc>
      </w:tr>
      <w:tr w:rsidR="00C214C9">
        <w:tblPrEx>
          <w:tblCellMar>
            <w:top w:w="0" w:type="dxa"/>
            <w:bottom w:w="0" w:type="dxa"/>
          </w:tblCellMar>
        </w:tblPrEx>
        <w:trPr>
          <w:trHeight w:hRule="exact" w:val="336"/>
        </w:trPr>
        <w:tc>
          <w:tcPr>
            <w:tcW w:w="7239" w:type="dxa"/>
            <w:gridSpan w:val="4"/>
            <w:tcBorders>
              <w:top w:val="single" w:sz="4" w:space="0" w:color="auto"/>
              <w:left w:val="single" w:sz="4" w:space="0" w:color="auto"/>
              <w:bottom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Zbývá doplatit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C214C9" w:rsidRDefault="00BB4A15">
            <w:pPr>
              <w:pStyle w:val="Bodytext20"/>
              <w:framePr w:w="8218" w:h="9850" w:wrap="none" w:vAnchor="page" w:hAnchor="page" w:x="847" w:y="5699"/>
              <w:shd w:val="clear" w:color="auto" w:fill="auto"/>
              <w:spacing w:before="0" w:after="0"/>
              <w:ind w:firstLine="0"/>
              <w:jc w:val="right"/>
            </w:pPr>
            <w:r>
              <w:rPr>
                <w:rStyle w:val="Bodytext2Bold0"/>
              </w:rPr>
              <w:t>62 132,-Kč</w:t>
            </w:r>
          </w:p>
        </w:tc>
      </w:tr>
    </w:tbl>
    <w:p w:rsidR="00C214C9" w:rsidRDefault="00BB4A15">
      <w:pPr>
        <w:pStyle w:val="Heading210"/>
        <w:framePr w:w="10094" w:h="610" w:hRule="exact" w:wrap="none" w:vAnchor="page" w:hAnchor="page" w:x="775" w:y="15712"/>
        <w:shd w:val="clear" w:color="auto" w:fill="auto"/>
        <w:spacing w:before="0" w:after="135"/>
      </w:pPr>
      <w:bookmarkStart w:id="2" w:name="bookmark2"/>
      <w:r>
        <w:rPr>
          <w:rStyle w:val="Heading211"/>
          <w:b/>
          <w:bCs/>
        </w:rPr>
        <w:t xml:space="preserve">SPECIÁLNÍ NABÍDKA </w:t>
      </w:r>
      <w:r>
        <w:rPr>
          <w:rStyle w:val="Heading211"/>
          <w:b/>
          <w:bCs/>
        </w:rPr>
        <w:t>PRO VÁS:</w:t>
      </w:r>
      <w:bookmarkEnd w:id="2"/>
    </w:p>
    <w:p w:rsidR="00C214C9" w:rsidRDefault="00BB4A15">
      <w:pPr>
        <w:pStyle w:val="Bodytext20"/>
        <w:framePr w:w="10094" w:h="610" w:hRule="exact" w:wrap="none" w:vAnchor="page" w:hAnchor="page" w:x="775" w:y="15712"/>
        <w:shd w:val="clear" w:color="auto" w:fill="auto"/>
        <w:spacing w:before="0" w:after="0"/>
        <w:ind w:firstLine="0"/>
      </w:pPr>
      <w:r>
        <w:t>sci.aspone.cz/Accomodation/FinancePrint.aspx?id=11973&amp;t=1</w:t>
      </w:r>
    </w:p>
    <w:p w:rsidR="00C214C9" w:rsidRDefault="00BB4A15">
      <w:pPr>
        <w:pStyle w:val="Bodytext20"/>
        <w:framePr w:wrap="none" w:vAnchor="page" w:hAnchor="page" w:x="10970" w:y="16096"/>
        <w:shd w:val="clear" w:color="auto" w:fill="auto"/>
        <w:spacing w:before="0" w:after="0"/>
        <w:ind w:firstLine="0"/>
      </w:pPr>
      <w:r>
        <w:t>1/5</w:t>
      </w:r>
    </w:p>
    <w:p w:rsidR="00C214C9" w:rsidRDefault="00C214C9">
      <w:pPr>
        <w:rPr>
          <w:sz w:val="2"/>
          <w:szCs w:val="2"/>
        </w:rPr>
        <w:sectPr w:rsidR="00C214C9">
          <w:pgSz w:w="11900" w:h="16840"/>
          <w:pgMar w:top="360" w:right="360" w:bottom="360" w:left="360" w:header="0" w:footer="3" w:gutter="0"/>
          <w:cols w:space="720"/>
          <w:noEndnote/>
          <w:docGrid w:linePitch="360"/>
        </w:sectPr>
      </w:pPr>
    </w:p>
    <w:p w:rsidR="00C214C9" w:rsidRDefault="00BB4A15">
      <w:pPr>
        <w:pStyle w:val="Headerorfooter10"/>
        <w:framePr w:wrap="none" w:vAnchor="page" w:hAnchor="page" w:x="852" w:y="696"/>
        <w:shd w:val="clear" w:color="auto" w:fill="auto"/>
      </w:pPr>
      <w:r>
        <w:lastRenderedPageBreak/>
        <w:t>25.04.22 12:18</w:t>
      </w:r>
    </w:p>
    <w:p w:rsidR="00C214C9" w:rsidRDefault="00BB4A15">
      <w:pPr>
        <w:pStyle w:val="Headerorfooter10"/>
        <w:framePr w:w="6830" w:h="202" w:hRule="exact" w:wrap="none" w:vAnchor="page" w:hAnchor="page" w:x="4188" w:y="701"/>
        <w:shd w:val="clear" w:color="auto" w:fill="auto"/>
      </w:pPr>
      <w:r>
        <w:t>Vyúčtování pobytu - ZŠ a MŠ Emy Destinnové</w:t>
      </w:r>
      <w:r>
        <w:t xml:space="preserve"> , dne 25.4.2022</w:t>
      </w:r>
    </w:p>
    <w:p w:rsidR="00C214C9" w:rsidRDefault="00BB4A15">
      <w:pPr>
        <w:pStyle w:val="Bodytext20"/>
        <w:framePr w:w="10373" w:h="676" w:hRule="exact" w:wrap="none" w:vAnchor="page" w:hAnchor="page" w:x="842" w:y="989"/>
        <w:shd w:val="clear" w:color="auto" w:fill="auto"/>
        <w:spacing w:before="0" w:after="0" w:line="216" w:lineRule="exact"/>
        <w:ind w:firstLine="0"/>
      </w:pPr>
      <w:r>
        <w:t xml:space="preserve">U nás se nudit nebudete! Pokud si objednáte pro Vaši skupinu některou z </w:t>
      </w:r>
      <w:r>
        <w:t>námi nabízených aktivit do týdne od obdržení tohoto emailu, pak na ni získáte zvýhodněnou cenu. Zvýhodněná cena na objednanou aktivitu platí, pokud se aktivity zúčastní minimálně 66% členů Vaší skupiny. V opačném případě Vám bude účtována cena pro ubytovan</w:t>
      </w:r>
      <w:r>
        <w:t>é hosty.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74"/>
        <w:gridCol w:w="2669"/>
        <w:gridCol w:w="1493"/>
      </w:tblGrid>
      <w:tr w:rsidR="00C214C9">
        <w:tblPrEx>
          <w:tblCellMar>
            <w:top w:w="0" w:type="dxa"/>
            <w:bottom w:w="0" w:type="dxa"/>
          </w:tblCellMar>
        </w:tblPrEx>
        <w:trPr>
          <w:trHeight w:hRule="exact" w:val="302"/>
        </w:trPr>
        <w:tc>
          <w:tcPr>
            <w:tcW w:w="1474"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both"/>
            </w:pPr>
            <w:r>
              <w:rPr>
                <w:rStyle w:val="Bodytext2Bold0"/>
              </w:rPr>
              <w:t>Aktivita</w:t>
            </w:r>
          </w:p>
        </w:tc>
        <w:tc>
          <w:tcPr>
            <w:tcW w:w="2669"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Bold0"/>
              </w:rPr>
              <w:t>Cena pro ubytované a jednotlivce</w:t>
            </w:r>
          </w:p>
        </w:tc>
        <w:tc>
          <w:tcPr>
            <w:tcW w:w="1493"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Bold0"/>
              </w:rPr>
              <w:t>Zvýhodněná cena</w:t>
            </w:r>
          </w:p>
        </w:tc>
      </w:tr>
      <w:tr w:rsidR="00C214C9">
        <w:tblPrEx>
          <w:tblCellMar>
            <w:top w:w="0" w:type="dxa"/>
            <w:bottom w:w="0" w:type="dxa"/>
          </w:tblCellMar>
        </w:tblPrEx>
        <w:trPr>
          <w:trHeight w:hRule="exact" w:val="509"/>
        </w:trPr>
        <w:tc>
          <w:tcPr>
            <w:tcW w:w="1474"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line="216" w:lineRule="exact"/>
              <w:ind w:firstLine="0"/>
              <w:jc w:val="both"/>
            </w:pPr>
            <w:r>
              <w:rPr>
                <w:rStyle w:val="Bodytext21"/>
              </w:rPr>
              <w:t>Areál vysokých lan neomezený vstup</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333</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199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lang w:val="en-US" w:eastAsia="en-US" w:bidi="en-US"/>
              </w:rPr>
              <w:t>Paintball</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249</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Horolezecká stěna</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249</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both"/>
            </w:pPr>
            <w:r>
              <w:rPr>
                <w:rStyle w:val="Bodytext21"/>
                <w:lang w:val="en-US" w:eastAsia="en-US" w:bidi="en-US"/>
              </w:rPr>
              <w:t>Bungee running</w:t>
            </w:r>
          </w:p>
        </w:tc>
        <w:tc>
          <w:tcPr>
            <w:tcW w:w="2669"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249</w:t>
            </w:r>
          </w:p>
        </w:tc>
        <w:tc>
          <w:tcPr>
            <w:tcW w:w="1493"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129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Kajaky</w:t>
            </w:r>
          </w:p>
        </w:tc>
        <w:tc>
          <w:tcPr>
            <w:tcW w:w="2669" w:type="dxa"/>
            <w:tcBorders>
              <w:top w:val="single" w:sz="4" w:space="0" w:color="auto"/>
              <w:lef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c>
          <w:tcPr>
            <w:tcW w:w="1493" w:type="dxa"/>
            <w:tcBorders>
              <w:top w:val="single" w:sz="4" w:space="0" w:color="auto"/>
              <w:left w:val="single" w:sz="4" w:space="0" w:color="auto"/>
              <w:right w:val="single" w:sz="4" w:space="0" w:color="auto"/>
            </w:tcBorders>
            <w:shd w:val="clear" w:color="auto" w:fill="FFFFFF"/>
            <w:vAlign w:val="bottom"/>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129</w:t>
            </w:r>
          </w:p>
        </w:tc>
      </w:tr>
      <w:tr w:rsidR="00C214C9">
        <w:tblPrEx>
          <w:tblCellMar>
            <w:top w:w="0" w:type="dxa"/>
            <w:bottom w:w="0" w:type="dxa"/>
          </w:tblCellMar>
        </w:tblPrEx>
        <w:trPr>
          <w:trHeight w:hRule="exact" w:val="293"/>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Cyklistická kola</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350</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199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Lukostřelba</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199</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Vzduchovky</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199</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r>
      <w:tr w:rsidR="00C214C9">
        <w:tblPrEx>
          <w:tblCellMar>
            <w:top w:w="0" w:type="dxa"/>
            <w:bottom w:w="0" w:type="dxa"/>
          </w:tblCellMar>
        </w:tblPrEx>
        <w:trPr>
          <w:trHeight w:hRule="exact" w:val="288"/>
        </w:trPr>
        <w:tc>
          <w:tcPr>
            <w:tcW w:w="1474"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Aquazorbing</w:t>
            </w:r>
          </w:p>
        </w:tc>
        <w:tc>
          <w:tcPr>
            <w:tcW w:w="2669" w:type="dxa"/>
            <w:tcBorders>
              <w:top w:val="single" w:sz="4" w:space="0" w:color="auto"/>
              <w:lef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149</w:t>
            </w:r>
          </w:p>
        </w:tc>
        <w:tc>
          <w:tcPr>
            <w:tcW w:w="1493" w:type="dxa"/>
            <w:tcBorders>
              <w:top w:val="single" w:sz="4" w:space="0" w:color="auto"/>
              <w:left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129</w:t>
            </w:r>
          </w:p>
        </w:tc>
      </w:tr>
      <w:tr w:rsidR="00C214C9">
        <w:tblPrEx>
          <w:tblCellMar>
            <w:top w:w="0" w:type="dxa"/>
            <w:bottom w:w="0" w:type="dxa"/>
          </w:tblCellMar>
        </w:tblPrEx>
        <w:trPr>
          <w:trHeight w:hRule="exact" w:val="302"/>
        </w:trPr>
        <w:tc>
          <w:tcPr>
            <w:tcW w:w="1474" w:type="dxa"/>
            <w:tcBorders>
              <w:top w:val="single" w:sz="4" w:space="0" w:color="auto"/>
              <w:left w:val="single" w:sz="4" w:space="0" w:color="auto"/>
              <w:bottom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both"/>
            </w:pPr>
            <w:r>
              <w:rPr>
                <w:rStyle w:val="Bodytext21"/>
              </w:rPr>
              <w:t>Koloběžky</w:t>
            </w:r>
          </w:p>
        </w:tc>
        <w:tc>
          <w:tcPr>
            <w:tcW w:w="2669" w:type="dxa"/>
            <w:tcBorders>
              <w:top w:val="single" w:sz="4" w:space="0" w:color="auto"/>
              <w:left w:val="single" w:sz="4" w:space="0" w:color="auto"/>
              <w:bottom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249</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C214C9" w:rsidRDefault="00BB4A15">
            <w:pPr>
              <w:pStyle w:val="Bodytext20"/>
              <w:framePr w:w="5635" w:h="3422" w:wrap="none" w:vAnchor="page" w:hAnchor="page" w:x="905" w:y="1800"/>
              <w:shd w:val="clear" w:color="auto" w:fill="auto"/>
              <w:spacing w:before="0" w:after="0"/>
              <w:ind w:firstLine="0"/>
              <w:jc w:val="right"/>
            </w:pPr>
            <w:r>
              <w:rPr>
                <w:rStyle w:val="Bodytext21"/>
              </w:rPr>
              <w:t>129</w:t>
            </w:r>
          </w:p>
        </w:tc>
      </w:tr>
    </w:tbl>
    <w:p w:rsidR="00C214C9" w:rsidRDefault="00BB4A15">
      <w:pPr>
        <w:pStyle w:val="Heading210"/>
        <w:framePr w:w="10373" w:h="9015" w:hRule="exact" w:wrap="none" w:vAnchor="page" w:hAnchor="page" w:x="842" w:y="5624"/>
        <w:shd w:val="clear" w:color="auto" w:fill="auto"/>
        <w:spacing w:before="0" w:after="195"/>
      </w:pPr>
      <w:bookmarkStart w:id="3" w:name="bookmark3"/>
      <w:r>
        <w:rPr>
          <w:rStyle w:val="Heading211"/>
          <w:b/>
          <w:bCs/>
        </w:rPr>
        <w:t>Informace pro Váš pobyt</w:t>
      </w:r>
      <w:bookmarkEnd w:id="3"/>
    </w:p>
    <w:p w:rsidR="00C214C9" w:rsidRDefault="00BB4A15">
      <w:pPr>
        <w:pStyle w:val="Bodytext20"/>
        <w:framePr w:w="10373" w:h="9015" w:hRule="exact" w:wrap="none" w:vAnchor="page" w:hAnchor="page" w:x="842" w:y="5624"/>
        <w:shd w:val="clear" w:color="auto" w:fill="auto"/>
        <w:spacing w:before="0" w:after="122"/>
        <w:ind w:firstLine="0"/>
      </w:pPr>
      <w:r>
        <w:t>Věnujte prosím pozornost přiložené zálohové faktuře. Teprve jejím zaplacením dojde k potvrzení rezervace z naší strany.</w:t>
      </w:r>
    </w:p>
    <w:p w:rsidR="00C214C9" w:rsidRDefault="00BB4A15">
      <w:pPr>
        <w:pStyle w:val="Bodytext20"/>
        <w:framePr w:w="10373" w:h="9015" w:hRule="exact" w:wrap="none" w:vAnchor="page" w:hAnchor="page" w:x="842" w:y="5624"/>
        <w:shd w:val="clear" w:color="auto" w:fill="auto"/>
        <w:spacing w:before="0" w:after="163" w:line="216" w:lineRule="exact"/>
        <w:ind w:firstLine="0"/>
      </w:pPr>
      <w:r>
        <w:t>Od 1.1.2016 všichni plátci DPH podávají tzv. kontrolní hlášení DPH. Kvůli tomu je dobré si zkontrolovat, jestli souhlasí Vaše fakturační údaje především aktuální DIČ, ať se nemusíte dohadovat se svým finančním úřadem. A pokud by bylo třeba DIČ upravit, dej</w:t>
      </w:r>
      <w:r>
        <w:t>te nám prosím včas vědět na emai</w:t>
      </w:r>
      <w:r>
        <w:rPr>
          <w:lang w:val="en-US" w:eastAsia="en-US" w:bidi="en-US"/>
        </w:rPr>
        <w:t xml:space="preserve">. </w:t>
      </w:r>
      <w:r>
        <w:t>Předem děkujeme!</w:t>
      </w:r>
    </w:p>
    <w:p w:rsidR="00C214C9" w:rsidRDefault="00BB4A15">
      <w:pPr>
        <w:pStyle w:val="Heading210"/>
        <w:framePr w:w="10373" w:h="9015" w:hRule="exact" w:wrap="none" w:vAnchor="page" w:hAnchor="page" w:x="842" w:y="5624"/>
        <w:shd w:val="clear" w:color="auto" w:fill="auto"/>
        <w:spacing w:before="0" w:after="161"/>
      </w:pPr>
      <w:bookmarkStart w:id="4" w:name="bookmark4"/>
      <w:r>
        <w:t>Konečný doplatek za pobyt bude hrazen v hotovosti ve Zbraslavicích.</w:t>
      </w:r>
      <w:bookmarkEnd w:id="4"/>
    </w:p>
    <w:p w:rsidR="00C214C9" w:rsidRDefault="00BB4A15">
      <w:pPr>
        <w:pStyle w:val="Bodytext20"/>
        <w:framePr w:w="10373" w:h="9015" w:hRule="exact" w:wrap="none" w:vAnchor="page" w:hAnchor="page" w:x="842" w:y="5624"/>
        <w:numPr>
          <w:ilvl w:val="0"/>
          <w:numId w:val="1"/>
        </w:numPr>
        <w:shd w:val="clear" w:color="auto" w:fill="auto"/>
        <w:tabs>
          <w:tab w:val="left" w:pos="244"/>
        </w:tabs>
        <w:spacing w:before="0" w:after="156" w:line="211" w:lineRule="exact"/>
        <w:ind w:firstLine="0"/>
      </w:pPr>
      <w:r>
        <w:t>našem sportovním areálu obklopeném ze všech stran přírodou je zpravidla o</w:t>
      </w:r>
      <w:r>
        <w:t xml:space="preserve"> 7°C méně než v Praze, jelikož se nachází na hranici Českomoravské vrchoviny. Je u nás tedy větší zima, ale rádi Vám za symbolickou cenu přitopíme i v letních měsících v závislosti na počasí.</w:t>
      </w:r>
    </w:p>
    <w:p w:rsidR="00C214C9" w:rsidRDefault="00BB4A15">
      <w:pPr>
        <w:pStyle w:val="Bodytext20"/>
        <w:framePr w:w="10373" w:h="9015" w:hRule="exact" w:wrap="none" w:vAnchor="page" w:hAnchor="page" w:x="842" w:y="5624"/>
        <w:shd w:val="clear" w:color="auto" w:fill="auto"/>
        <w:spacing w:before="0" w:after="160" w:line="216" w:lineRule="exact"/>
        <w:ind w:firstLine="0"/>
      </w:pPr>
      <w:r>
        <w:t>Ze společných prostor lze vytápět tělocvičny A, B, C, E a učebny</w:t>
      </w:r>
      <w:r>
        <w:t xml:space="preserve"> na budově Sport. Topení je zpoplatněno a bude uvedeno ve Vaší kalkulaci. V tělocvičně D vytápění není možné, proto doporučujeme její využití spíše v letní sezóně.</w:t>
      </w:r>
    </w:p>
    <w:p w:rsidR="00C214C9" w:rsidRDefault="00BB4A15">
      <w:pPr>
        <w:pStyle w:val="Bodytext20"/>
        <w:framePr w:w="10373" w:h="9015" w:hRule="exact" w:wrap="none" w:vAnchor="page" w:hAnchor="page" w:x="842" w:y="5624"/>
        <w:numPr>
          <w:ilvl w:val="0"/>
          <w:numId w:val="1"/>
        </w:numPr>
        <w:shd w:val="clear" w:color="auto" w:fill="auto"/>
        <w:tabs>
          <w:tab w:val="left" w:pos="244"/>
        </w:tabs>
        <w:spacing w:before="0" w:after="160" w:line="216" w:lineRule="exact"/>
        <w:ind w:firstLine="0"/>
      </w:pPr>
      <w:r>
        <w:t xml:space="preserve">ceně není zahrnuto případné parkovné 50,- Kč/auto/den (150,- Kč/autobus/den), ani příplatek </w:t>
      </w:r>
      <w:r>
        <w:t>za případné vytápění ubytovací kapacity ve výši 30,-Kč/os/den, obě tyto položky Vám v kalkulaci naúčtujeme dle skutečnosti. (Vytápěné budovy jsou Sport, hotelové apartmá (el. přímotopy) a domky Adam a Eva, (krbem na dřevo), ostatní - chatičky a srub vytápě</w:t>
      </w:r>
      <w:r>
        <w:t>né nejsou).</w:t>
      </w:r>
    </w:p>
    <w:p w:rsidR="00C214C9" w:rsidRDefault="00BB4A15">
      <w:pPr>
        <w:pStyle w:val="Bodytext20"/>
        <w:framePr w:w="10373" w:h="9015" w:hRule="exact" w:wrap="none" w:vAnchor="page" w:hAnchor="page" w:x="842" w:y="5624"/>
        <w:shd w:val="clear" w:color="auto" w:fill="auto"/>
        <w:spacing w:before="0" w:after="164" w:line="216" w:lineRule="exact"/>
        <w:ind w:firstLine="0"/>
      </w:pPr>
      <w:r>
        <w:t xml:space="preserve">Váš pobyt oficiálně začíná v den příjezdu v 16 hodin a od této doby budete mít k dispozici příslušný pokoj. Pokud přijedete před 16 hodinou a my již budeme mít připravený Váš pokoj, ubytujeme Vás dříve. Pokud pokoj ještě připraven nebude, a </w:t>
      </w:r>
      <w:r>
        <w:t>bude-li to v našich silách, poskytneme Vám uzamykatelný prostor pro uskladnění Vašich věcí.</w:t>
      </w:r>
    </w:p>
    <w:p w:rsidR="00C214C9" w:rsidRDefault="00BB4A15">
      <w:pPr>
        <w:pStyle w:val="Bodytext20"/>
        <w:framePr w:w="10373" w:h="9015" w:hRule="exact" w:wrap="none" w:vAnchor="page" w:hAnchor="page" w:x="842" w:y="5624"/>
        <w:shd w:val="clear" w:color="auto" w:fill="auto"/>
        <w:spacing w:before="0" w:after="156" w:line="211" w:lineRule="exact"/>
        <w:ind w:firstLine="0"/>
      </w:pPr>
      <w:r>
        <w:t>Pokud ve výjimečném případě potřebujete přijet po 19-té hodině, domluvte si tuto skutečnost hned při objednání pobytu, nebo na tel. recepce 734 259 343.</w:t>
      </w:r>
    </w:p>
    <w:p w:rsidR="00C214C9" w:rsidRDefault="00BB4A15">
      <w:pPr>
        <w:pStyle w:val="Bodytext20"/>
        <w:framePr w:w="10373" w:h="9015" w:hRule="exact" w:wrap="none" w:vAnchor="page" w:hAnchor="page" w:x="842" w:y="5624"/>
        <w:shd w:val="clear" w:color="auto" w:fill="auto"/>
        <w:spacing w:before="0" w:after="160" w:line="216" w:lineRule="exact"/>
        <w:ind w:firstLine="0"/>
      </w:pPr>
      <w:r>
        <w:t>Využijte vý</w:t>
      </w:r>
      <w:r>
        <w:t xml:space="preserve">hodné cestovní pojištění, které Vám můžeme zprostředkovat. Kryje pojištění v případě nemoci, stornopoplatky, odpovědnost za způsobené škody, a další rizika. Pojištění začíná již při odjezdu z Vašeho a končí po příjezdu z našeho areálu. Jedná se o cestovní </w:t>
      </w:r>
      <w:r>
        <w:t>pojištění uzavřené jednotlivými účastníky s pojišťovnou Kooperativa. Informujte se na aktuální limity!</w:t>
      </w:r>
    </w:p>
    <w:p w:rsidR="00C214C9" w:rsidRDefault="00BB4A15">
      <w:pPr>
        <w:pStyle w:val="Bodytext20"/>
        <w:framePr w:w="10373" w:h="9015" w:hRule="exact" w:wrap="none" w:vAnchor="page" w:hAnchor="page" w:x="842" w:y="5624"/>
        <w:shd w:val="clear" w:color="auto" w:fill="auto"/>
        <w:spacing w:before="0" w:after="160" w:line="216" w:lineRule="exact"/>
        <w:ind w:firstLine="0"/>
      </w:pPr>
      <w:r>
        <w:t>Stravu připravujeme z čerstvých surovin a nabídneme Vám ji formou jednotného menu. Chcete změnu jídelníčku? Zeptejte se nás na možnosti, které Vám nabídn</w:t>
      </w:r>
      <w:r>
        <w:t>eme za rozumný doplatek.</w:t>
      </w:r>
    </w:p>
    <w:p w:rsidR="00C214C9" w:rsidRDefault="00BB4A15">
      <w:pPr>
        <w:pStyle w:val="Bodytext20"/>
        <w:framePr w:w="10373" w:h="9015" w:hRule="exact" w:wrap="none" w:vAnchor="page" w:hAnchor="page" w:x="842" w:y="5624"/>
        <w:numPr>
          <w:ilvl w:val="0"/>
          <w:numId w:val="1"/>
        </w:numPr>
        <w:shd w:val="clear" w:color="auto" w:fill="auto"/>
        <w:tabs>
          <w:tab w:val="left" w:pos="250"/>
        </w:tabs>
        <w:spacing w:before="0" w:after="156" w:line="216" w:lineRule="exact"/>
        <w:ind w:firstLine="0"/>
      </w:pPr>
      <w:r>
        <w:t>případě běžné diety Vám zajistíme stravu bez jakéhokoliv příplatku. U náročnějších diet Vám uvaříme z Vámi přivezených surovin a to bez jakéhokoliv příplatku. Pro bezlepkovou dietu je nutné si přivést vlastní pečivo.</w:t>
      </w:r>
    </w:p>
    <w:p w:rsidR="00C214C9" w:rsidRDefault="00BB4A15">
      <w:pPr>
        <w:pStyle w:val="Bodytext20"/>
        <w:framePr w:w="10373" w:h="9015" w:hRule="exact" w:wrap="none" w:vAnchor="page" w:hAnchor="page" w:x="842" w:y="5624"/>
        <w:shd w:val="clear" w:color="auto" w:fill="auto"/>
        <w:spacing w:before="0" w:after="164" w:line="221" w:lineRule="exact"/>
        <w:ind w:firstLine="0"/>
      </w:pPr>
      <w:r>
        <w:t>Náš areál splň</w:t>
      </w:r>
      <w:r>
        <w:t>uje přísná hygienická kritéria a proto je vhodný i pro ubytování alergických dětí. Z tohoto důvodu je ubytování se psem či jiným zvířetem možné pouze v chatičkách a v budovách Adam či Eva. Do ostatních prostor je zvířatům vstup zakázán.</w:t>
      </w:r>
    </w:p>
    <w:p w:rsidR="00C214C9" w:rsidRDefault="00BB4A15">
      <w:pPr>
        <w:pStyle w:val="Bodytext20"/>
        <w:framePr w:w="10373" w:h="9015" w:hRule="exact" w:wrap="none" w:vAnchor="page" w:hAnchor="page" w:x="842" w:y="5624"/>
        <w:shd w:val="clear" w:color="auto" w:fill="auto"/>
        <w:spacing w:before="0" w:after="160" w:line="216" w:lineRule="exact"/>
        <w:ind w:firstLine="0"/>
      </w:pPr>
      <w:r>
        <w:t>Při Vašem pobytu si</w:t>
      </w:r>
      <w:r>
        <w:t xml:space="preserve"> můžete rezervovat tělocvičnu či učebnu a to na kterýkoliv den v týdnu v časovém rozmezí od 8 do 20 hodin za hodinovou sazbu 50-120 Kč dle velikosti tělocvičny. Mimo výše uvedené rezervační hodiny jsou prostory volně přístupné pro ostatní klienty a to zdar</w:t>
      </w:r>
      <w:r>
        <w:t>ma.</w:t>
      </w:r>
    </w:p>
    <w:p w:rsidR="00C214C9" w:rsidRDefault="00BB4A15">
      <w:pPr>
        <w:pStyle w:val="Bodytext20"/>
        <w:framePr w:w="10373" w:h="9015" w:hRule="exact" w:wrap="none" w:vAnchor="page" w:hAnchor="page" w:x="842" w:y="5624"/>
        <w:shd w:val="clear" w:color="auto" w:fill="auto"/>
        <w:spacing w:before="0" w:after="0" w:line="216" w:lineRule="exact"/>
        <w:ind w:firstLine="0"/>
      </w:pPr>
      <w:r>
        <w:t xml:space="preserve">Časté otázky a odpovědi jsou součástí webu </w:t>
      </w:r>
      <w:hyperlink r:id="rId8" w:history="1">
        <w:r>
          <w:rPr>
            <w:lang w:val="en-US" w:eastAsia="en-US" w:bidi="en-US"/>
          </w:rPr>
          <w:t>www.zbraslavice.eu</w:t>
        </w:r>
      </w:hyperlink>
      <w:r>
        <w:rPr>
          <w:lang w:val="en-US" w:eastAsia="en-US" w:bidi="en-US"/>
        </w:rPr>
        <w:t xml:space="preserve">. </w:t>
      </w:r>
      <w:r>
        <w:t>Zde najdete odpovědi na většinu otázek, které Vás napadly a také na ty, které Vás nenapadly. A samozřejmě mnoho dalších důležitých informací.</w:t>
      </w:r>
    </w:p>
    <w:p w:rsidR="00C214C9" w:rsidRDefault="00BB4A15">
      <w:pPr>
        <w:pStyle w:val="Heading210"/>
        <w:framePr w:w="10373" w:h="686" w:hRule="exact" w:wrap="none" w:vAnchor="page" w:hAnchor="page" w:x="842" w:y="14896"/>
        <w:shd w:val="clear" w:color="auto" w:fill="auto"/>
        <w:spacing w:before="0" w:after="0" w:line="317" w:lineRule="exact"/>
      </w:pPr>
      <w:bookmarkStart w:id="5" w:name="bookmark5"/>
      <w:r>
        <w:rPr>
          <w:rStyle w:val="Heading211"/>
          <w:b/>
          <w:bCs/>
        </w:rPr>
        <w:t>Všeobecné obchodní podmínky</w:t>
      </w:r>
      <w:bookmarkEnd w:id="5"/>
    </w:p>
    <w:p w:rsidR="00C214C9" w:rsidRDefault="00BB4A15">
      <w:pPr>
        <w:pStyle w:val="Heading310"/>
        <w:framePr w:w="10373" w:h="686" w:hRule="exact" w:wrap="none" w:vAnchor="page" w:hAnchor="page" w:x="842" w:y="14896"/>
        <w:numPr>
          <w:ilvl w:val="0"/>
          <w:numId w:val="2"/>
        </w:numPr>
        <w:shd w:val="clear" w:color="auto" w:fill="auto"/>
        <w:tabs>
          <w:tab w:val="left" w:pos="255"/>
        </w:tabs>
      </w:pPr>
      <w:bookmarkStart w:id="6" w:name="bookmark6"/>
      <w:r>
        <w:rPr>
          <w:rStyle w:val="Heading311"/>
          <w:b/>
          <w:bCs/>
        </w:rPr>
        <w:t>Úvodní ustanovení</w:t>
      </w:r>
      <w:bookmarkEnd w:id="6"/>
    </w:p>
    <w:p w:rsidR="00C214C9" w:rsidRDefault="00BB4A15">
      <w:pPr>
        <w:pStyle w:val="Headerorfooter10"/>
        <w:framePr w:wrap="none" w:vAnchor="page" w:hAnchor="page" w:x="790" w:y="16119"/>
        <w:shd w:val="clear" w:color="auto" w:fill="auto"/>
      </w:pPr>
      <w:r>
        <w:rPr>
          <w:lang w:val="en-US" w:eastAsia="en-US" w:bidi="en-US"/>
        </w:rPr>
        <w:t>sci.aspone.cz/Accomodation/FinancePrint.</w:t>
      </w:r>
      <w:r>
        <w:t>aspx?id=11973&amp;t=1</w:t>
      </w:r>
    </w:p>
    <w:p w:rsidR="00C214C9" w:rsidRDefault="00BB4A15">
      <w:pPr>
        <w:pStyle w:val="Headerorfooter10"/>
        <w:framePr w:wrap="none" w:vAnchor="page" w:hAnchor="page" w:x="10970" w:y="16104"/>
        <w:shd w:val="clear" w:color="auto" w:fill="auto"/>
      </w:pPr>
      <w:r>
        <w:t>2/5</w:t>
      </w:r>
    </w:p>
    <w:p w:rsidR="00C214C9" w:rsidRDefault="00C214C9">
      <w:pPr>
        <w:rPr>
          <w:sz w:val="2"/>
          <w:szCs w:val="2"/>
        </w:rPr>
        <w:sectPr w:rsidR="00C214C9">
          <w:pgSz w:w="11900" w:h="16840"/>
          <w:pgMar w:top="360" w:right="360" w:bottom="360" w:left="360" w:header="0" w:footer="3" w:gutter="0"/>
          <w:cols w:space="720"/>
          <w:noEndnote/>
          <w:docGrid w:linePitch="360"/>
        </w:sectPr>
      </w:pPr>
    </w:p>
    <w:p w:rsidR="00C214C9" w:rsidRDefault="00BB4A15">
      <w:pPr>
        <w:pStyle w:val="Bodytext20"/>
        <w:framePr w:wrap="none" w:vAnchor="page" w:hAnchor="page" w:x="857" w:y="752"/>
        <w:shd w:val="clear" w:color="auto" w:fill="auto"/>
        <w:spacing w:before="0" w:after="0"/>
        <w:ind w:firstLine="0"/>
      </w:pPr>
      <w:r>
        <w:lastRenderedPageBreak/>
        <w:t>25.04.22 12:18</w:t>
      </w:r>
    </w:p>
    <w:p w:rsidR="00C214C9" w:rsidRDefault="00BB4A15">
      <w:pPr>
        <w:pStyle w:val="Bodytext20"/>
        <w:framePr w:w="10392" w:h="15192" w:hRule="exact" w:wrap="none" w:vAnchor="page" w:hAnchor="page" w:x="837" w:y="756"/>
        <w:shd w:val="clear" w:color="auto" w:fill="auto"/>
        <w:spacing w:before="0" w:after="126"/>
        <w:ind w:left="3345" w:firstLine="0"/>
      </w:pPr>
      <w:r>
        <w:t>Vyúčtování pobytu - ZŠ a MŠ Emy Destinnové</w:t>
      </w:r>
      <w:r>
        <w:t xml:space="preserve"> , dne 25.4.2022</w:t>
      </w:r>
    </w:p>
    <w:p w:rsidR="00C214C9" w:rsidRDefault="00BB4A15">
      <w:pPr>
        <w:pStyle w:val="Bodytext20"/>
        <w:framePr w:w="10392" w:h="15192" w:hRule="exact" w:wrap="none" w:vAnchor="page" w:hAnchor="page" w:x="837" w:y="756"/>
        <w:shd w:val="clear" w:color="auto" w:fill="auto"/>
        <w:spacing w:before="0" w:after="195" w:line="211" w:lineRule="exact"/>
        <w:ind w:firstLine="0"/>
      </w:pPr>
      <w:r>
        <w:t xml:space="preserve">Společnost Rekreační areál </w:t>
      </w:r>
      <w:r>
        <w:t>Zbraslavice s.r.o., IČ: 09774939, se sídlem 285 21 Zbraslavice 255 (dále jen „provozovatel"), je provozovatelem Rekreačního areálu Zbraslavice, na adrese 285 21 Zbraslavice 255 (dále jen „ubytovací zařízení"). Předmětem podnikání provozovatele je mimo jiné</w:t>
      </w:r>
      <w:r>
        <w:t xml:space="preserve"> zajišťování ubytovacích a stravovacích služeb.</w:t>
      </w:r>
    </w:p>
    <w:p w:rsidR="00C214C9" w:rsidRDefault="00BB4A15">
      <w:pPr>
        <w:pStyle w:val="Heading310"/>
        <w:framePr w:w="10392" w:h="15192" w:hRule="exact" w:wrap="none" w:vAnchor="page" w:hAnchor="page" w:x="837" w:y="756"/>
        <w:numPr>
          <w:ilvl w:val="0"/>
          <w:numId w:val="2"/>
        </w:numPr>
        <w:shd w:val="clear" w:color="auto" w:fill="auto"/>
        <w:tabs>
          <w:tab w:val="left" w:pos="260"/>
        </w:tabs>
        <w:spacing w:after="122" w:line="168" w:lineRule="exact"/>
      </w:pPr>
      <w:bookmarkStart w:id="7" w:name="bookmark7"/>
      <w:r>
        <w:rPr>
          <w:rStyle w:val="Heading311"/>
          <w:b/>
          <w:bCs/>
        </w:rPr>
        <w:t>Účastník</w:t>
      </w:r>
      <w:bookmarkEnd w:id="7"/>
    </w:p>
    <w:p w:rsidR="00C214C9" w:rsidRDefault="00BB4A15">
      <w:pPr>
        <w:pStyle w:val="Bodytext20"/>
        <w:framePr w:w="10392" w:h="15192" w:hRule="exact" w:wrap="none" w:vAnchor="page" w:hAnchor="page" w:x="837" w:y="756"/>
        <w:shd w:val="clear" w:color="auto" w:fill="auto"/>
        <w:spacing w:before="0" w:after="198" w:line="216" w:lineRule="exact"/>
        <w:ind w:firstLine="0"/>
      </w:pPr>
      <w:r>
        <w:t>Účastníkem je fyzická či právnická osoba, která uzavřením smlouvy (dále jen „smlouva") vstupuje do smluvního vztahu s provozovatelem, jehož předmětem je poskytnutí ubytovacích a stravovacích služeb p</w:t>
      </w:r>
      <w:r>
        <w:t>ro jednu čí více osob v ubytovacím zařízení za sjednanou úplatu, jakož i zprostředkování či zajištění souvisejících plnění (dále jen „služba").</w:t>
      </w:r>
    </w:p>
    <w:p w:rsidR="00C214C9" w:rsidRDefault="00BB4A15">
      <w:pPr>
        <w:pStyle w:val="Heading310"/>
        <w:framePr w:w="10392" w:h="15192" w:hRule="exact" w:wrap="none" w:vAnchor="page" w:hAnchor="page" w:x="837" w:y="756"/>
        <w:numPr>
          <w:ilvl w:val="0"/>
          <w:numId w:val="2"/>
        </w:numPr>
        <w:shd w:val="clear" w:color="auto" w:fill="auto"/>
        <w:tabs>
          <w:tab w:val="left" w:pos="260"/>
        </w:tabs>
        <w:spacing w:after="122" w:line="168" w:lineRule="exact"/>
      </w:pPr>
      <w:bookmarkStart w:id="8" w:name="bookmark8"/>
      <w:r>
        <w:rPr>
          <w:rStyle w:val="Heading311"/>
          <w:b/>
          <w:bCs/>
        </w:rPr>
        <w:t>Vznik a změny smluvního vztahu</w:t>
      </w:r>
      <w:bookmarkEnd w:id="8"/>
    </w:p>
    <w:p w:rsidR="00C214C9" w:rsidRDefault="00BB4A15">
      <w:pPr>
        <w:pStyle w:val="Bodytext20"/>
        <w:framePr w:w="10392" w:h="15192" w:hRule="exact" w:wrap="none" w:vAnchor="page" w:hAnchor="page" w:x="837" w:y="756"/>
        <w:shd w:val="clear" w:color="auto" w:fill="auto"/>
        <w:spacing w:before="0" w:after="164" w:line="216" w:lineRule="exact"/>
        <w:ind w:firstLine="0"/>
      </w:pPr>
      <w:r>
        <w:t>Smluvní vztah mezi provozovatelem a účastníkem vzniká uzavřením smlouvy, a to pot</w:t>
      </w:r>
      <w:r>
        <w:t>vrzením Kalkulace pobytu účastníkem na základě a za podmínek uvedených v Kalkulaci pobytu (tj. provozovatelem akceptované objednávce) a těchto všeobecných obchodních podmínek.</w:t>
      </w:r>
    </w:p>
    <w:p w:rsidR="00C214C9" w:rsidRDefault="00BB4A15">
      <w:pPr>
        <w:pStyle w:val="Bodytext20"/>
        <w:framePr w:w="10392" w:h="15192" w:hRule="exact" w:wrap="none" w:vAnchor="page" w:hAnchor="page" w:x="837" w:y="756"/>
        <w:shd w:val="clear" w:color="auto" w:fill="auto"/>
        <w:spacing w:before="0" w:after="152" w:line="211" w:lineRule="exact"/>
        <w:ind w:firstLine="0"/>
      </w:pPr>
      <w:r>
        <w:t>Účastník požadavek na objednávku služby provede osobně, telefonicky, vyplněním o</w:t>
      </w:r>
      <w:r>
        <w:t xml:space="preserve">bjednávky na webových stránkách provozovatele </w:t>
      </w:r>
      <w:hyperlink r:id="rId9" w:history="1">
        <w:r>
          <w:rPr>
            <w:lang w:val="en-US" w:eastAsia="en-US" w:bidi="en-US"/>
          </w:rPr>
          <w:t>www.Zbraslavice.eu</w:t>
        </w:r>
      </w:hyperlink>
      <w:r>
        <w:rPr>
          <w:lang w:val="en-US" w:eastAsia="en-US" w:bidi="en-US"/>
        </w:rPr>
        <w:t xml:space="preserve">, </w:t>
      </w:r>
      <w:r>
        <w:t>e-mailem nebo písemně.</w:t>
      </w:r>
    </w:p>
    <w:p w:rsidR="00C214C9" w:rsidRDefault="00BB4A15">
      <w:pPr>
        <w:pStyle w:val="Bodytext20"/>
        <w:framePr w:w="10392" w:h="15192" w:hRule="exact" w:wrap="none" w:vAnchor="page" w:hAnchor="page" w:x="837" w:y="756"/>
        <w:shd w:val="clear" w:color="auto" w:fill="auto"/>
        <w:spacing w:before="0" w:after="202" w:line="221" w:lineRule="exact"/>
        <w:ind w:firstLine="0"/>
      </w:pPr>
      <w:r>
        <w:t xml:space="preserve">Za objednávku se považuje dostatečně určitý projev vůle směřující k uzavření smlouvy. Objednávka musí obsahovat alespoň </w:t>
      </w:r>
      <w:r>
        <w:t>specifikaci požadované služby, termín poskytnutí služby, počet osob, kterým bude služba poskytována, identifikaci objednatele (účastníka).</w:t>
      </w:r>
    </w:p>
    <w:p w:rsidR="00C214C9" w:rsidRDefault="00BB4A15">
      <w:pPr>
        <w:pStyle w:val="Bodytext20"/>
        <w:framePr w:w="10392" w:h="15192" w:hRule="exact" w:wrap="none" w:vAnchor="page" w:hAnchor="page" w:x="837" w:y="756"/>
        <w:shd w:val="clear" w:color="auto" w:fill="auto"/>
        <w:spacing w:before="0" w:after="122"/>
        <w:ind w:firstLine="0"/>
      </w:pPr>
      <w:r>
        <w:t>Provozovatel si vyhrazuje právo objednávku neakceptovat nebo akceptovat jen z části nebo za určitých podmínek.</w:t>
      </w:r>
    </w:p>
    <w:p w:rsidR="00C214C9" w:rsidRDefault="00BB4A15">
      <w:pPr>
        <w:pStyle w:val="Bodytext20"/>
        <w:framePr w:w="10392" w:h="15192" w:hRule="exact" w:wrap="none" w:vAnchor="page" w:hAnchor="page" w:x="837" w:y="756"/>
        <w:shd w:val="clear" w:color="auto" w:fill="auto"/>
        <w:spacing w:before="0" w:after="164" w:line="216" w:lineRule="exact"/>
        <w:ind w:firstLine="0"/>
      </w:pPr>
      <w:r>
        <w:t>Po dor</w:t>
      </w:r>
      <w:r>
        <w:t>učení objednávky potvrdí provozovatel účastníkovi její převzetí s vyjádřením, zda objednávku odmítá, akceptuje (dále jen „akceptace"), případně že objednávku akceptuje pouze z části nebo za určitých podmínek (dále jen „částečná akceptace"). Provozovatel ak</w:t>
      </w:r>
      <w:r>
        <w:t>ceptaci či částečnou akceptaci vyjadřuje formou zaslání tzv. Kalkulace pobytu, tj. souhrnu akceptované objednávky, která obsahuje specifikaci požadované služby, termín poskytnutí služby, počet osob, kterým bude služba poskytována, cenu za služby a splatnos</w:t>
      </w:r>
      <w:r>
        <w:t>t (dále jen „Kalkulace pobytu).</w:t>
      </w:r>
    </w:p>
    <w:p w:rsidR="00C214C9" w:rsidRDefault="00BB4A15">
      <w:pPr>
        <w:pStyle w:val="Bodytext20"/>
        <w:framePr w:w="10392" w:h="15192" w:hRule="exact" w:wrap="none" w:vAnchor="page" w:hAnchor="page" w:x="837" w:y="756"/>
        <w:shd w:val="clear" w:color="auto" w:fill="auto"/>
        <w:spacing w:before="0" w:after="156" w:line="211" w:lineRule="exact"/>
        <w:ind w:firstLine="0"/>
      </w:pPr>
      <w:r>
        <w:t xml:space="preserve">Účastník je povinen ve lhůtě 7-mi dnů ode dne doručení Kalkulace pobytu potvrdit Kalkulaci (svou objednávku v rozsahu akceptace resp. částečné akceptace), a to e-mailem či písemně. Pokud účastník Kalkulaci v uvedené lhůtě </w:t>
      </w:r>
      <w:r>
        <w:t>písemně či e-mailem nepotvrdí, je provozovatel oprávněn objednávku pobytu, která nebyla písemně či emailem potvrzena, kdykoliv odmítnout a odstoupit tak od smlouvy, a to i v případě, že tuto akceptoval, či přijal plnění.</w:t>
      </w:r>
    </w:p>
    <w:p w:rsidR="00C214C9" w:rsidRDefault="00BB4A15">
      <w:pPr>
        <w:pStyle w:val="Bodytext20"/>
        <w:framePr w:w="10392" w:h="15192" w:hRule="exact" w:wrap="none" w:vAnchor="page" w:hAnchor="page" w:x="837" w:y="756"/>
        <w:shd w:val="clear" w:color="auto" w:fill="auto"/>
        <w:spacing w:before="0" w:after="160" w:line="216" w:lineRule="exact"/>
        <w:ind w:firstLine="0"/>
      </w:pPr>
      <w:r>
        <w:t>Účastník potvrzením Kalkulace pobyt</w:t>
      </w:r>
      <w:r>
        <w:t xml:space="preserve">u stvrzuje, že se na webových stránkách provozovatele </w:t>
      </w:r>
      <w:hyperlink r:id="rId10" w:history="1">
        <w:r>
          <w:rPr>
            <w:lang w:val="en-US" w:eastAsia="en-US" w:bidi="en-US"/>
          </w:rPr>
          <w:t>www.zbraslavice.eu</w:t>
        </w:r>
      </w:hyperlink>
      <w:r>
        <w:rPr>
          <w:lang w:val="en-US" w:eastAsia="en-US" w:bidi="en-US"/>
        </w:rPr>
        <w:t xml:space="preserve"> </w:t>
      </w:r>
      <w:r>
        <w:t>důkladně seznámil s těmito obchodními podmínkami zveřejněnými pod odkazem informace, jakož i ceníkem zveřejněným pod odkazem Informace na uvede</w:t>
      </w:r>
      <w:r>
        <w:t>ných webových stránkách provozovatele (dále jen „ceník") a dále stvrzuje, že se důkladně seznámil s Kalkulací pobytu, a zavazuje se plnit sjednané povinnosti, zejm. uhradit zálohy a cenu za služby.</w:t>
      </w:r>
    </w:p>
    <w:p w:rsidR="00C214C9" w:rsidRDefault="00BB4A15">
      <w:pPr>
        <w:pStyle w:val="Bodytext20"/>
        <w:framePr w:w="10392" w:h="15192" w:hRule="exact" w:wrap="none" w:vAnchor="page" w:hAnchor="page" w:x="837" w:y="756"/>
        <w:numPr>
          <w:ilvl w:val="0"/>
          <w:numId w:val="1"/>
        </w:numPr>
        <w:shd w:val="clear" w:color="auto" w:fill="auto"/>
        <w:tabs>
          <w:tab w:val="left" w:pos="256"/>
        </w:tabs>
        <w:spacing w:before="0" w:after="164" w:line="216" w:lineRule="exact"/>
        <w:ind w:firstLine="0"/>
      </w:pPr>
      <w:r>
        <w:t>případě prodlení účastníka s úhradou faktury vystavené pro</w:t>
      </w:r>
      <w:r>
        <w:t>vozovatelem o dobu delší 5 dnů je provozovatel oprávněn od smlouvy odstoupit, účastník je v takovém případě současně povinen uhradit provozovateli stornopoplatek ve výši dle těchto všeobecných obchodních podmínek.</w:t>
      </w:r>
    </w:p>
    <w:p w:rsidR="00C214C9" w:rsidRDefault="00BB4A15">
      <w:pPr>
        <w:pStyle w:val="Bodytext20"/>
        <w:framePr w:w="10392" w:h="15192" w:hRule="exact" w:wrap="none" w:vAnchor="page" w:hAnchor="page" w:x="837" w:y="756"/>
        <w:shd w:val="clear" w:color="auto" w:fill="auto"/>
        <w:spacing w:before="0" w:after="160" w:line="211" w:lineRule="exact"/>
        <w:ind w:firstLine="0"/>
      </w:pPr>
      <w:r>
        <w:t>Písemně nebo e-mailem se mohou za podmínek</w:t>
      </w:r>
      <w:r>
        <w:t xml:space="preserve"> v těchto všeobecných obchodních podmínkách účastník a provozovatel domluvit na změně smlouvy.</w:t>
      </w:r>
    </w:p>
    <w:p w:rsidR="00C214C9" w:rsidRDefault="00BB4A15">
      <w:pPr>
        <w:pStyle w:val="Bodytext20"/>
        <w:framePr w:w="10392" w:h="15192" w:hRule="exact" w:wrap="none" w:vAnchor="page" w:hAnchor="page" w:x="837" w:y="756"/>
        <w:shd w:val="clear" w:color="auto" w:fill="auto"/>
        <w:spacing w:before="0" w:after="156" w:line="211" w:lineRule="exact"/>
        <w:ind w:firstLine="0"/>
      </w:pPr>
      <w:r>
        <w:t xml:space="preserve">Pokud změna spočívá v požadavku účastníka na zvýšení rozsahu poskytované služby, provozovatel akceptaci či částečnou akceptaci vyjadřuje formou zaslání upravené </w:t>
      </w:r>
      <w:r>
        <w:t>Kalkulace pobytu, která obsahuje mimo jiné novou specifikaci požadované služby a aktuální cenu a splatnost služby upravenou vzhledem ke změně rozsahu služby. Změna smlouvy je sjednána doručením upravené Kalkulace pobytu účastníkovi e-mailem nebo písemně.</w:t>
      </w:r>
    </w:p>
    <w:p w:rsidR="00C214C9" w:rsidRDefault="00BB4A15">
      <w:pPr>
        <w:pStyle w:val="Bodytext20"/>
        <w:framePr w:w="10392" w:h="15192" w:hRule="exact" w:wrap="none" w:vAnchor="page" w:hAnchor="page" w:x="837" w:y="756"/>
        <w:shd w:val="clear" w:color="auto" w:fill="auto"/>
        <w:spacing w:before="0" w:after="198" w:line="216" w:lineRule="exact"/>
        <w:ind w:firstLine="0"/>
      </w:pPr>
      <w:r>
        <w:t>P</w:t>
      </w:r>
      <w:r>
        <w:t>okud změna spočívá v omezení rozsahu poskytované služby účastníkem, považuje se taková změna vždy o jednostrannou změnu rozsahu služby odstoupením od smlouvy s povinností účastníka hradit odstupné za podmínek a ve výši dle čl. 6. těchto všeobecných obchodn</w:t>
      </w:r>
      <w:r>
        <w:t>ích podmínek, pokud se výslovně strany nedohodnou na změně výše odstupného.</w:t>
      </w:r>
    </w:p>
    <w:p w:rsidR="00C214C9" w:rsidRDefault="00BB4A15">
      <w:pPr>
        <w:pStyle w:val="Heading310"/>
        <w:framePr w:w="10392" w:h="15192" w:hRule="exact" w:wrap="none" w:vAnchor="page" w:hAnchor="page" w:x="837" w:y="756"/>
        <w:numPr>
          <w:ilvl w:val="0"/>
          <w:numId w:val="2"/>
        </w:numPr>
        <w:shd w:val="clear" w:color="auto" w:fill="auto"/>
        <w:tabs>
          <w:tab w:val="left" w:pos="270"/>
        </w:tabs>
        <w:spacing w:after="122" w:line="168" w:lineRule="exact"/>
      </w:pPr>
      <w:bookmarkStart w:id="9" w:name="bookmark9"/>
      <w:r>
        <w:rPr>
          <w:rStyle w:val="Heading311"/>
          <w:b/>
          <w:bCs/>
        </w:rPr>
        <w:t>Cena za službu a způsob úhrady</w:t>
      </w:r>
      <w:bookmarkEnd w:id="9"/>
    </w:p>
    <w:p w:rsidR="00C214C9" w:rsidRDefault="00BB4A15">
      <w:pPr>
        <w:pStyle w:val="Bodytext20"/>
        <w:framePr w:w="10392" w:h="15192" w:hRule="exact" w:wrap="none" w:vAnchor="page" w:hAnchor="page" w:x="837" w:y="756"/>
        <w:shd w:val="clear" w:color="auto" w:fill="auto"/>
        <w:spacing w:before="0" w:after="160" w:line="216" w:lineRule="exact"/>
        <w:ind w:firstLine="0"/>
      </w:pPr>
      <w:r>
        <w:t>Cena za službu je smluvní cenou sjednanou mezi účastníkem a provozovatelem v závislosti na rozsahu požadovaného plnění (služby) dle ceníku provozovat</w:t>
      </w:r>
      <w:r>
        <w:t>ele, případně akceptace či nabídky provozovatele, a to vždy ve výši dle aktuální Kalkulace pobytu.</w:t>
      </w:r>
    </w:p>
    <w:p w:rsidR="00C214C9" w:rsidRDefault="00BB4A15">
      <w:pPr>
        <w:pStyle w:val="Bodytext20"/>
        <w:framePr w:w="10392" w:h="15192" w:hRule="exact" w:wrap="none" w:vAnchor="page" w:hAnchor="page" w:x="837" w:y="756"/>
        <w:shd w:val="clear" w:color="auto" w:fill="auto"/>
        <w:spacing w:before="0" w:after="198" w:line="216" w:lineRule="exact"/>
        <w:ind w:firstLine="0"/>
      </w:pPr>
      <w:r>
        <w:t>Nárok na úhradu ceny vzniká provozovateli okamžikem uzavření smlouvy. Cena za službu je splatná a bude uhrazena dle daňového dokladu (faktury) vystavené prov</w:t>
      </w:r>
      <w:r>
        <w:t>ozovatelem zpravidla se splatností 14 dnů, a to na účet provozovatele.</w:t>
      </w:r>
    </w:p>
    <w:p w:rsidR="00C214C9" w:rsidRDefault="00BB4A15">
      <w:pPr>
        <w:pStyle w:val="Bodytext20"/>
        <w:framePr w:w="10392" w:h="15192" w:hRule="exact" w:wrap="none" w:vAnchor="page" w:hAnchor="page" w:x="837" w:y="756"/>
        <w:numPr>
          <w:ilvl w:val="0"/>
          <w:numId w:val="1"/>
        </w:numPr>
        <w:shd w:val="clear" w:color="auto" w:fill="auto"/>
        <w:tabs>
          <w:tab w:val="left" w:pos="256"/>
        </w:tabs>
        <w:spacing w:before="0" w:after="0"/>
        <w:ind w:firstLine="0"/>
      </w:pPr>
      <w:r>
        <w:t>případě, že účastník nevyžije objednanou službu, nevzniká mu nárok na vrácení plnění, není-li dále uvedeno nebo ujednáno jinak.</w:t>
      </w:r>
    </w:p>
    <w:p w:rsidR="00C214C9" w:rsidRDefault="00BB4A15">
      <w:pPr>
        <w:pStyle w:val="Bodytext20"/>
        <w:framePr w:w="10392" w:h="15192" w:hRule="exact" w:wrap="none" w:vAnchor="page" w:hAnchor="page" w:x="837" w:y="756"/>
        <w:shd w:val="clear" w:color="auto" w:fill="auto"/>
        <w:spacing w:before="0" w:after="0" w:line="370" w:lineRule="exact"/>
        <w:ind w:firstLine="0"/>
      </w:pPr>
      <w:r>
        <w:t xml:space="preserve">Účastník je oprávněn uhradit cenu za službu nebo její </w:t>
      </w:r>
      <w:r>
        <w:t>část i formou nákupu poukázky na službu.</w:t>
      </w:r>
    </w:p>
    <w:p w:rsidR="00C214C9" w:rsidRDefault="00BB4A15">
      <w:pPr>
        <w:pStyle w:val="Heading310"/>
        <w:framePr w:w="10392" w:h="15192" w:hRule="exact" w:wrap="none" w:vAnchor="page" w:hAnchor="page" w:x="837" w:y="756"/>
        <w:numPr>
          <w:ilvl w:val="0"/>
          <w:numId w:val="2"/>
        </w:numPr>
        <w:shd w:val="clear" w:color="auto" w:fill="auto"/>
        <w:tabs>
          <w:tab w:val="left" w:pos="270"/>
        </w:tabs>
        <w:spacing w:line="370" w:lineRule="exact"/>
      </w:pPr>
      <w:bookmarkStart w:id="10" w:name="bookmark10"/>
      <w:r>
        <w:rPr>
          <w:rStyle w:val="Heading311"/>
          <w:b/>
          <w:bCs/>
        </w:rPr>
        <w:t>Zrušení smlouvy ze strany provozovatele</w:t>
      </w:r>
      <w:bookmarkEnd w:id="10"/>
    </w:p>
    <w:p w:rsidR="00C214C9" w:rsidRDefault="00BB4A15">
      <w:pPr>
        <w:pStyle w:val="Bodytext20"/>
        <w:framePr w:w="10392" w:h="15192" w:hRule="exact" w:wrap="none" w:vAnchor="page" w:hAnchor="page" w:x="837" w:y="756"/>
        <w:shd w:val="clear" w:color="auto" w:fill="auto"/>
        <w:spacing w:before="0" w:after="156" w:line="211" w:lineRule="exact"/>
        <w:ind w:firstLine="0"/>
      </w:pPr>
      <w:r>
        <w:t>Provozovatel je oprávněn odstoupit od smlouvy a neposkytnout požadovanou službu, jestliže výlučně na jeho straně nastane okolnost, která mu podstatným způsobem ztěžuje či brán</w:t>
      </w:r>
      <w:r>
        <w:t>í ve splnění závazku, a to i v náhradním termínu,. V takovém případě provozovatel vrátí účastníkovi již poskytnutá plnění.</w:t>
      </w:r>
    </w:p>
    <w:p w:rsidR="00C214C9" w:rsidRDefault="00BB4A15">
      <w:pPr>
        <w:pStyle w:val="Bodytext20"/>
        <w:framePr w:w="10392" w:h="15192" w:hRule="exact" w:wrap="none" w:vAnchor="page" w:hAnchor="page" w:x="837" w:y="756"/>
        <w:numPr>
          <w:ilvl w:val="0"/>
          <w:numId w:val="1"/>
        </w:numPr>
        <w:shd w:val="clear" w:color="auto" w:fill="auto"/>
        <w:tabs>
          <w:tab w:val="left" w:pos="256"/>
        </w:tabs>
        <w:spacing w:before="0" w:after="198" w:line="216" w:lineRule="exact"/>
        <w:ind w:firstLine="0"/>
      </w:pPr>
      <w:r>
        <w:t>případě, že nastane objektivní okolnost (zejména zásah vyšší moci), která provozovateli podstatným způsobem ztěžuje či brání ve splně</w:t>
      </w:r>
      <w:r>
        <w:t>ní závazku, poskytne službu v náhradním termínu, případně dle svého uvážení odstoupí od smlouvy a vrátí poskytnuté plnění.</w:t>
      </w:r>
    </w:p>
    <w:p w:rsidR="00C214C9" w:rsidRDefault="00BB4A15">
      <w:pPr>
        <w:pStyle w:val="Heading310"/>
        <w:framePr w:w="10392" w:h="15192" w:hRule="exact" w:wrap="none" w:vAnchor="page" w:hAnchor="page" w:x="837" w:y="756"/>
        <w:numPr>
          <w:ilvl w:val="0"/>
          <w:numId w:val="2"/>
        </w:numPr>
        <w:shd w:val="clear" w:color="auto" w:fill="auto"/>
        <w:tabs>
          <w:tab w:val="left" w:pos="270"/>
        </w:tabs>
        <w:spacing w:line="168" w:lineRule="exact"/>
      </w:pPr>
      <w:bookmarkStart w:id="11" w:name="bookmark11"/>
      <w:r>
        <w:rPr>
          <w:rStyle w:val="Heading311"/>
          <w:b/>
          <w:bCs/>
        </w:rPr>
        <w:t>Zrušení smlouvy ze strany účastníka (stornopoplatky), změna smlouvy</w:t>
      </w:r>
      <w:bookmarkEnd w:id="11"/>
    </w:p>
    <w:p w:rsidR="00C214C9" w:rsidRDefault="00BB4A15">
      <w:pPr>
        <w:pStyle w:val="Headerorfooter10"/>
        <w:framePr w:wrap="none" w:vAnchor="page" w:hAnchor="page" w:x="789" w:y="16174"/>
        <w:shd w:val="clear" w:color="auto" w:fill="auto"/>
      </w:pPr>
      <w:r>
        <w:t>sci.</w:t>
      </w:r>
      <w:r>
        <w:rPr>
          <w:lang w:val="en-US" w:eastAsia="en-US" w:bidi="en-US"/>
        </w:rPr>
        <w:t>aspone.cz/Accomodation/FinancePrint.</w:t>
      </w:r>
      <w:r>
        <w:t>aspx?id=11973&amp;t=1</w:t>
      </w:r>
    </w:p>
    <w:p w:rsidR="00C214C9" w:rsidRDefault="00BB4A15">
      <w:pPr>
        <w:pStyle w:val="Headerorfooter10"/>
        <w:framePr w:wrap="none" w:vAnchor="page" w:hAnchor="page" w:x="10961" w:y="16164"/>
        <w:shd w:val="clear" w:color="auto" w:fill="auto"/>
      </w:pPr>
      <w:r>
        <w:t>3/5</w:t>
      </w:r>
    </w:p>
    <w:p w:rsidR="00C214C9" w:rsidRDefault="00C214C9">
      <w:pPr>
        <w:rPr>
          <w:sz w:val="2"/>
          <w:szCs w:val="2"/>
        </w:rPr>
        <w:sectPr w:rsidR="00C214C9">
          <w:pgSz w:w="11900" w:h="16840"/>
          <w:pgMar w:top="360" w:right="360" w:bottom="360" w:left="360" w:header="0" w:footer="3" w:gutter="0"/>
          <w:cols w:space="720"/>
          <w:noEndnote/>
          <w:docGrid w:linePitch="360"/>
        </w:sectPr>
      </w:pPr>
    </w:p>
    <w:p w:rsidR="00C214C9" w:rsidRDefault="00BB4A15">
      <w:pPr>
        <w:pStyle w:val="Bodytext20"/>
        <w:framePr w:wrap="none" w:vAnchor="page" w:hAnchor="page" w:x="847" w:y="752"/>
        <w:shd w:val="clear" w:color="auto" w:fill="auto"/>
        <w:spacing w:before="0" w:after="0"/>
        <w:ind w:firstLine="0"/>
      </w:pPr>
      <w:r>
        <w:lastRenderedPageBreak/>
        <w:t>25.04.22 12:18</w:t>
      </w:r>
    </w:p>
    <w:p w:rsidR="00C214C9" w:rsidRDefault="00BB4A15">
      <w:pPr>
        <w:pStyle w:val="Bodytext20"/>
        <w:framePr w:w="10402" w:h="14399" w:hRule="exact" w:wrap="none" w:vAnchor="page" w:hAnchor="page" w:x="833" w:y="756"/>
        <w:shd w:val="clear" w:color="auto" w:fill="auto"/>
        <w:spacing w:before="0" w:after="122"/>
        <w:ind w:left="3350" w:firstLine="0"/>
      </w:pPr>
      <w:r>
        <w:t>Vyúčtování pobytu - ZŠ a MŠ Emy Destinnové</w:t>
      </w:r>
      <w:r>
        <w:t xml:space="preserve"> , dne 25.4.2022</w:t>
      </w:r>
    </w:p>
    <w:p w:rsidR="00C214C9" w:rsidRDefault="00BB4A15">
      <w:pPr>
        <w:pStyle w:val="Bodytext20"/>
        <w:framePr w:w="10402" w:h="14399" w:hRule="exact" w:wrap="none" w:vAnchor="page" w:hAnchor="page" w:x="833" w:y="756"/>
        <w:shd w:val="clear" w:color="auto" w:fill="auto"/>
        <w:spacing w:before="0" w:after="160" w:line="216" w:lineRule="exact"/>
        <w:ind w:firstLine="0"/>
      </w:pPr>
      <w:r>
        <w:t>Účastník je oprávněn kdykoliv od smlouvy odstoupit písemným oznámením zaslaným doporučeně poštou provozovateli. Při odstoupení od smlouvy, byť</w:t>
      </w:r>
      <w:r>
        <w:t xml:space="preserve"> částečném, je zákazník povinen zaplatit odstupné ve výši zaplacené zálohy či určené procentem z ceny služby, které se odstoupení týká (dále jen „zrušená služba"), a tím nahradit újmu vzniklou provozovateli (dále jen „stomopoplatky") ve výši:</w:t>
      </w:r>
    </w:p>
    <w:p w:rsidR="00C214C9" w:rsidRDefault="00BB4A15">
      <w:pPr>
        <w:pStyle w:val="Bodytext20"/>
        <w:framePr w:w="10402" w:h="14399" w:hRule="exact" w:wrap="none" w:vAnchor="page" w:hAnchor="page" w:x="833" w:y="756"/>
        <w:numPr>
          <w:ilvl w:val="0"/>
          <w:numId w:val="3"/>
        </w:numPr>
        <w:shd w:val="clear" w:color="auto" w:fill="auto"/>
        <w:tabs>
          <w:tab w:val="left" w:pos="935"/>
        </w:tabs>
        <w:spacing w:before="0" w:after="0" w:line="216" w:lineRule="exact"/>
        <w:ind w:left="960"/>
      </w:pPr>
      <w:r>
        <w:t xml:space="preserve">při </w:t>
      </w:r>
      <w:r>
        <w:t>odstoupení kdykoliv do 61.dne před poskytnutím první sjednané služby náhradu ve výši zaplacené zálohy, minimálně však 20% z celkové ceny zrušené služby</w:t>
      </w:r>
    </w:p>
    <w:p w:rsidR="00C214C9" w:rsidRDefault="00BB4A15">
      <w:pPr>
        <w:pStyle w:val="Bodytext20"/>
        <w:framePr w:w="10402" w:h="14399" w:hRule="exact" w:wrap="none" w:vAnchor="page" w:hAnchor="page" w:x="833" w:y="756"/>
        <w:numPr>
          <w:ilvl w:val="0"/>
          <w:numId w:val="3"/>
        </w:numPr>
        <w:shd w:val="clear" w:color="auto" w:fill="auto"/>
        <w:tabs>
          <w:tab w:val="left" w:pos="935"/>
        </w:tabs>
        <w:spacing w:before="0" w:after="0" w:line="216" w:lineRule="exact"/>
        <w:ind w:left="960"/>
      </w:pPr>
      <w:r>
        <w:t xml:space="preserve">při odstoupení od 60 do 31 dnů před poskytnutím první sjednané služby náhradu ve výši zaplacené zálohy, </w:t>
      </w:r>
      <w:r>
        <w:t>minimálně však 50% z celkové ceny zrušené služby</w:t>
      </w:r>
    </w:p>
    <w:p w:rsidR="00C214C9" w:rsidRDefault="00BB4A15">
      <w:pPr>
        <w:pStyle w:val="Bodytext20"/>
        <w:framePr w:w="10402" w:h="14399" w:hRule="exact" w:wrap="none" w:vAnchor="page" w:hAnchor="page" w:x="833" w:y="756"/>
        <w:numPr>
          <w:ilvl w:val="0"/>
          <w:numId w:val="3"/>
        </w:numPr>
        <w:shd w:val="clear" w:color="auto" w:fill="auto"/>
        <w:tabs>
          <w:tab w:val="left" w:pos="935"/>
        </w:tabs>
        <w:spacing w:before="0" w:after="160" w:line="216" w:lineRule="exact"/>
        <w:ind w:left="960"/>
      </w:pPr>
      <w:r>
        <w:t>při odstoupení od 30 dnů před poskytnutím první sjednané služby nebo při nenastoupení na pobyt resp. nevyužití služby náhradu ve výši zaplacené zálohy, minimálně však 90% z celkové ceny zrušené služby</w:t>
      </w:r>
    </w:p>
    <w:p w:rsidR="00C214C9" w:rsidRDefault="00BB4A15">
      <w:pPr>
        <w:pStyle w:val="Bodytext20"/>
        <w:framePr w:w="10402" w:h="14399" w:hRule="exact" w:wrap="none" w:vAnchor="page" w:hAnchor="page" w:x="833" w:y="756"/>
        <w:shd w:val="clear" w:color="auto" w:fill="auto"/>
        <w:spacing w:before="0" w:after="160" w:line="216" w:lineRule="exact"/>
        <w:ind w:firstLine="0"/>
      </w:pPr>
      <w:r>
        <w:t>Stejné</w:t>
      </w:r>
      <w:r>
        <w:t xml:space="preserve"> odstupné (stornopoplatek) zaplatí účastník, odstoupí-li od smlouvy provozovatel z důvodu porušení povinnosti účastníka, zejm. v případě prodlení účastníka s úhradou zálohy.</w:t>
      </w:r>
    </w:p>
    <w:p w:rsidR="00C214C9" w:rsidRDefault="00BB4A15">
      <w:pPr>
        <w:pStyle w:val="Bodytext20"/>
        <w:framePr w:w="10402" w:h="14399" w:hRule="exact" w:wrap="none" w:vAnchor="page" w:hAnchor="page" w:x="833" w:y="756"/>
        <w:shd w:val="clear" w:color="auto" w:fill="auto"/>
        <w:spacing w:before="0" w:after="160" w:line="216" w:lineRule="exact"/>
        <w:ind w:firstLine="0"/>
      </w:pPr>
      <w:r>
        <w:t>Výše stornopoplatků je nastavena s ohledem na charakter poskytovaných služeb a dru</w:t>
      </w:r>
      <w:r>
        <w:t>h ubytovacího zařízení, když služby jsou klienty objednávány zpravidla s předstihem na další kalendářní rok a v případě zrušené služby méně, jak šest měsíců před plánovaným poskytnutím služby, se uvolněnou kapacitu nedaří již naplnit. Účastník je tedy sroz</w:t>
      </w:r>
      <w:r>
        <w:t>uměn s výší stornopoplatků a uzavřením smlouvy vyjadřuje souhlas.</w:t>
      </w:r>
    </w:p>
    <w:p w:rsidR="00C214C9" w:rsidRDefault="00BB4A15">
      <w:pPr>
        <w:pStyle w:val="Bodytext20"/>
        <w:framePr w:w="10402" w:h="14399" w:hRule="exact" w:wrap="none" w:vAnchor="page" w:hAnchor="page" w:x="833" w:y="756"/>
        <w:shd w:val="clear" w:color="auto" w:fill="auto"/>
        <w:spacing w:before="0" w:after="198" w:line="216" w:lineRule="exact"/>
        <w:ind w:firstLine="0"/>
        <w:jc w:val="both"/>
      </w:pPr>
      <w:r>
        <w:t>V případě, že účastník nevyužije sjednanou službu v plném rozsahu z důvodu, že v den zahájení pobytu (služby) nastane na straně osoby, která měla s objednatelem službu využívat, některá z vý</w:t>
      </w:r>
      <w:r>
        <w:t>slovně uvedených okolností zabraňující jí ve využití služby - následkem nemoci, úmrtí přímého příbuzného, náhlé hospitalizace účastníka, nástupu vojenské služby či karanténa, kterou prokáže písemným potvrzením, provozovatel v rozsahu nevyčerpaném účastníko</w:t>
      </w:r>
      <w:r>
        <w:t>vi nebude účtovat, ale vystaví potvrzení - poukázku na částku odpovídající poměrné část plnění za službu objednanou pro osobu, které ve využití služby brání některá z uvedených překážek. Takto vystavenou poukázku může oprávněná osoba využít do jednoho roku</w:t>
      </w:r>
      <w:r>
        <w:t xml:space="preserve"> ode dne vystavení poukázky. Zbývající část plnění za služby objednané účastníkem pro jiné osoby tímto ustanovením není dotčena.</w:t>
      </w:r>
    </w:p>
    <w:p w:rsidR="00C214C9" w:rsidRDefault="00BB4A15">
      <w:pPr>
        <w:pStyle w:val="Bodytext20"/>
        <w:framePr w:w="10402" w:h="14399" w:hRule="exact" w:wrap="none" w:vAnchor="page" w:hAnchor="page" w:x="833" w:y="756"/>
        <w:shd w:val="clear" w:color="auto" w:fill="auto"/>
        <w:spacing w:before="0" w:after="126"/>
        <w:ind w:firstLine="0"/>
      </w:pPr>
      <w:r>
        <w:t>Provozovatel nabízí možnost sjednání cestovního pojištění, které kryje i nevyužití služby z dalších důvodů.</w:t>
      </w:r>
    </w:p>
    <w:p w:rsidR="00C214C9" w:rsidRDefault="00BB4A15">
      <w:pPr>
        <w:pStyle w:val="Bodytext20"/>
        <w:framePr w:w="10402" w:h="14399" w:hRule="exact" w:wrap="none" w:vAnchor="page" w:hAnchor="page" w:x="833" w:y="756"/>
        <w:shd w:val="clear" w:color="auto" w:fill="auto"/>
        <w:spacing w:before="0" w:after="195" w:line="211" w:lineRule="exact"/>
        <w:ind w:firstLine="0"/>
      </w:pPr>
      <w:r>
        <w:t>Na žádost účastníka</w:t>
      </w:r>
      <w:r>
        <w:t xml:space="preserve"> se mohou smluvní strany dohodnout na změně smlouvy ohledně termínu plnění. V takovém případě bude provozovatel účtovat za provedenou změnu termínu částku ve výši 15% z ceny pobytu, nejméně však 500,-Kč, a pokud bude změna provedena na žádost účastníka dor</w:t>
      </w:r>
      <w:r>
        <w:t>učenou provozovateli méně než 8 kalendářních dnů před plánovaným zahájením služby, částku ve výši 20% z ceny pobytu, nejméně však 800,- Kč s DPH.</w:t>
      </w:r>
    </w:p>
    <w:p w:rsidR="00C214C9" w:rsidRDefault="00BB4A15">
      <w:pPr>
        <w:pStyle w:val="Heading310"/>
        <w:framePr w:w="10402" w:h="14399" w:hRule="exact" w:wrap="none" w:vAnchor="page" w:hAnchor="page" w:x="833" w:y="756"/>
        <w:numPr>
          <w:ilvl w:val="0"/>
          <w:numId w:val="2"/>
        </w:numPr>
        <w:shd w:val="clear" w:color="auto" w:fill="auto"/>
        <w:tabs>
          <w:tab w:val="left" w:pos="265"/>
        </w:tabs>
        <w:spacing w:after="160" w:line="168" w:lineRule="exact"/>
      </w:pPr>
      <w:bookmarkStart w:id="12" w:name="bookmark12"/>
      <w:r>
        <w:rPr>
          <w:rStyle w:val="Heading311"/>
          <w:b/>
          <w:bCs/>
        </w:rPr>
        <w:t>Práva a povinnosti účastníka</w:t>
      </w:r>
      <w:bookmarkEnd w:id="12"/>
    </w:p>
    <w:p w:rsidR="00C214C9" w:rsidRDefault="00BB4A15">
      <w:pPr>
        <w:pStyle w:val="Bodytext20"/>
        <w:framePr w:w="10402" w:h="14399" w:hRule="exact" w:wrap="none" w:vAnchor="page" w:hAnchor="page" w:x="833" w:y="756"/>
        <w:shd w:val="clear" w:color="auto" w:fill="auto"/>
        <w:spacing w:before="0" w:after="126"/>
        <w:ind w:firstLine="0"/>
      </w:pPr>
      <w:r>
        <w:t>Účastník je oprávněn využít služeb dle akceptované objednávky.</w:t>
      </w:r>
    </w:p>
    <w:p w:rsidR="00C214C9" w:rsidRDefault="00BB4A15">
      <w:pPr>
        <w:pStyle w:val="Bodytext20"/>
        <w:framePr w:w="10402" w:h="14399" w:hRule="exact" w:wrap="none" w:vAnchor="page" w:hAnchor="page" w:x="833" w:y="756"/>
        <w:shd w:val="clear" w:color="auto" w:fill="auto"/>
        <w:spacing w:before="0" w:after="156" w:line="211" w:lineRule="exact"/>
        <w:ind w:firstLine="0"/>
      </w:pPr>
      <w:r>
        <w:t>Účastník je povine</w:t>
      </w:r>
      <w:r>
        <w:t>n důkladně se seznámit s ubytovacím řádem ubytovacího zařízení, dodržovat povinnosti z něj vyplývající a seznámit osoby s ním nebo na základě jeho objednávky využívající službu (dále jen „ubytovaní“)s těmito povinnostmi, jakož i zajistit dodržování ubytova</w:t>
      </w:r>
      <w:r>
        <w:t>cího řádu uvedenými osobami.</w:t>
      </w:r>
    </w:p>
    <w:p w:rsidR="00C214C9" w:rsidRDefault="00BB4A15">
      <w:pPr>
        <w:pStyle w:val="Bodytext20"/>
        <w:framePr w:w="10402" w:h="14399" w:hRule="exact" w:wrap="none" w:vAnchor="page" w:hAnchor="page" w:x="833" w:y="756"/>
        <w:shd w:val="clear" w:color="auto" w:fill="auto"/>
        <w:spacing w:before="0" w:after="160" w:line="216" w:lineRule="exact"/>
        <w:ind w:firstLine="0"/>
      </w:pPr>
      <w:r>
        <w:t xml:space="preserve">Účastník předloží ubytovaným tzv. „GDPR informace" k podpisu na důkaz seznámení se a souhlasu s pravidly na ochranu osobních údajů v ubytovacím zařízení a nejpozději před poskytnutím služby předá provozovateli „GDPR informace" </w:t>
      </w:r>
      <w:r>
        <w:t>podepsané jednotlivými ubytovanými.</w:t>
      </w:r>
    </w:p>
    <w:p w:rsidR="00C214C9" w:rsidRDefault="00BB4A15">
      <w:pPr>
        <w:pStyle w:val="Bodytext20"/>
        <w:framePr w:w="10402" w:h="14399" w:hRule="exact" w:wrap="none" w:vAnchor="page" w:hAnchor="page" w:x="833" w:y="756"/>
        <w:shd w:val="clear" w:color="auto" w:fill="auto"/>
        <w:spacing w:before="0" w:after="198" w:line="216" w:lineRule="exact"/>
        <w:ind w:firstLine="0"/>
      </w:pPr>
      <w:r>
        <w:t>Účastník se zavazuje předcházet vzniku škod, zejména chránit majetek provozovatele před poškození. Účastník odpovídá za veškeré škody způsobené provozovateli ubytovanými i osobami, které s ubytovanými službu v ubytovacím</w:t>
      </w:r>
      <w:r>
        <w:t xml:space="preserve"> zařízení využívají.</w:t>
      </w:r>
    </w:p>
    <w:p w:rsidR="00C214C9" w:rsidRDefault="00BB4A15">
      <w:pPr>
        <w:pStyle w:val="Bodytext20"/>
        <w:framePr w:w="10402" w:h="14399" w:hRule="exact" w:wrap="none" w:vAnchor="page" w:hAnchor="page" w:x="833" w:y="756"/>
        <w:shd w:val="clear" w:color="auto" w:fill="auto"/>
        <w:spacing w:before="0" w:after="122"/>
        <w:ind w:firstLine="0"/>
      </w:pPr>
      <w:r>
        <w:t>Účastník bere na vědomí, že koupání v rybníce v areále ubytovacího zařízení je na vlastní nebezpečí.</w:t>
      </w:r>
    </w:p>
    <w:p w:rsidR="00C214C9" w:rsidRDefault="00BB4A15">
      <w:pPr>
        <w:pStyle w:val="Bodytext20"/>
        <w:framePr w:w="10402" w:h="14399" w:hRule="exact" w:wrap="none" w:vAnchor="page" w:hAnchor="page" w:x="833" w:y="756"/>
        <w:shd w:val="clear" w:color="auto" w:fill="auto"/>
        <w:spacing w:before="0" w:after="198" w:line="216" w:lineRule="exact"/>
        <w:ind w:firstLine="0"/>
      </w:pPr>
      <w:r>
        <w:t xml:space="preserve">Účastník i ubytovaní jsou povinny veškeré předměty vyšší hodnoty (tj. hodnoty nad 2000,- Kč), zejména cennosti, uložit přímo u </w:t>
      </w:r>
      <w:r>
        <w:t>poskytovatele, poskytovatel neodpovídá za škody vzniklé na věcech odložených, ani za jejich ztrátu či odcizení.</w:t>
      </w:r>
    </w:p>
    <w:p w:rsidR="00C214C9" w:rsidRDefault="00BB4A15">
      <w:pPr>
        <w:pStyle w:val="Heading310"/>
        <w:framePr w:w="10402" w:h="14399" w:hRule="exact" w:wrap="none" w:vAnchor="page" w:hAnchor="page" w:x="833" w:y="756"/>
        <w:numPr>
          <w:ilvl w:val="0"/>
          <w:numId w:val="2"/>
        </w:numPr>
        <w:shd w:val="clear" w:color="auto" w:fill="auto"/>
        <w:tabs>
          <w:tab w:val="left" w:pos="265"/>
        </w:tabs>
        <w:spacing w:after="122" w:line="168" w:lineRule="exact"/>
      </w:pPr>
      <w:bookmarkStart w:id="13" w:name="bookmark13"/>
      <w:r>
        <w:rPr>
          <w:rStyle w:val="Heading311"/>
          <w:b/>
          <w:bCs/>
        </w:rPr>
        <w:t>Závěrečná ustanovení</w:t>
      </w:r>
      <w:bookmarkEnd w:id="13"/>
    </w:p>
    <w:p w:rsidR="00C214C9" w:rsidRDefault="00BB4A15">
      <w:pPr>
        <w:pStyle w:val="Bodytext20"/>
        <w:framePr w:w="10402" w:h="14399" w:hRule="exact" w:wrap="none" w:vAnchor="page" w:hAnchor="page" w:x="833" w:y="756"/>
        <w:shd w:val="clear" w:color="auto" w:fill="auto"/>
        <w:spacing w:before="0" w:after="163" w:line="216" w:lineRule="exact"/>
        <w:ind w:firstLine="0"/>
      </w:pPr>
      <w:r>
        <w:t>Tyto všeobecné obchodní podmínky vstupují v účinnost dnem 1.1.2021. Pokračováním v písemné komunikaci stvrzuje účastník, že</w:t>
      </w:r>
      <w:r>
        <w:t xml:space="preserve"> se s nimi důkladně seznámil a s těmito souhlasí.</w:t>
      </w:r>
    </w:p>
    <w:p w:rsidR="00C214C9" w:rsidRDefault="00BB4A15">
      <w:pPr>
        <w:pStyle w:val="Heading210"/>
        <w:framePr w:w="10402" w:h="14399" w:hRule="exact" w:wrap="none" w:vAnchor="page" w:hAnchor="page" w:x="833" w:y="756"/>
        <w:shd w:val="clear" w:color="auto" w:fill="auto"/>
        <w:spacing w:before="0" w:after="30"/>
      </w:pPr>
      <w:bookmarkStart w:id="14" w:name="bookmark14"/>
      <w:r>
        <w:rPr>
          <w:rStyle w:val="Heading211"/>
          <w:b/>
          <w:bCs/>
        </w:rPr>
        <w:t>GDPR</w:t>
      </w:r>
      <w:bookmarkEnd w:id="14"/>
    </w:p>
    <w:p w:rsidR="00C214C9" w:rsidRDefault="00BB4A15">
      <w:pPr>
        <w:pStyle w:val="Bodytext20"/>
        <w:framePr w:w="10402" w:h="14399" w:hRule="exact" w:wrap="none" w:vAnchor="page" w:hAnchor="page" w:x="833" w:y="756"/>
        <w:shd w:val="clear" w:color="auto" w:fill="auto"/>
        <w:spacing w:before="0" w:after="0" w:line="374" w:lineRule="exact"/>
        <w:ind w:firstLine="0"/>
      </w:pPr>
      <w:r>
        <w:rPr>
          <w:rStyle w:val="Bodytext2Bold1"/>
        </w:rPr>
        <w:t xml:space="preserve">Důležitá informace zákazníkům </w:t>
      </w:r>
      <w:r>
        <w:t>Nová pravidla ochrany osobních údajů</w:t>
      </w:r>
    </w:p>
    <w:p w:rsidR="00C214C9" w:rsidRDefault="00BB4A15">
      <w:pPr>
        <w:pStyle w:val="Bodytext20"/>
        <w:framePr w:w="10402" w:h="14399" w:hRule="exact" w:wrap="none" w:vAnchor="page" w:hAnchor="page" w:x="833" w:y="756"/>
        <w:shd w:val="clear" w:color="auto" w:fill="auto"/>
        <w:spacing w:before="0" w:after="0" w:line="374" w:lineRule="exact"/>
        <w:ind w:firstLine="0"/>
      </w:pPr>
      <w:r>
        <w:t>Ode dne 25. května 2018 se ochrana osobních údajů fyzických osob v České republice řídí novými pravidly.</w:t>
      </w:r>
    </w:p>
    <w:p w:rsidR="00C214C9" w:rsidRDefault="00BB4A15">
      <w:pPr>
        <w:pStyle w:val="Bodytext20"/>
        <w:framePr w:w="10402" w:h="14399" w:hRule="exact" w:wrap="none" w:vAnchor="page" w:hAnchor="page" w:x="833" w:y="756"/>
        <w:shd w:val="clear" w:color="auto" w:fill="auto"/>
        <w:spacing w:before="0" w:after="164" w:line="216" w:lineRule="exact"/>
        <w:ind w:firstLine="0"/>
      </w:pPr>
      <w:r>
        <w:t xml:space="preserve">Tato nová pravidla vycházejí </w:t>
      </w:r>
      <w:r>
        <w:t>z evropské legislativy, konkrétně nařízení Evropského parlamentu a Rady(EU)2016/679 (obecného nařízení o ochraně osobních údajů, dále jen „Nařízení").</w:t>
      </w:r>
    </w:p>
    <w:p w:rsidR="00C214C9" w:rsidRDefault="00BB4A15">
      <w:pPr>
        <w:pStyle w:val="Bodytext20"/>
        <w:framePr w:w="10402" w:h="14399" w:hRule="exact" w:wrap="none" w:vAnchor="page" w:hAnchor="page" w:x="833" w:y="756"/>
        <w:shd w:val="clear" w:color="auto" w:fill="auto"/>
        <w:spacing w:before="0" w:after="0" w:line="211" w:lineRule="exact"/>
        <w:ind w:firstLine="0"/>
      </w:pPr>
      <w:r>
        <w:t>Vedle Nařízení bude nadále platná i novelizovaná česká legislativa týkající se specifických otázek ochran</w:t>
      </w:r>
      <w:r>
        <w:t>y osobních údajú(například nově připravovaný zákon o zpracování osobních údajů nebo dosud platný zákon č. 480/2004 Sb., o některých službách informační společnosti) neupravených Nařízením. Nařízení bude přímo použitelná v České republice a bude nově stanov</w:t>
      </w:r>
      <w:r>
        <w:t>ovat práva a povinnosti zejména dále uvedených subjektů:</w:t>
      </w:r>
    </w:p>
    <w:p w:rsidR="00C214C9" w:rsidRDefault="00BB4A15">
      <w:pPr>
        <w:pStyle w:val="Bodytext20"/>
        <w:framePr w:w="10402" w:h="446" w:hRule="exact" w:wrap="none" w:vAnchor="page" w:hAnchor="page" w:x="833" w:y="15296"/>
        <w:numPr>
          <w:ilvl w:val="0"/>
          <w:numId w:val="3"/>
        </w:numPr>
        <w:shd w:val="clear" w:color="auto" w:fill="auto"/>
        <w:tabs>
          <w:tab w:val="left" w:pos="935"/>
        </w:tabs>
        <w:spacing w:before="0" w:after="0"/>
        <w:ind w:left="960"/>
      </w:pPr>
      <w:r>
        <w:t>fyzických osob(tzv. subjektů, tedy nositelů údajů) - zákazníků</w:t>
      </w:r>
    </w:p>
    <w:p w:rsidR="00C214C9" w:rsidRDefault="00BB4A15">
      <w:pPr>
        <w:pStyle w:val="Bodytext20"/>
        <w:framePr w:w="10402" w:h="446" w:hRule="exact" w:wrap="none" w:vAnchor="page" w:hAnchor="page" w:x="833" w:y="15296"/>
        <w:numPr>
          <w:ilvl w:val="0"/>
          <w:numId w:val="3"/>
        </w:numPr>
        <w:shd w:val="clear" w:color="auto" w:fill="auto"/>
        <w:tabs>
          <w:tab w:val="left" w:pos="935"/>
        </w:tabs>
        <w:spacing w:before="0" w:after="0"/>
        <w:ind w:left="960"/>
      </w:pPr>
      <w:r>
        <w:t>správců - společnosti Rekreační areál Zbraslavice s.r.o. či dalších subjektů, které zpracovávají osobní údaje pro konkrétní účely a</w:t>
      </w:r>
    </w:p>
    <w:p w:rsidR="00C214C9" w:rsidRDefault="00BB4A15">
      <w:pPr>
        <w:pStyle w:val="Headerorfooter10"/>
        <w:framePr w:wrap="none" w:vAnchor="page" w:hAnchor="page" w:x="780" w:y="16169"/>
        <w:shd w:val="clear" w:color="auto" w:fill="auto"/>
      </w:pPr>
      <w:r>
        <w:t>sci.</w:t>
      </w:r>
      <w:r>
        <w:t>aspone.cz/Accomodation/FinancePrint.aspx?id=11973&amp;t=1</w:t>
      </w:r>
    </w:p>
    <w:p w:rsidR="00C214C9" w:rsidRDefault="00BB4A15">
      <w:pPr>
        <w:pStyle w:val="Headerorfooter10"/>
        <w:framePr w:wrap="none" w:vAnchor="page" w:hAnchor="page" w:x="10961" w:y="16159"/>
        <w:shd w:val="clear" w:color="auto" w:fill="auto"/>
      </w:pPr>
      <w:r>
        <w:t>4/5</w:t>
      </w:r>
    </w:p>
    <w:p w:rsidR="00C214C9" w:rsidRDefault="00C214C9">
      <w:pPr>
        <w:rPr>
          <w:sz w:val="2"/>
          <w:szCs w:val="2"/>
        </w:rPr>
        <w:sectPr w:rsidR="00C214C9">
          <w:pgSz w:w="11900" w:h="16840"/>
          <w:pgMar w:top="360" w:right="360" w:bottom="360" w:left="360" w:header="0" w:footer="3" w:gutter="0"/>
          <w:cols w:space="720"/>
          <w:noEndnote/>
          <w:docGrid w:linePitch="360"/>
        </w:sectPr>
      </w:pPr>
    </w:p>
    <w:p w:rsidR="00C214C9" w:rsidRDefault="00BB4A15">
      <w:pPr>
        <w:pStyle w:val="Headerorfooter10"/>
        <w:framePr w:wrap="none" w:vAnchor="page" w:hAnchor="page" w:x="833" w:y="519"/>
        <w:shd w:val="clear" w:color="auto" w:fill="auto"/>
      </w:pPr>
      <w:r>
        <w:lastRenderedPageBreak/>
        <w:t>25.04.22 12:18</w:t>
      </w:r>
    </w:p>
    <w:p w:rsidR="00C214C9" w:rsidRDefault="00BB4A15">
      <w:pPr>
        <w:pStyle w:val="Headerorfooter10"/>
        <w:framePr w:w="7042" w:h="202" w:hRule="exact" w:wrap="none" w:vAnchor="page" w:hAnchor="page" w:x="4164" w:y="523"/>
        <w:shd w:val="clear" w:color="auto" w:fill="auto"/>
      </w:pPr>
      <w:r>
        <w:t xml:space="preserve">Vyúčtování pobytu - ZŠ a MŠ Emy Destinnové </w:t>
      </w:r>
      <w:r>
        <w:t>, dne 25.4.2022</w:t>
      </w:r>
    </w:p>
    <w:p w:rsidR="00C214C9" w:rsidRDefault="00BB4A15">
      <w:pPr>
        <w:pStyle w:val="Bodytext20"/>
        <w:framePr w:w="10344" w:h="6534" w:hRule="exact" w:wrap="none" w:vAnchor="page" w:hAnchor="page" w:x="861" w:y="815"/>
        <w:shd w:val="clear" w:color="auto" w:fill="auto"/>
        <w:spacing w:before="0" w:after="156" w:line="211" w:lineRule="exact"/>
        <w:ind w:left="920" w:hanging="200"/>
      </w:pPr>
      <w:r>
        <w:t xml:space="preserve">• zpracovatelů - smluvních partnerů správců, kteří správcům z jejich pověření </w:t>
      </w:r>
      <w:r>
        <w:t>poskytují určité služby spojené se zpracováním osobních údajů.</w:t>
      </w:r>
    </w:p>
    <w:p w:rsidR="00C214C9" w:rsidRDefault="00BB4A15">
      <w:pPr>
        <w:pStyle w:val="Bodytext20"/>
        <w:framePr w:w="10344" w:h="6534" w:hRule="exact" w:wrap="none" w:vAnchor="page" w:hAnchor="page" w:x="861" w:y="815"/>
        <w:shd w:val="clear" w:color="auto" w:fill="auto"/>
        <w:spacing w:before="0" w:after="160" w:line="216" w:lineRule="exact"/>
        <w:ind w:firstLine="0"/>
      </w:pPr>
      <w:r>
        <w:t>Nařízení mimo jiné upravuje také podmínky, za nichž lze provádět tzv. přímý marketing(typicky zasílání nabídek zboží a služeb zákazníkům). Nařízení zachovává možnost zpracovávat osobní údaje zá</w:t>
      </w:r>
      <w:r>
        <w:t>kazníků pro účely přímého marketingu na základě oprávněného zájmu správce. To znamená, že správce je oprávněn na e-mailové adresy a telefonní čísla získaná od svých zákazníků zasílat svoji marketingovou komunikaci s nabídkou zboží a služeb, pokud lze důvod</w:t>
      </w:r>
      <w:r>
        <w:t>ně očekávat, že zákazníci věděli, že ke zpracování jejich osobních údajů může pro tyto účely dojít: jde současně o situaci, kdy zákazníci ke zpracování těchto osobních údajů pro účely marketingu nedali svůj výslovný souhlas. Správce samozřejmě musí při tét</w:t>
      </w:r>
      <w:r>
        <w:t>o své činnosti vždy dodržet i další platné právní předpisy týkající se zasílání obchodních sdělení (např. výše zmíněný zákon č. 480/2004 ve vztahu k obchodním sdělením zasílaným elektronickými prostředky).</w:t>
      </w:r>
    </w:p>
    <w:p w:rsidR="00C214C9" w:rsidRDefault="00BB4A15">
      <w:pPr>
        <w:pStyle w:val="Bodytext20"/>
        <w:framePr w:w="10344" w:h="6534" w:hRule="exact" w:wrap="none" w:vAnchor="page" w:hAnchor="page" w:x="861" w:y="815"/>
        <w:shd w:val="clear" w:color="auto" w:fill="auto"/>
        <w:spacing w:before="0" w:after="160" w:line="216" w:lineRule="exact"/>
        <w:ind w:firstLine="0"/>
      </w:pPr>
      <w:r>
        <w:t>Naše společnost dosud prováděla zpracovávání vašic</w:t>
      </w:r>
      <w:r>
        <w:t>h osobních údajů v rozsahu e-mailové adresy a/nebo telefonního čísla za účelem informování o našich produktech, službách či novinkách apod. (dále jen „Osobní údaje pro účely přímého marketingu") na základě oprávněného zájmu a v souladu s platnou legislativ</w:t>
      </w:r>
      <w:r>
        <w:t>ou, případně na základě vámi uděleného souhlasu.</w:t>
      </w:r>
    </w:p>
    <w:p w:rsidR="00C214C9" w:rsidRDefault="00BB4A15">
      <w:pPr>
        <w:pStyle w:val="Bodytext20"/>
        <w:framePr w:w="10344" w:h="6534" w:hRule="exact" w:wrap="none" w:vAnchor="page" w:hAnchor="page" w:x="861" w:y="815"/>
        <w:shd w:val="clear" w:color="auto" w:fill="auto"/>
        <w:spacing w:before="0" w:after="160" w:line="216" w:lineRule="exact"/>
        <w:ind w:firstLine="0"/>
      </w:pPr>
      <w:r>
        <w:t>Ceníme si důvěry našich zákazníků, a proto vás chceme informovat, že vaše Osobní údaje pro účely přímého marketingu budeme za účelem přímého marketingu i nadále, tj. i po nabytí účinnosti Nařízení, a tedy po</w:t>
      </w:r>
      <w:r>
        <w:t xml:space="preserve"> 25. květnu 2018, zpracovávat na základě výše uvedeného oprávněného zájmu naší společnosti. Základem tohoto oprávněného zájmu je snaha o poskytování nabídky zboží a služeb naším zákazníkům v nejvyšší možné kvalitě a zlepšování našeho zákaznického vztahu s </w:t>
      </w:r>
      <w:r>
        <w:t>vámi.</w:t>
      </w:r>
    </w:p>
    <w:p w:rsidR="00C214C9" w:rsidRDefault="00BB4A15">
      <w:pPr>
        <w:pStyle w:val="Bodytext20"/>
        <w:framePr w:w="10344" w:h="6534" w:hRule="exact" w:wrap="none" w:vAnchor="page" w:hAnchor="page" w:x="861" w:y="815"/>
        <w:shd w:val="clear" w:color="auto" w:fill="auto"/>
        <w:spacing w:before="0" w:after="160" w:line="216" w:lineRule="exact"/>
        <w:ind w:firstLine="0"/>
        <w:jc w:val="both"/>
      </w:pPr>
      <w:r>
        <w:t>Ke zpracovávání osobních údajů pro účely přímého marketingu nebude docházet v případě, že jste kdykoliv v průběhu zpracování vznesli námitku proti zpracovávání osobních údajů pro účely marketingu, nebo v případě, že určitý druh zpracování osobních úd</w:t>
      </w:r>
      <w:r>
        <w:t>ajů pro účely přímého marketingu podléhá vašemu souhlasu a vy jste nám tento souhlas neposkytli nebo jste jej kdykoli v průběhu zpracování odvolali.</w:t>
      </w:r>
    </w:p>
    <w:p w:rsidR="00C214C9" w:rsidRDefault="00BB4A15">
      <w:pPr>
        <w:pStyle w:val="Bodytext20"/>
        <w:framePr w:w="10344" w:h="6534" w:hRule="exact" w:wrap="none" w:vAnchor="page" w:hAnchor="page" w:x="861" w:y="815"/>
        <w:shd w:val="clear" w:color="auto" w:fill="auto"/>
        <w:spacing w:before="0" w:after="160" w:line="216" w:lineRule="exact"/>
        <w:ind w:firstLine="0"/>
      </w:pPr>
      <w:r>
        <w:t>Na ochranu osobních údajů byl společnosti Rekreační areál Zbraslavice s.r.o. vždy kladen velký důraz. I z t</w:t>
      </w:r>
      <w:r>
        <w:t>ohoto důvodu se naše společnost důsledně připravila na novou legislativu, včetně revize a přípravy nové zákaznické dokumentace.</w:t>
      </w:r>
    </w:p>
    <w:p w:rsidR="00C214C9" w:rsidRDefault="00BB4A15">
      <w:pPr>
        <w:pStyle w:val="Bodytext20"/>
        <w:framePr w:w="10344" w:h="6534" w:hRule="exact" w:wrap="none" w:vAnchor="page" w:hAnchor="page" w:x="861" w:y="815"/>
        <w:shd w:val="clear" w:color="auto" w:fill="auto"/>
        <w:spacing w:before="0" w:after="198" w:line="216" w:lineRule="exact"/>
        <w:ind w:firstLine="0"/>
      </w:pPr>
      <w:r>
        <w:t>Závěrem nám dovolte vám poděkovat za vaši dosavadní přízeň a spolupráci a pevně věříme, že budete tyto informace o nových pravid</w:t>
      </w:r>
      <w:r>
        <w:t>lech ochrany osobních údajů považovat za přínosné a že Vám pomohou se lépe a snadněji v těchto pravidlech orientovat. V případě jakýchkoli dotazů nás můžete kontaktovat přes níže uvedený formulář nebo na emailu</w:t>
      </w:r>
      <w:bookmarkStart w:id="15" w:name="_GoBack"/>
      <w:bookmarkEnd w:id="15"/>
    </w:p>
    <w:p w:rsidR="00C214C9" w:rsidRDefault="00BB4A15">
      <w:pPr>
        <w:pStyle w:val="Bodytext20"/>
        <w:framePr w:w="10344" w:h="6534" w:hRule="exact" w:wrap="none" w:vAnchor="page" w:hAnchor="page" w:x="861" w:y="815"/>
        <w:shd w:val="clear" w:color="auto" w:fill="auto"/>
        <w:spacing w:before="0" w:after="0"/>
        <w:ind w:firstLine="0"/>
      </w:pPr>
      <w:r>
        <w:t>Rekreační areál Zbraslavice s.r.o., IČ: 09774939, se sídlem 285 21 Zbraslavice 255</w:t>
      </w:r>
    </w:p>
    <w:p w:rsidR="00C214C9" w:rsidRDefault="00BB4A15">
      <w:pPr>
        <w:pStyle w:val="Headerorfooter10"/>
        <w:framePr w:wrap="none" w:vAnchor="page" w:hAnchor="page" w:x="770" w:y="15942"/>
        <w:shd w:val="clear" w:color="auto" w:fill="auto"/>
      </w:pPr>
      <w:r>
        <w:t>sci.aspone.cz/Accomodation/FinancePrint.aspx?id=11973&amp;t=1</w:t>
      </w:r>
    </w:p>
    <w:p w:rsidR="00C214C9" w:rsidRDefault="00BB4A15">
      <w:pPr>
        <w:pStyle w:val="Headerorfooter10"/>
        <w:framePr w:wrap="none" w:vAnchor="page" w:hAnchor="page" w:x="10937" w:y="15927"/>
        <w:shd w:val="clear" w:color="auto" w:fill="auto"/>
      </w:pPr>
      <w:r>
        <w:t>5/5</w:t>
      </w:r>
    </w:p>
    <w:p w:rsidR="00C214C9" w:rsidRDefault="00C214C9">
      <w:pPr>
        <w:rPr>
          <w:sz w:val="2"/>
          <w:szCs w:val="2"/>
        </w:rPr>
      </w:pPr>
    </w:p>
    <w:sectPr w:rsidR="00C214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4A15">
      <w:r>
        <w:separator/>
      </w:r>
    </w:p>
  </w:endnote>
  <w:endnote w:type="continuationSeparator" w:id="0">
    <w:p w:rsidR="00000000" w:rsidRDefault="00BB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C9" w:rsidRDefault="00C214C9"/>
  </w:footnote>
  <w:footnote w:type="continuationSeparator" w:id="0">
    <w:p w:rsidR="00C214C9" w:rsidRDefault="00C214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E8"/>
    <w:multiLevelType w:val="multilevel"/>
    <w:tmpl w:val="3F004FD0"/>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438BC"/>
    <w:multiLevelType w:val="multilevel"/>
    <w:tmpl w:val="9084A2B6"/>
    <w:lvl w:ilvl="0">
      <w:start w:val="1"/>
      <w:numFmt w:val="decimal"/>
      <w:lvlText w:val="%1."/>
      <w:lvlJc w:val="left"/>
      <w:rPr>
        <w:rFonts w:ascii="Arial" w:eastAsia="Arial" w:hAnsi="Arial" w:cs="Arial"/>
        <w:b/>
        <w:bCs/>
        <w:i w:val="0"/>
        <w:iCs w:val="0"/>
        <w:smallCaps w:val="0"/>
        <w:strike w:val="0"/>
        <w:color w:val="CA4E55"/>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C71B8"/>
    <w:multiLevelType w:val="multilevel"/>
    <w:tmpl w:val="BDA4E47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214C9"/>
    <w:rsid w:val="00BB4A15"/>
    <w:rsid w:val="00C21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034D"/>
  <w15:docId w15:val="{6521653F-234B-44A0-B1D7-1ABA1582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5"/>
      <w:szCs w:val="15"/>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9"/>
      <w:szCs w:val="19"/>
      <w:u w:val="none"/>
    </w:rPr>
  </w:style>
  <w:style w:type="character" w:customStyle="1" w:styleId="Heading211">
    <w:name w:val="Heading #2|1"/>
    <w:basedOn w:val="Heading21"/>
    <w:semiHidden/>
    <w:unhideWhenUsed/>
    <w:rPr>
      <w:rFonts w:ascii="Arial" w:eastAsia="Arial" w:hAnsi="Arial" w:cs="Arial"/>
      <w:b/>
      <w:bCs/>
      <w:i w:val="0"/>
      <w:iCs w:val="0"/>
      <w:smallCaps w:val="0"/>
      <w:strike w:val="0"/>
      <w:color w:val="CA4E55"/>
      <w:spacing w:val="0"/>
      <w:w w:val="100"/>
      <w:position w:val="0"/>
      <w:sz w:val="19"/>
      <w:szCs w:val="19"/>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3">
    <w:name w:val="Body text|3_"/>
    <w:basedOn w:val="Standardnpsmoodstavce"/>
    <w:link w:val="Bodytext30"/>
    <w:rPr>
      <w:rFonts w:ascii="Arial" w:eastAsia="Arial" w:hAnsi="Arial" w:cs="Arial"/>
      <w:b/>
      <w:bCs/>
      <w:i w:val="0"/>
      <w:iCs w:val="0"/>
      <w:smallCaps w:val="0"/>
      <w:strike w:val="0"/>
      <w:sz w:val="15"/>
      <w:szCs w:val="15"/>
      <w:u w:val="none"/>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4pt">
    <w:name w:val="Body text|2 + 4 pt"/>
    <w:basedOn w:val="Bodytext2"/>
    <w:semiHidden/>
    <w:unhideWhenUsed/>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15"/>
      <w:szCs w:val="15"/>
      <w:u w:val="none"/>
    </w:rPr>
  </w:style>
  <w:style w:type="character" w:customStyle="1" w:styleId="Heading311">
    <w:name w:val="Heading #3|1"/>
    <w:basedOn w:val="Heading31"/>
    <w:semiHidden/>
    <w:unhideWhenUsed/>
    <w:rPr>
      <w:rFonts w:ascii="Arial" w:eastAsia="Arial" w:hAnsi="Arial" w:cs="Arial"/>
      <w:b/>
      <w:bCs/>
      <w:i w:val="0"/>
      <w:iCs w:val="0"/>
      <w:smallCaps w:val="0"/>
      <w:strike w:val="0"/>
      <w:color w:val="CA4E55"/>
      <w:spacing w:val="0"/>
      <w:w w:val="100"/>
      <w:position w:val="0"/>
      <w:sz w:val="15"/>
      <w:szCs w:val="15"/>
      <w:u w:val="none"/>
      <w:lang w:val="cs-CZ" w:eastAsia="cs-CZ" w:bidi="cs-CZ"/>
    </w:rPr>
  </w:style>
  <w:style w:type="character" w:customStyle="1" w:styleId="Bodytext2Bold1">
    <w:name w:val="Body text|2 + Bold"/>
    <w:basedOn w:val="Bodytext2"/>
    <w:semiHidden/>
    <w:unhideWhenUsed/>
    <w:rPr>
      <w:rFonts w:ascii="Arial" w:eastAsia="Arial" w:hAnsi="Arial" w:cs="Arial"/>
      <w:b/>
      <w:bCs/>
      <w:i w:val="0"/>
      <w:iCs w:val="0"/>
      <w:smallCaps w:val="0"/>
      <w:strike w:val="0"/>
      <w:color w:val="CA4E55"/>
      <w:spacing w:val="0"/>
      <w:w w:val="100"/>
      <w:position w:val="0"/>
      <w:sz w:val="15"/>
      <w:szCs w:val="15"/>
      <w:u w:val="none"/>
      <w:lang w:val="cs-CZ" w:eastAsia="cs-CZ" w:bidi="cs-CZ"/>
    </w:rPr>
  </w:style>
  <w:style w:type="paragraph" w:customStyle="1" w:styleId="Headerorfooter10">
    <w:name w:val="Header or footer|1"/>
    <w:basedOn w:val="Normln"/>
    <w:link w:val="Headerorfooter1"/>
    <w:qFormat/>
    <w:pPr>
      <w:shd w:val="clear" w:color="auto" w:fill="FFFFFF"/>
      <w:spacing w:line="168" w:lineRule="exact"/>
    </w:pPr>
    <w:rPr>
      <w:rFonts w:ascii="Arial" w:eastAsia="Arial" w:hAnsi="Arial" w:cs="Arial"/>
      <w:sz w:val="15"/>
      <w:szCs w:val="15"/>
    </w:rPr>
  </w:style>
  <w:style w:type="paragraph" w:customStyle="1" w:styleId="Heading110">
    <w:name w:val="Heading #1|1"/>
    <w:basedOn w:val="Normln"/>
    <w:link w:val="Heading11"/>
    <w:qFormat/>
    <w:pPr>
      <w:shd w:val="clear" w:color="auto" w:fill="FFFFFF"/>
      <w:spacing w:after="220" w:line="288" w:lineRule="exact"/>
      <w:outlineLvl w:val="0"/>
    </w:pPr>
    <w:rPr>
      <w:rFonts w:ascii="Arial" w:eastAsia="Arial" w:hAnsi="Arial" w:cs="Arial"/>
      <w:sz w:val="22"/>
      <w:szCs w:val="22"/>
    </w:rPr>
  </w:style>
  <w:style w:type="paragraph" w:customStyle="1" w:styleId="Bodytext20">
    <w:name w:val="Body text|2"/>
    <w:basedOn w:val="Normln"/>
    <w:link w:val="Bodytext2"/>
    <w:qFormat/>
    <w:pPr>
      <w:shd w:val="clear" w:color="auto" w:fill="FFFFFF"/>
      <w:spacing w:before="220" w:after="220" w:line="168" w:lineRule="exact"/>
      <w:ind w:hanging="220"/>
    </w:pPr>
    <w:rPr>
      <w:rFonts w:ascii="Arial" w:eastAsia="Arial" w:hAnsi="Arial" w:cs="Arial"/>
      <w:sz w:val="15"/>
      <w:szCs w:val="15"/>
    </w:rPr>
  </w:style>
  <w:style w:type="paragraph" w:customStyle="1" w:styleId="Heading210">
    <w:name w:val="Heading #2|1"/>
    <w:basedOn w:val="Normln"/>
    <w:link w:val="Heading21"/>
    <w:qFormat/>
    <w:pPr>
      <w:shd w:val="clear" w:color="auto" w:fill="FFFFFF"/>
      <w:spacing w:before="360" w:after="100" w:line="212" w:lineRule="exact"/>
      <w:outlineLvl w:val="1"/>
    </w:pPr>
    <w:rPr>
      <w:rFonts w:ascii="Arial" w:eastAsia="Arial" w:hAnsi="Arial" w:cs="Arial"/>
      <w:b/>
      <w:bCs/>
      <w:sz w:val="19"/>
      <w:szCs w:val="19"/>
    </w:rPr>
  </w:style>
  <w:style w:type="paragraph" w:customStyle="1" w:styleId="Bodytext30">
    <w:name w:val="Body text|3"/>
    <w:basedOn w:val="Normln"/>
    <w:link w:val="Bodytext3"/>
    <w:pPr>
      <w:shd w:val="clear" w:color="auto" w:fill="FFFFFF"/>
      <w:spacing w:before="100" w:line="245" w:lineRule="exact"/>
    </w:pPr>
    <w:rPr>
      <w:rFonts w:ascii="Arial" w:eastAsia="Arial" w:hAnsi="Arial" w:cs="Arial"/>
      <w:b/>
      <w:bCs/>
      <w:sz w:val="15"/>
      <w:szCs w:val="15"/>
    </w:rPr>
  </w:style>
  <w:style w:type="paragraph" w:customStyle="1" w:styleId="Heading310">
    <w:name w:val="Heading #3|1"/>
    <w:basedOn w:val="Normln"/>
    <w:link w:val="Heading31"/>
    <w:qFormat/>
    <w:pPr>
      <w:shd w:val="clear" w:color="auto" w:fill="FFFFFF"/>
      <w:spacing w:line="317" w:lineRule="exact"/>
      <w:outlineLvl w:val="2"/>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braslavice.eu" TargetMode="External"/><Relationship Id="rId3" Type="http://schemas.openxmlformats.org/officeDocument/2006/relationships/settings" Target="settings.xml"/><Relationship Id="rId7" Type="http://schemas.openxmlformats.org/officeDocument/2006/relationships/hyperlink" Target="http://www.Zbraslav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braslavice.eu" TargetMode="External"/><Relationship Id="rId4" Type="http://schemas.openxmlformats.org/officeDocument/2006/relationships/webSettings" Target="webSettings.xml"/><Relationship Id="rId9" Type="http://schemas.openxmlformats.org/officeDocument/2006/relationships/hyperlink" Target="http://www.Zbraslavice.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2948</Words>
  <Characters>17398</Characters>
  <Application>Microsoft Office Word</Application>
  <DocSecurity>0</DocSecurity>
  <Lines>144</Lines>
  <Paragraphs>40</Paragraphs>
  <ScaleCrop>false</ScaleCrop>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2023-10-19T13:20:00Z</dcterms:created>
  <dcterms:modified xsi:type="dcterms:W3CDTF">2023-10-19T13:22:00Z</dcterms:modified>
</cp:coreProperties>
</file>