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44DDB5E4" w14:textId="77777777" w:rsidR="005165F7" w:rsidRPr="00726B26" w:rsidRDefault="005165F7" w:rsidP="005165F7">
      <w:pPr>
        <w:rPr>
          <w:b/>
        </w:rPr>
      </w:pPr>
      <w:proofErr w:type="spellStart"/>
      <w:r>
        <w:rPr>
          <w:b/>
        </w:rPr>
        <w:t>AbbVie</w:t>
      </w:r>
      <w:proofErr w:type="spellEnd"/>
      <w:r>
        <w:rPr>
          <w:b/>
        </w:rPr>
        <w:t xml:space="preserve"> s.r.o.</w:t>
      </w:r>
    </w:p>
    <w:p w14:paraId="0897D27C" w14:textId="77777777" w:rsidR="005165F7" w:rsidRDefault="005165F7" w:rsidP="005165F7">
      <w:r>
        <w:t>IČO: 24148725</w:t>
      </w:r>
    </w:p>
    <w:p w14:paraId="43728CAE" w14:textId="77777777" w:rsidR="005165F7" w:rsidRPr="00512AB9" w:rsidRDefault="005165F7" w:rsidP="005165F7">
      <w:r>
        <w:t>DIČ: CZ24148725</w:t>
      </w:r>
    </w:p>
    <w:p w14:paraId="1C8BBA71" w14:textId="77777777" w:rsidR="005165F7" w:rsidRPr="00512AB9" w:rsidRDefault="005165F7" w:rsidP="005165F7">
      <w:r>
        <w:t>se sídlem</w:t>
      </w:r>
      <w:r w:rsidRPr="00512AB9">
        <w:t xml:space="preserve">: </w:t>
      </w:r>
      <w:r>
        <w:t>Metronom Business Center, Bucharova 2817/13, 158 00 Praha Stodůlky</w:t>
      </w:r>
    </w:p>
    <w:p w14:paraId="377C429D" w14:textId="3A840A8A" w:rsidR="005165F7" w:rsidRPr="00512AB9" w:rsidRDefault="005165F7" w:rsidP="005165F7">
      <w:r>
        <w:t>zastoupena</w:t>
      </w:r>
      <w:r w:rsidRPr="00512AB9">
        <w:t xml:space="preserve">: </w:t>
      </w:r>
      <w:r w:rsidR="005656AC">
        <w:t xml:space="preserve">…………………. </w:t>
      </w:r>
      <w:r>
        <w:t>- zmocněnec</w:t>
      </w:r>
    </w:p>
    <w:p w14:paraId="35145867" w14:textId="77777777" w:rsidR="005165F7" w:rsidRPr="00512AB9" w:rsidRDefault="005165F7" w:rsidP="005165F7">
      <w:r w:rsidRPr="00512AB9">
        <w:t xml:space="preserve">bankovní spojení: </w:t>
      </w:r>
      <w:r>
        <w:t xml:space="preserve">BNP </w:t>
      </w:r>
      <w:proofErr w:type="spellStart"/>
      <w:r>
        <w:t>Paribas</w:t>
      </w:r>
      <w:proofErr w:type="spellEnd"/>
      <w:r>
        <w:t xml:space="preserve"> </w:t>
      </w:r>
      <w:proofErr w:type="gramStart"/>
      <w:r>
        <w:t>S.A, Česká</w:t>
      </w:r>
      <w:proofErr w:type="gramEnd"/>
      <w:r>
        <w:t xml:space="preserve"> republika</w:t>
      </w:r>
    </w:p>
    <w:p w14:paraId="68903950" w14:textId="77777777" w:rsidR="005165F7" w:rsidRPr="00512AB9" w:rsidRDefault="005165F7" w:rsidP="005165F7">
      <w:r w:rsidRPr="00512AB9">
        <w:t xml:space="preserve">číslo účtu: </w:t>
      </w:r>
      <w:r w:rsidRPr="000D5E06">
        <w:t>64450 – 6003550005/6300</w:t>
      </w:r>
    </w:p>
    <w:p w14:paraId="7FF3A05A" w14:textId="77777777" w:rsidR="005165F7" w:rsidRDefault="005165F7" w:rsidP="005165F7">
      <w:r>
        <w:t>z</w:t>
      </w:r>
      <w:r w:rsidRPr="00512AB9">
        <w:t>apsán</w:t>
      </w:r>
      <w:r>
        <w:t>a</w:t>
      </w:r>
      <w:r w:rsidRPr="00512AB9">
        <w:t xml:space="preserve"> v obchodním rejstříku vedeném </w:t>
      </w:r>
      <w:r>
        <w:t>Městským soudem v Praze</w:t>
      </w:r>
      <w:r w:rsidRPr="00652864">
        <w:t xml:space="preserve">, oddíl </w:t>
      </w:r>
      <w:r>
        <w:t>C</w:t>
      </w:r>
      <w:r w:rsidRPr="00652864">
        <w:t xml:space="preserve">, vložka </w:t>
      </w:r>
      <w:r>
        <w:t>183123</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4F27C0A6" w14:textId="77777777" w:rsidR="005165F7" w:rsidRDefault="005165F7" w:rsidP="00726B26">
      <w:pPr>
        <w:rPr>
          <w:rStyle w:val="platne1"/>
        </w:rPr>
      </w:pPr>
    </w:p>
    <w:p w14:paraId="1C7654F6" w14:textId="77777777" w:rsidR="00626766" w:rsidRDefault="00626766" w:rsidP="00726B26">
      <w:pPr>
        <w:rPr>
          <w:rStyle w:val="platne1"/>
        </w:rPr>
      </w:pP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8BBF14F"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proofErr w:type="spellStart"/>
      <w:r w:rsidR="009C0B33">
        <w:rPr>
          <w:b/>
        </w:rPr>
        <w:t>Glekaprevir</w:t>
      </w:r>
      <w:proofErr w:type="spellEnd"/>
      <w:r w:rsidR="009C0B33">
        <w:rPr>
          <w:b/>
        </w:rPr>
        <w:t xml:space="preserve">, </w:t>
      </w:r>
      <w:proofErr w:type="spellStart"/>
      <w:r w:rsidR="009C0B33">
        <w:rPr>
          <w:b/>
        </w:rPr>
        <w:t>Pibrentasvir</w:t>
      </w:r>
      <w:proofErr w:type="spellEnd"/>
      <w:r w:rsidR="009C0B33">
        <w:rPr>
          <w:b/>
        </w:rPr>
        <w:t xml:space="preserve"> II</w:t>
      </w:r>
      <w:r w:rsidRPr="00626766">
        <w:rPr>
          <w:b/>
        </w:rPr>
        <w:t>“</w:t>
      </w:r>
      <w:r w:rsidR="009C0B33">
        <w:rPr>
          <w:b/>
        </w:rPr>
        <w:t xml:space="preserve">, část č. </w:t>
      </w:r>
      <w:r w:rsidR="005165F7" w:rsidRPr="005165F7">
        <w:rPr>
          <w:b/>
          <w:bCs/>
        </w:rPr>
        <w:t>1</w:t>
      </w:r>
      <w:r w:rsidR="005165F7">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225D5B10" w:rsidR="00014CFB" w:rsidRPr="004D4283" w:rsidRDefault="00014CFB" w:rsidP="00014CFB">
      <w:pPr>
        <w:pStyle w:val="Psmenoodstavce"/>
        <w:rPr>
          <w:color w:val="000000" w:themeColor="text1"/>
        </w:rPr>
      </w:pPr>
      <w:r>
        <w:t xml:space="preserve">e-mailem na adresu </w:t>
      </w:r>
      <w:r w:rsidR="005656AC">
        <w:rPr>
          <w:rStyle w:val="Hypertextovodkaz"/>
          <w:color w:val="000000" w:themeColor="text1"/>
          <w:u w:val="none"/>
        </w:rPr>
        <w:t>…………………</w:t>
      </w:r>
      <w:proofErr w:type="gramStart"/>
      <w:r w:rsidR="005656AC">
        <w:rPr>
          <w:rStyle w:val="Hypertextovodkaz"/>
          <w:color w:val="000000" w:themeColor="text1"/>
          <w:u w:val="none"/>
        </w:rPr>
        <w:t>…..</w:t>
      </w:r>
      <w:proofErr w:type="gramEnd"/>
    </w:p>
    <w:p w14:paraId="62F78F16" w14:textId="77777777" w:rsidR="00014CFB" w:rsidRDefault="00014CFB" w:rsidP="00014CFB">
      <w:pPr>
        <w:pStyle w:val="Odstavecsmlouvy"/>
        <w:numPr>
          <w:ilvl w:val="0"/>
          <w:numId w:val="0"/>
        </w:numPr>
        <w:ind w:left="567"/>
      </w:pPr>
    </w:p>
    <w:p w14:paraId="62F78F17" w14:textId="7DE4C933" w:rsidR="00014CFB" w:rsidRDefault="00014CFB" w:rsidP="00014CFB">
      <w:pPr>
        <w:pStyle w:val="Odstavecsmlouvy"/>
      </w:pPr>
      <w:r>
        <w:t>V naléhavých případech je Kupující oprávněn učinit Objednávku rovněž telefonicky na čísle</w:t>
      </w:r>
      <w:r w:rsidR="005656AC">
        <w:t xml:space="preserve"> ……………………</w:t>
      </w:r>
      <w:r w:rsidR="005165F7">
        <w:t>.</w:t>
      </w:r>
      <w:r>
        <w:t xml:space="preserve"> </w:t>
      </w:r>
    </w:p>
    <w:p w14:paraId="62F78F18" w14:textId="77777777" w:rsidR="00014CFB" w:rsidRDefault="00014CFB" w:rsidP="00014CFB">
      <w:pPr>
        <w:pStyle w:val="Odstavecsmlouvy"/>
        <w:numPr>
          <w:ilvl w:val="0"/>
          <w:numId w:val="0"/>
        </w:numPr>
        <w:ind w:left="567"/>
      </w:pPr>
    </w:p>
    <w:p w14:paraId="62F78F19" w14:textId="3978952F"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5656A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Default="00014CFB" w:rsidP="00626766">
      <w:pPr>
        <w:pStyle w:val="Psmenoodstavce"/>
      </w:pPr>
      <w:r>
        <w:t>místo dodání.</w:t>
      </w:r>
    </w:p>
    <w:p w14:paraId="1E38C975" w14:textId="77777777" w:rsidR="009C0B33" w:rsidRDefault="009C0B33" w:rsidP="009C0B33">
      <w:pPr>
        <w:pStyle w:val="Psmenoodstavce"/>
        <w:numPr>
          <w:ilvl w:val="0"/>
          <w:numId w:val="0"/>
        </w:numPr>
        <w:ind w:left="2160"/>
      </w:pPr>
    </w:p>
    <w:p w14:paraId="1EDFB42D" w14:textId="77777777" w:rsidR="005165F7" w:rsidRDefault="005165F7" w:rsidP="009C0B33">
      <w:pPr>
        <w:pStyle w:val="Psmenoodstavce"/>
        <w:numPr>
          <w:ilvl w:val="0"/>
          <w:numId w:val="0"/>
        </w:numPr>
        <w:ind w:left="2160"/>
      </w:pPr>
    </w:p>
    <w:p w14:paraId="2AA96DE3" w14:textId="77777777" w:rsidR="005165F7" w:rsidRDefault="005165F7" w:rsidP="009C0B33">
      <w:pPr>
        <w:pStyle w:val="Psmenoodstavce"/>
        <w:numPr>
          <w:ilvl w:val="0"/>
          <w:numId w:val="0"/>
        </w:numPr>
        <w:ind w:left="2160"/>
      </w:pPr>
    </w:p>
    <w:p w14:paraId="6B56E38C" w14:textId="77777777" w:rsidR="005165F7" w:rsidRDefault="005165F7" w:rsidP="009C0B33">
      <w:pPr>
        <w:pStyle w:val="Psmenoodstavce"/>
        <w:numPr>
          <w:ilvl w:val="0"/>
          <w:numId w:val="0"/>
        </w:numPr>
        <w:ind w:left="2160"/>
      </w:pPr>
    </w:p>
    <w:p w14:paraId="77AD4FA3" w14:textId="77777777" w:rsidR="005165F7" w:rsidRPr="00626766" w:rsidRDefault="005165F7" w:rsidP="009C0B33">
      <w:pPr>
        <w:pStyle w:val="Psmenoodstavce"/>
        <w:numPr>
          <w:ilvl w:val="0"/>
          <w:numId w:val="0"/>
        </w:numPr>
        <w:ind w:left="2160"/>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6" w14:textId="130A10AD" w:rsidR="00014CFB" w:rsidRDefault="00014CFB" w:rsidP="009C0B33">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161FBDD1" w14:textId="77777777" w:rsidR="004D4283" w:rsidRDefault="004D4283" w:rsidP="004D4283">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7777777"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060A1EBC"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5656AC">
        <w:rPr>
          <w:color w:val="000000"/>
        </w:rPr>
        <w:t>……………………</w:t>
      </w:r>
    </w:p>
    <w:p w14:paraId="7BAE8F24" w14:textId="77777777" w:rsidR="005165F7" w:rsidRDefault="005165F7" w:rsidP="004D4283">
      <w:pPr>
        <w:pStyle w:val="Odstavecsmlouvy"/>
        <w:numPr>
          <w:ilvl w:val="0"/>
          <w:numId w:val="0"/>
        </w:numPr>
      </w:pP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472315FC" w14:textId="77777777" w:rsidR="005165F7" w:rsidRPr="00C747DD" w:rsidRDefault="000C1FD1" w:rsidP="005165F7">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5165F7" w:rsidRPr="00C747DD">
        <w:t xml:space="preserve">„k jednotlivým Objednávkám“. </w:t>
      </w:r>
    </w:p>
    <w:p w14:paraId="62F78F54" w14:textId="280F4821" w:rsidR="000C1FD1" w:rsidRDefault="000C1FD1" w:rsidP="005015A0">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B4047BE"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Pr="002B77A6" w:rsidRDefault="0010739D"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w:t>
      </w:r>
      <w:r w:rsidRPr="0030437C">
        <w:lastRenderedPageBreak/>
        <w:t xml:space="preserve">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3180D15A" w14:textId="77777777" w:rsidR="002811D0" w:rsidRDefault="002811D0" w:rsidP="002811D0">
      <w:pPr>
        <w:pStyle w:val="Odstavecsmlouvy"/>
      </w:pPr>
      <w:r>
        <w:t xml:space="preserve">Tato smlouva nabývá platnosti dnem podpisu obou smluvních stran a </w:t>
      </w:r>
      <w:r>
        <w:rPr>
          <w:b/>
        </w:rPr>
        <w:t>účinnosti dnem uveřejnění</w:t>
      </w:r>
      <w:r>
        <w:t xml:space="preserve"> v registru smluv podle zákona o registru smluv </w:t>
      </w:r>
      <w:r>
        <w:rPr>
          <w:color w:val="242424"/>
          <w:bdr w:val="none" w:sz="0" w:space="0" w:color="auto" w:frame="1"/>
          <w:shd w:val="clear" w:color="auto" w:fill="FFFFFF"/>
        </w:rPr>
        <w:t>nebo</w:t>
      </w:r>
      <w:r>
        <w:rPr>
          <w:b/>
          <w:color w:val="242424"/>
          <w:bdr w:val="none" w:sz="0" w:space="0" w:color="auto" w:frame="1"/>
          <w:shd w:val="clear" w:color="auto" w:fill="FFFFFF"/>
        </w:rPr>
        <w:t xml:space="preserve"> dnem </w:t>
      </w:r>
      <w:r>
        <w:rPr>
          <w:b/>
          <w:color w:val="000000" w:themeColor="text1"/>
          <w:bdr w:val="none" w:sz="0" w:space="0" w:color="auto" w:frame="1"/>
          <w:shd w:val="clear" w:color="auto" w:fill="FFFFFF"/>
        </w:rPr>
        <w:t>22. 11. 2023</w:t>
      </w:r>
      <w:r>
        <w:rPr>
          <w:color w:val="242424"/>
          <w:bdr w:val="none" w:sz="0" w:space="0" w:color="auto" w:frame="1"/>
          <w:shd w:val="clear" w:color="auto" w:fill="FFFFFF"/>
        </w:rPr>
        <w:t xml:space="preserve">, přičemž rozhodné </w:t>
      </w:r>
      <w:r>
        <w:rPr>
          <w:color w:val="242424"/>
          <w:bdr w:val="none" w:sz="0" w:space="0" w:color="auto" w:frame="1"/>
          <w:shd w:val="clear" w:color="auto" w:fill="FFFFFF"/>
        </w:rPr>
        <w:br/>
        <w:t xml:space="preserve">je datum, které nastane později.  </w:t>
      </w:r>
      <w:r>
        <w:t xml:space="preserve">Smlouva 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lastRenderedPageBreak/>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D49D030" w:rsidR="004A45B0" w:rsidRPr="00D722DC" w:rsidRDefault="004A45B0" w:rsidP="00644085">
            <w:pPr>
              <w:pStyle w:val="slovn"/>
              <w:numPr>
                <w:ilvl w:val="0"/>
                <w:numId w:val="0"/>
              </w:numPr>
              <w:tabs>
                <w:tab w:val="num" w:pos="567"/>
              </w:tabs>
              <w:spacing w:after="0" w:line="280" w:lineRule="atLeast"/>
              <w:jc w:val="left"/>
              <w:rPr>
                <w:sz w:val="22"/>
                <w:szCs w:val="22"/>
              </w:rPr>
            </w:pPr>
            <w:r w:rsidRPr="00D722DC">
              <w:rPr>
                <w:sz w:val="22"/>
                <w:szCs w:val="22"/>
              </w:rPr>
              <w:t>V </w:t>
            </w:r>
            <w:r w:rsidR="005165F7">
              <w:rPr>
                <w:sz w:val="22"/>
                <w:szCs w:val="22"/>
              </w:rPr>
              <w:t>Praze</w:t>
            </w:r>
            <w:r w:rsidRPr="00D722DC">
              <w:rPr>
                <w:sz w:val="22"/>
                <w:szCs w:val="22"/>
              </w:rPr>
              <w:t xml:space="preserve"> dne</w:t>
            </w:r>
            <w:r w:rsidR="005165F7">
              <w:rPr>
                <w:sz w:val="22"/>
                <w:szCs w:val="22"/>
              </w:rPr>
              <w:t xml:space="preserve"> </w:t>
            </w:r>
            <w:r w:rsidR="005656AC">
              <w:rPr>
                <w:sz w:val="22"/>
                <w:szCs w:val="22"/>
              </w:rPr>
              <w:t>6. 10. 2023</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4AEE1B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5656AC">
              <w:rPr>
                <w:sz w:val="22"/>
                <w:szCs w:val="22"/>
              </w:rPr>
              <w:t xml:space="preserve"> 12. 10. 2023</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7229EECB" w14:textId="77777777" w:rsidR="00D52C4C" w:rsidRPr="00D722DC" w:rsidRDefault="00D52C4C" w:rsidP="00D52C4C">
            <w:pPr>
              <w:pStyle w:val="slovn"/>
              <w:numPr>
                <w:ilvl w:val="0"/>
                <w:numId w:val="0"/>
              </w:numPr>
              <w:tabs>
                <w:tab w:val="num" w:pos="567"/>
              </w:tabs>
              <w:spacing w:after="0" w:line="280" w:lineRule="atLeast"/>
              <w:jc w:val="center"/>
              <w:rPr>
                <w:b/>
                <w:sz w:val="22"/>
                <w:szCs w:val="22"/>
              </w:rPr>
            </w:pPr>
            <w:proofErr w:type="spellStart"/>
            <w:r>
              <w:rPr>
                <w:b/>
                <w:sz w:val="22"/>
                <w:szCs w:val="22"/>
              </w:rPr>
              <w:t>AbbVie</w:t>
            </w:r>
            <w:proofErr w:type="spellEnd"/>
            <w:r>
              <w:rPr>
                <w:b/>
                <w:sz w:val="22"/>
                <w:szCs w:val="22"/>
              </w:rPr>
              <w:t xml:space="preserve"> s.r.o.</w:t>
            </w:r>
          </w:p>
          <w:p w14:paraId="79E952E9" w14:textId="647B9924" w:rsidR="005656AC" w:rsidRDefault="005656AC" w:rsidP="00D52C4C">
            <w:pPr>
              <w:pStyle w:val="slovn"/>
              <w:numPr>
                <w:ilvl w:val="0"/>
                <w:numId w:val="0"/>
              </w:numPr>
              <w:tabs>
                <w:tab w:val="num" w:pos="567"/>
              </w:tabs>
              <w:spacing w:after="0" w:line="280" w:lineRule="atLeast"/>
              <w:jc w:val="center"/>
              <w:rPr>
                <w:sz w:val="22"/>
                <w:szCs w:val="22"/>
              </w:rPr>
            </w:pPr>
            <w:r>
              <w:rPr>
                <w:sz w:val="22"/>
                <w:szCs w:val="22"/>
              </w:rPr>
              <w:t>………………………….</w:t>
            </w:r>
          </w:p>
          <w:p w14:paraId="62F78FB8" w14:textId="2FF3BBA9" w:rsidR="004A45B0" w:rsidRPr="00D722DC" w:rsidRDefault="005656AC" w:rsidP="005656AC">
            <w:pPr>
              <w:pStyle w:val="slovn"/>
              <w:numPr>
                <w:ilvl w:val="0"/>
                <w:numId w:val="0"/>
              </w:numPr>
              <w:tabs>
                <w:tab w:val="num" w:pos="567"/>
              </w:tabs>
              <w:spacing w:after="0" w:line="280" w:lineRule="atLeast"/>
              <w:jc w:val="center"/>
              <w:rPr>
                <w:sz w:val="22"/>
                <w:szCs w:val="22"/>
              </w:rPr>
            </w:pPr>
            <w:r>
              <w:rPr>
                <w:sz w:val="22"/>
                <w:szCs w:val="22"/>
              </w:rPr>
              <w:t xml:space="preserve">………………….. </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Default="00074676" w:rsidP="007E416F">
      <w:pPr>
        <w:jc w:val="center"/>
        <w:rPr>
          <w:b/>
        </w:rPr>
      </w:pPr>
      <w:r w:rsidRPr="00074676">
        <w:rPr>
          <w:b/>
        </w:rPr>
        <w:t>Specifikace Zboží a kupní ceny</w:t>
      </w:r>
    </w:p>
    <w:tbl>
      <w:tblPr>
        <w:tblW w:w="15871" w:type="dxa"/>
        <w:tblCellMar>
          <w:left w:w="70" w:type="dxa"/>
          <w:right w:w="70" w:type="dxa"/>
        </w:tblCellMar>
        <w:tblLook w:val="04A0" w:firstRow="1" w:lastRow="0" w:firstColumn="1" w:lastColumn="0" w:noHBand="0" w:noVBand="1"/>
      </w:tblPr>
      <w:tblGrid>
        <w:gridCol w:w="936"/>
        <w:gridCol w:w="1611"/>
        <w:gridCol w:w="992"/>
        <w:gridCol w:w="992"/>
        <w:gridCol w:w="1701"/>
        <w:gridCol w:w="1764"/>
        <w:gridCol w:w="1241"/>
        <w:gridCol w:w="1495"/>
        <w:gridCol w:w="1061"/>
        <w:gridCol w:w="846"/>
        <w:gridCol w:w="1016"/>
        <w:gridCol w:w="799"/>
        <w:gridCol w:w="1417"/>
      </w:tblGrid>
      <w:tr w:rsidR="00D52C4C" w:rsidRPr="00D52C4C" w14:paraId="4510D523" w14:textId="77777777" w:rsidTr="00D52C4C">
        <w:trPr>
          <w:trHeight w:val="288"/>
        </w:trPr>
        <w:tc>
          <w:tcPr>
            <w:tcW w:w="936" w:type="dxa"/>
            <w:tcBorders>
              <w:top w:val="nil"/>
              <w:left w:val="single" w:sz="4" w:space="0" w:color="FFFFFF"/>
              <w:bottom w:val="nil"/>
              <w:right w:val="single" w:sz="4" w:space="0" w:color="FFFFFF"/>
            </w:tcBorders>
            <w:shd w:val="clear" w:color="auto" w:fill="auto"/>
            <w:noWrap/>
            <w:vAlign w:val="bottom"/>
            <w:hideMark/>
          </w:tcPr>
          <w:p w14:paraId="31EC5317" w14:textId="77777777" w:rsidR="00D52C4C" w:rsidRPr="00D52C4C" w:rsidRDefault="00D52C4C" w:rsidP="00D52C4C">
            <w:pPr>
              <w:spacing w:line="240" w:lineRule="auto"/>
              <w:jc w:val="left"/>
              <w:rPr>
                <w:rFonts w:ascii="Cambria" w:hAnsi="Cambria" w:cs="Calibri"/>
                <w:b/>
                <w:bCs/>
                <w:color w:val="000000"/>
                <w:sz w:val="20"/>
                <w:szCs w:val="20"/>
              </w:rPr>
            </w:pPr>
            <w:r w:rsidRPr="00D52C4C">
              <w:rPr>
                <w:rFonts w:ascii="Cambria" w:hAnsi="Cambria" w:cs="Calibri"/>
                <w:b/>
                <w:bCs/>
                <w:color w:val="000000"/>
                <w:sz w:val="20"/>
                <w:szCs w:val="20"/>
              </w:rPr>
              <w:t>Část 1.</w:t>
            </w:r>
          </w:p>
        </w:tc>
        <w:tc>
          <w:tcPr>
            <w:tcW w:w="1611" w:type="dxa"/>
            <w:tcBorders>
              <w:top w:val="nil"/>
              <w:left w:val="nil"/>
              <w:bottom w:val="nil"/>
              <w:right w:val="single" w:sz="4" w:space="0" w:color="FFFFFF"/>
            </w:tcBorders>
            <w:shd w:val="clear" w:color="auto" w:fill="auto"/>
            <w:noWrap/>
            <w:vAlign w:val="bottom"/>
            <w:hideMark/>
          </w:tcPr>
          <w:p w14:paraId="523C5FF0"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71395812"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3FF49B3B"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701" w:type="dxa"/>
            <w:tcBorders>
              <w:top w:val="nil"/>
              <w:left w:val="nil"/>
              <w:bottom w:val="nil"/>
              <w:right w:val="single" w:sz="4" w:space="0" w:color="FFFFFF"/>
            </w:tcBorders>
            <w:shd w:val="clear" w:color="auto" w:fill="auto"/>
            <w:noWrap/>
            <w:vAlign w:val="bottom"/>
            <w:hideMark/>
          </w:tcPr>
          <w:p w14:paraId="25F40778"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764" w:type="dxa"/>
            <w:tcBorders>
              <w:top w:val="nil"/>
              <w:left w:val="nil"/>
              <w:bottom w:val="nil"/>
              <w:right w:val="single" w:sz="4" w:space="0" w:color="FFFFFF"/>
            </w:tcBorders>
            <w:shd w:val="clear" w:color="auto" w:fill="auto"/>
            <w:noWrap/>
            <w:vAlign w:val="bottom"/>
            <w:hideMark/>
          </w:tcPr>
          <w:p w14:paraId="1DCF42B0"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241" w:type="dxa"/>
            <w:tcBorders>
              <w:top w:val="nil"/>
              <w:left w:val="nil"/>
              <w:bottom w:val="nil"/>
              <w:right w:val="single" w:sz="4" w:space="0" w:color="FFFFFF"/>
            </w:tcBorders>
            <w:shd w:val="clear" w:color="auto" w:fill="auto"/>
            <w:noWrap/>
            <w:vAlign w:val="bottom"/>
            <w:hideMark/>
          </w:tcPr>
          <w:p w14:paraId="333E2757"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495" w:type="dxa"/>
            <w:tcBorders>
              <w:top w:val="nil"/>
              <w:left w:val="nil"/>
              <w:bottom w:val="nil"/>
              <w:right w:val="single" w:sz="4" w:space="0" w:color="FFFFFF"/>
            </w:tcBorders>
            <w:shd w:val="clear" w:color="auto" w:fill="auto"/>
            <w:noWrap/>
            <w:vAlign w:val="bottom"/>
            <w:hideMark/>
          </w:tcPr>
          <w:p w14:paraId="7278006E"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061" w:type="dxa"/>
            <w:tcBorders>
              <w:top w:val="nil"/>
              <w:left w:val="nil"/>
              <w:bottom w:val="nil"/>
              <w:right w:val="single" w:sz="4" w:space="0" w:color="FFFFFF"/>
            </w:tcBorders>
            <w:shd w:val="clear" w:color="auto" w:fill="auto"/>
            <w:noWrap/>
            <w:vAlign w:val="bottom"/>
            <w:hideMark/>
          </w:tcPr>
          <w:p w14:paraId="00B57546"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846" w:type="dxa"/>
            <w:tcBorders>
              <w:top w:val="nil"/>
              <w:left w:val="nil"/>
              <w:bottom w:val="nil"/>
              <w:right w:val="single" w:sz="4" w:space="0" w:color="FFFFFF"/>
            </w:tcBorders>
            <w:shd w:val="clear" w:color="auto" w:fill="auto"/>
            <w:noWrap/>
            <w:vAlign w:val="bottom"/>
            <w:hideMark/>
          </w:tcPr>
          <w:p w14:paraId="4C60B4E7"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016" w:type="dxa"/>
            <w:tcBorders>
              <w:top w:val="nil"/>
              <w:left w:val="nil"/>
              <w:bottom w:val="nil"/>
              <w:right w:val="single" w:sz="4" w:space="0" w:color="FFFFFF"/>
            </w:tcBorders>
            <w:shd w:val="clear" w:color="auto" w:fill="auto"/>
            <w:noWrap/>
            <w:vAlign w:val="bottom"/>
            <w:hideMark/>
          </w:tcPr>
          <w:p w14:paraId="3508DDC8"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799" w:type="dxa"/>
            <w:tcBorders>
              <w:top w:val="nil"/>
              <w:left w:val="nil"/>
              <w:bottom w:val="nil"/>
              <w:right w:val="single" w:sz="4" w:space="0" w:color="FFFFFF"/>
            </w:tcBorders>
            <w:shd w:val="clear" w:color="auto" w:fill="auto"/>
            <w:noWrap/>
            <w:vAlign w:val="bottom"/>
            <w:hideMark/>
          </w:tcPr>
          <w:p w14:paraId="30311B1F"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417" w:type="dxa"/>
            <w:tcBorders>
              <w:top w:val="nil"/>
              <w:left w:val="nil"/>
              <w:bottom w:val="nil"/>
              <w:right w:val="single" w:sz="4" w:space="0" w:color="FFFFFF"/>
            </w:tcBorders>
            <w:shd w:val="clear" w:color="auto" w:fill="auto"/>
            <w:noWrap/>
            <w:vAlign w:val="bottom"/>
            <w:hideMark/>
          </w:tcPr>
          <w:p w14:paraId="66EA4974"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r>
      <w:tr w:rsidR="00D52C4C" w:rsidRPr="00D52C4C" w14:paraId="35AF32B6" w14:textId="77777777" w:rsidTr="00D52C4C">
        <w:trPr>
          <w:trHeight w:val="864"/>
        </w:trPr>
        <w:tc>
          <w:tcPr>
            <w:tcW w:w="936" w:type="dxa"/>
            <w:tcBorders>
              <w:top w:val="single" w:sz="4" w:space="0" w:color="auto"/>
              <w:left w:val="single" w:sz="4" w:space="0" w:color="auto"/>
              <w:bottom w:val="single" w:sz="4" w:space="0" w:color="auto"/>
              <w:right w:val="single" w:sz="4" w:space="0" w:color="auto"/>
            </w:tcBorders>
            <w:shd w:val="clear" w:color="000000" w:fill="F2F2F2"/>
            <w:noWrap/>
            <w:hideMark/>
          </w:tcPr>
          <w:p w14:paraId="31CD6C11"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ATC</w:t>
            </w:r>
          </w:p>
        </w:tc>
        <w:tc>
          <w:tcPr>
            <w:tcW w:w="1611" w:type="dxa"/>
            <w:tcBorders>
              <w:top w:val="single" w:sz="4" w:space="0" w:color="auto"/>
              <w:left w:val="nil"/>
              <w:bottom w:val="single" w:sz="4" w:space="0" w:color="auto"/>
              <w:right w:val="single" w:sz="4" w:space="0" w:color="auto"/>
            </w:tcBorders>
            <w:shd w:val="clear" w:color="000000" w:fill="F2F2F2"/>
            <w:noWrap/>
            <w:hideMark/>
          </w:tcPr>
          <w:p w14:paraId="30B7A58A"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Účinná látka</w:t>
            </w:r>
          </w:p>
        </w:tc>
        <w:tc>
          <w:tcPr>
            <w:tcW w:w="992" w:type="dxa"/>
            <w:tcBorders>
              <w:top w:val="single" w:sz="4" w:space="0" w:color="auto"/>
              <w:left w:val="nil"/>
              <w:bottom w:val="single" w:sz="4" w:space="0" w:color="auto"/>
              <w:right w:val="single" w:sz="4" w:space="0" w:color="auto"/>
            </w:tcBorders>
            <w:shd w:val="clear" w:color="000000" w:fill="F2F2F2"/>
            <w:noWrap/>
            <w:hideMark/>
          </w:tcPr>
          <w:p w14:paraId="10565F0D"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Kód SÚKL</w:t>
            </w:r>
          </w:p>
        </w:tc>
        <w:tc>
          <w:tcPr>
            <w:tcW w:w="992" w:type="dxa"/>
            <w:tcBorders>
              <w:top w:val="single" w:sz="4" w:space="0" w:color="auto"/>
              <w:left w:val="nil"/>
              <w:bottom w:val="single" w:sz="4" w:space="0" w:color="auto"/>
              <w:right w:val="single" w:sz="4" w:space="0" w:color="auto"/>
            </w:tcBorders>
            <w:shd w:val="clear" w:color="000000" w:fill="F2F2F2"/>
            <w:noWrap/>
            <w:hideMark/>
          </w:tcPr>
          <w:p w14:paraId="5C8926E0"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Název</w:t>
            </w:r>
          </w:p>
        </w:tc>
        <w:tc>
          <w:tcPr>
            <w:tcW w:w="1701" w:type="dxa"/>
            <w:tcBorders>
              <w:top w:val="single" w:sz="4" w:space="0" w:color="auto"/>
              <w:left w:val="nil"/>
              <w:bottom w:val="single" w:sz="4" w:space="0" w:color="auto"/>
              <w:right w:val="single" w:sz="4" w:space="0" w:color="auto"/>
            </w:tcBorders>
            <w:shd w:val="clear" w:color="000000" w:fill="F2F2F2"/>
            <w:noWrap/>
            <w:hideMark/>
          </w:tcPr>
          <w:p w14:paraId="14A53F36"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Síla a léková forma</w:t>
            </w:r>
          </w:p>
        </w:tc>
        <w:tc>
          <w:tcPr>
            <w:tcW w:w="1764" w:type="dxa"/>
            <w:tcBorders>
              <w:top w:val="single" w:sz="4" w:space="0" w:color="auto"/>
              <w:left w:val="nil"/>
              <w:bottom w:val="single" w:sz="4" w:space="0" w:color="auto"/>
              <w:right w:val="single" w:sz="4" w:space="0" w:color="auto"/>
            </w:tcBorders>
            <w:shd w:val="clear" w:color="000000" w:fill="F2F2F2"/>
            <w:noWrap/>
            <w:hideMark/>
          </w:tcPr>
          <w:p w14:paraId="2276BA4F"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Velikost balení</w:t>
            </w:r>
          </w:p>
        </w:tc>
        <w:tc>
          <w:tcPr>
            <w:tcW w:w="1241" w:type="dxa"/>
            <w:tcBorders>
              <w:top w:val="single" w:sz="4" w:space="0" w:color="auto"/>
              <w:left w:val="nil"/>
              <w:bottom w:val="single" w:sz="4" w:space="0" w:color="auto"/>
              <w:right w:val="single" w:sz="4" w:space="0" w:color="auto"/>
            </w:tcBorders>
            <w:shd w:val="clear" w:color="000000" w:fill="F2F2F2"/>
            <w:hideMark/>
          </w:tcPr>
          <w:p w14:paraId="3FD62B50"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Způsob dodání (přímo/ distributor)</w:t>
            </w:r>
          </w:p>
        </w:tc>
        <w:tc>
          <w:tcPr>
            <w:tcW w:w="1495" w:type="dxa"/>
            <w:tcBorders>
              <w:top w:val="single" w:sz="4" w:space="0" w:color="auto"/>
              <w:left w:val="nil"/>
              <w:bottom w:val="single" w:sz="4" w:space="0" w:color="auto"/>
              <w:right w:val="single" w:sz="4" w:space="0" w:color="auto"/>
            </w:tcBorders>
            <w:shd w:val="clear" w:color="000000" w:fill="F2F2F2"/>
            <w:hideMark/>
          </w:tcPr>
          <w:p w14:paraId="164861E6"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Úhrada z veřejného zdravotního pojištění*</w:t>
            </w:r>
          </w:p>
        </w:tc>
        <w:tc>
          <w:tcPr>
            <w:tcW w:w="1061" w:type="dxa"/>
            <w:tcBorders>
              <w:top w:val="single" w:sz="4" w:space="0" w:color="auto"/>
              <w:left w:val="nil"/>
              <w:bottom w:val="single" w:sz="4" w:space="0" w:color="auto"/>
              <w:right w:val="single" w:sz="4" w:space="0" w:color="auto"/>
            </w:tcBorders>
            <w:shd w:val="clear" w:color="000000" w:fill="F2F2F2"/>
            <w:hideMark/>
          </w:tcPr>
          <w:p w14:paraId="71E0731E"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Cena 1 balení (Kč bez DPH)</w:t>
            </w:r>
          </w:p>
        </w:tc>
        <w:tc>
          <w:tcPr>
            <w:tcW w:w="846" w:type="dxa"/>
            <w:tcBorders>
              <w:top w:val="single" w:sz="4" w:space="0" w:color="auto"/>
              <w:left w:val="nil"/>
              <w:bottom w:val="single" w:sz="4" w:space="0" w:color="auto"/>
              <w:right w:val="single" w:sz="4" w:space="0" w:color="auto"/>
            </w:tcBorders>
            <w:shd w:val="clear" w:color="000000" w:fill="F2F2F2"/>
            <w:hideMark/>
          </w:tcPr>
          <w:p w14:paraId="4AAD3970"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10% DPH</w:t>
            </w:r>
          </w:p>
        </w:tc>
        <w:tc>
          <w:tcPr>
            <w:tcW w:w="1016" w:type="dxa"/>
            <w:tcBorders>
              <w:top w:val="single" w:sz="4" w:space="0" w:color="auto"/>
              <w:left w:val="nil"/>
              <w:bottom w:val="single" w:sz="4" w:space="0" w:color="auto"/>
              <w:right w:val="single" w:sz="4" w:space="0" w:color="auto"/>
            </w:tcBorders>
            <w:shd w:val="clear" w:color="000000" w:fill="F2F2F2"/>
            <w:hideMark/>
          </w:tcPr>
          <w:p w14:paraId="72815B1F"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Cena 1 balení (Kč vč. DPH)</w:t>
            </w:r>
          </w:p>
        </w:tc>
        <w:tc>
          <w:tcPr>
            <w:tcW w:w="799" w:type="dxa"/>
            <w:tcBorders>
              <w:top w:val="single" w:sz="4" w:space="0" w:color="auto"/>
              <w:left w:val="nil"/>
              <w:bottom w:val="single" w:sz="4" w:space="0" w:color="auto"/>
              <w:right w:val="single" w:sz="4" w:space="0" w:color="auto"/>
            </w:tcBorders>
            <w:shd w:val="clear" w:color="000000" w:fill="F2F2F2"/>
            <w:hideMark/>
          </w:tcPr>
          <w:p w14:paraId="6791A181"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Počet balení</w:t>
            </w:r>
          </w:p>
        </w:tc>
        <w:tc>
          <w:tcPr>
            <w:tcW w:w="1417" w:type="dxa"/>
            <w:tcBorders>
              <w:top w:val="single" w:sz="4" w:space="0" w:color="auto"/>
              <w:left w:val="nil"/>
              <w:bottom w:val="single" w:sz="4" w:space="0" w:color="auto"/>
              <w:right w:val="single" w:sz="4" w:space="0" w:color="auto"/>
            </w:tcBorders>
            <w:shd w:val="clear" w:color="000000" w:fill="F2F2F2"/>
            <w:hideMark/>
          </w:tcPr>
          <w:p w14:paraId="58EDCBC5"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Nabídková cena za daný počet balení (Kč bez DPH)</w:t>
            </w:r>
          </w:p>
        </w:tc>
      </w:tr>
      <w:tr w:rsidR="00D52C4C" w:rsidRPr="00D52C4C" w14:paraId="532E75EF" w14:textId="77777777" w:rsidTr="00D52C4C">
        <w:trPr>
          <w:trHeight w:val="576"/>
        </w:trPr>
        <w:tc>
          <w:tcPr>
            <w:tcW w:w="936" w:type="dxa"/>
            <w:tcBorders>
              <w:top w:val="nil"/>
              <w:left w:val="single" w:sz="4" w:space="0" w:color="auto"/>
              <w:bottom w:val="single" w:sz="4" w:space="0" w:color="auto"/>
              <w:right w:val="single" w:sz="4" w:space="0" w:color="auto"/>
            </w:tcBorders>
            <w:shd w:val="clear" w:color="000000" w:fill="F2F2F2"/>
            <w:noWrap/>
            <w:hideMark/>
          </w:tcPr>
          <w:p w14:paraId="1D394A69" w14:textId="77777777" w:rsidR="00D52C4C" w:rsidRPr="00D52C4C" w:rsidRDefault="005656AC" w:rsidP="00D52C4C">
            <w:pPr>
              <w:spacing w:line="240" w:lineRule="auto"/>
              <w:jc w:val="center"/>
              <w:rPr>
                <w:rFonts w:ascii="Cambria" w:hAnsi="Cambria" w:cs="Calibri"/>
                <w:b/>
                <w:bCs/>
                <w:sz w:val="20"/>
                <w:szCs w:val="20"/>
              </w:rPr>
            </w:pPr>
            <w:hyperlink r:id="rId14" w:history="1">
              <w:r w:rsidR="00D52C4C" w:rsidRPr="00D52C4C">
                <w:rPr>
                  <w:rFonts w:ascii="Cambria" w:hAnsi="Cambria" w:cs="Calibri"/>
                  <w:b/>
                  <w:bCs/>
                  <w:sz w:val="20"/>
                  <w:szCs w:val="20"/>
                </w:rPr>
                <w:t>J05AP57</w:t>
              </w:r>
            </w:hyperlink>
          </w:p>
        </w:tc>
        <w:tc>
          <w:tcPr>
            <w:tcW w:w="1611" w:type="dxa"/>
            <w:tcBorders>
              <w:top w:val="nil"/>
              <w:left w:val="nil"/>
              <w:bottom w:val="single" w:sz="4" w:space="0" w:color="auto"/>
              <w:right w:val="single" w:sz="4" w:space="0" w:color="auto"/>
            </w:tcBorders>
            <w:shd w:val="clear" w:color="000000" w:fill="F2F2F2"/>
            <w:noWrap/>
            <w:hideMark/>
          </w:tcPr>
          <w:p w14:paraId="39E84CE7" w14:textId="77777777" w:rsidR="00D52C4C" w:rsidRPr="00D52C4C" w:rsidRDefault="00D52C4C" w:rsidP="00D52C4C">
            <w:pPr>
              <w:spacing w:line="240" w:lineRule="auto"/>
              <w:jc w:val="center"/>
              <w:rPr>
                <w:rFonts w:ascii="Cambria" w:hAnsi="Cambria" w:cs="Calibri"/>
                <w:b/>
                <w:bCs/>
                <w:sz w:val="20"/>
                <w:szCs w:val="20"/>
              </w:rPr>
            </w:pPr>
            <w:r w:rsidRPr="00D52C4C">
              <w:rPr>
                <w:rFonts w:ascii="Cambria" w:hAnsi="Cambria" w:cs="Calibri"/>
                <w:b/>
                <w:bCs/>
                <w:sz w:val="20"/>
                <w:szCs w:val="20"/>
              </w:rPr>
              <w:t xml:space="preserve">  GLEKAPREVIR, PIBRENTASVIR</w:t>
            </w:r>
          </w:p>
        </w:tc>
        <w:tc>
          <w:tcPr>
            <w:tcW w:w="992" w:type="dxa"/>
            <w:tcBorders>
              <w:top w:val="nil"/>
              <w:left w:val="nil"/>
              <w:bottom w:val="single" w:sz="4" w:space="0" w:color="auto"/>
              <w:right w:val="single" w:sz="4" w:space="0" w:color="auto"/>
            </w:tcBorders>
            <w:shd w:val="clear" w:color="000000" w:fill="FFFFE1"/>
            <w:noWrap/>
            <w:vAlign w:val="bottom"/>
            <w:hideMark/>
          </w:tcPr>
          <w:p w14:paraId="1FDAFA95" w14:textId="77777777" w:rsidR="00D52C4C" w:rsidRPr="00D52C4C" w:rsidRDefault="00D52C4C" w:rsidP="00D52C4C">
            <w:pPr>
              <w:spacing w:line="240" w:lineRule="auto"/>
              <w:jc w:val="left"/>
              <w:rPr>
                <w:rFonts w:ascii="Cambria" w:hAnsi="Cambria" w:cs="Calibri"/>
                <w:sz w:val="20"/>
                <w:szCs w:val="20"/>
              </w:rPr>
            </w:pPr>
            <w:r w:rsidRPr="00D52C4C">
              <w:rPr>
                <w:rFonts w:ascii="Cambria" w:hAnsi="Cambria" w:cs="Calibri"/>
                <w:sz w:val="20"/>
                <w:szCs w:val="20"/>
              </w:rPr>
              <w:t>0255139</w:t>
            </w:r>
          </w:p>
        </w:tc>
        <w:tc>
          <w:tcPr>
            <w:tcW w:w="992" w:type="dxa"/>
            <w:tcBorders>
              <w:top w:val="nil"/>
              <w:left w:val="nil"/>
              <w:bottom w:val="single" w:sz="4" w:space="0" w:color="auto"/>
              <w:right w:val="single" w:sz="4" w:space="0" w:color="auto"/>
            </w:tcBorders>
            <w:shd w:val="clear" w:color="000000" w:fill="FFFFE1"/>
            <w:noWrap/>
            <w:vAlign w:val="bottom"/>
            <w:hideMark/>
          </w:tcPr>
          <w:p w14:paraId="2ECBF69A" w14:textId="77777777" w:rsidR="00D52C4C" w:rsidRPr="00D52C4C" w:rsidRDefault="00D52C4C" w:rsidP="00D52C4C">
            <w:pPr>
              <w:spacing w:line="240" w:lineRule="auto"/>
              <w:jc w:val="left"/>
              <w:rPr>
                <w:rFonts w:ascii="Cambria" w:hAnsi="Cambria" w:cs="Calibri"/>
                <w:sz w:val="20"/>
                <w:szCs w:val="20"/>
              </w:rPr>
            </w:pPr>
            <w:r w:rsidRPr="00D52C4C">
              <w:rPr>
                <w:rFonts w:ascii="Cambria" w:hAnsi="Cambria" w:cs="Calibri"/>
                <w:sz w:val="20"/>
                <w:szCs w:val="20"/>
              </w:rPr>
              <w:t>MAVIRET</w:t>
            </w:r>
          </w:p>
        </w:tc>
        <w:tc>
          <w:tcPr>
            <w:tcW w:w="1701" w:type="dxa"/>
            <w:tcBorders>
              <w:top w:val="nil"/>
              <w:left w:val="nil"/>
              <w:bottom w:val="single" w:sz="4" w:space="0" w:color="auto"/>
              <w:right w:val="single" w:sz="4" w:space="0" w:color="auto"/>
            </w:tcBorders>
            <w:shd w:val="clear" w:color="000000" w:fill="FFFFE1"/>
            <w:vAlign w:val="bottom"/>
            <w:hideMark/>
          </w:tcPr>
          <w:p w14:paraId="61C04EEE" w14:textId="77777777" w:rsidR="00D52C4C" w:rsidRPr="00D52C4C" w:rsidRDefault="00D52C4C" w:rsidP="00D52C4C">
            <w:pPr>
              <w:spacing w:line="240" w:lineRule="auto"/>
              <w:jc w:val="left"/>
              <w:rPr>
                <w:rFonts w:ascii="Cambria" w:hAnsi="Cambria" w:cs="Calibri"/>
                <w:sz w:val="20"/>
                <w:szCs w:val="20"/>
              </w:rPr>
            </w:pPr>
            <w:r w:rsidRPr="00D52C4C">
              <w:rPr>
                <w:rFonts w:ascii="Cambria" w:hAnsi="Cambria" w:cs="Calibri"/>
                <w:sz w:val="20"/>
                <w:szCs w:val="20"/>
              </w:rPr>
              <w:t>50MG/20MG GRA OBD SCC 28</w:t>
            </w:r>
          </w:p>
        </w:tc>
        <w:tc>
          <w:tcPr>
            <w:tcW w:w="1764" w:type="dxa"/>
            <w:tcBorders>
              <w:top w:val="nil"/>
              <w:left w:val="nil"/>
              <w:bottom w:val="single" w:sz="4" w:space="0" w:color="auto"/>
              <w:right w:val="single" w:sz="4" w:space="0" w:color="auto"/>
            </w:tcBorders>
            <w:shd w:val="clear" w:color="000000" w:fill="F2F2F2"/>
            <w:hideMark/>
          </w:tcPr>
          <w:p w14:paraId="29A0EA43"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50MG/20MG GRA OBD SCC 28</w:t>
            </w:r>
          </w:p>
        </w:tc>
        <w:tc>
          <w:tcPr>
            <w:tcW w:w="1241" w:type="dxa"/>
            <w:tcBorders>
              <w:top w:val="nil"/>
              <w:left w:val="nil"/>
              <w:bottom w:val="single" w:sz="4" w:space="0" w:color="auto"/>
              <w:right w:val="single" w:sz="4" w:space="0" w:color="auto"/>
            </w:tcBorders>
            <w:shd w:val="clear" w:color="000000" w:fill="FFFFE1"/>
            <w:noWrap/>
            <w:hideMark/>
          </w:tcPr>
          <w:p w14:paraId="1D47D21A"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přímo</w:t>
            </w:r>
          </w:p>
        </w:tc>
        <w:tc>
          <w:tcPr>
            <w:tcW w:w="1495" w:type="dxa"/>
            <w:tcBorders>
              <w:top w:val="nil"/>
              <w:left w:val="nil"/>
              <w:bottom w:val="single" w:sz="4" w:space="0" w:color="auto"/>
              <w:right w:val="single" w:sz="4" w:space="0" w:color="auto"/>
            </w:tcBorders>
            <w:shd w:val="clear" w:color="000000" w:fill="FFFFE1"/>
            <w:noWrap/>
            <w:hideMark/>
          </w:tcPr>
          <w:p w14:paraId="6753E70A"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bez úhrady</w:t>
            </w:r>
          </w:p>
        </w:tc>
        <w:tc>
          <w:tcPr>
            <w:tcW w:w="1061" w:type="dxa"/>
            <w:tcBorders>
              <w:top w:val="nil"/>
              <w:left w:val="nil"/>
              <w:bottom w:val="single" w:sz="4" w:space="0" w:color="auto"/>
              <w:right w:val="single" w:sz="4" w:space="0" w:color="auto"/>
            </w:tcBorders>
            <w:shd w:val="clear" w:color="000000" w:fill="FFFFE1"/>
            <w:noWrap/>
            <w:vAlign w:val="bottom"/>
            <w:hideMark/>
          </w:tcPr>
          <w:p w14:paraId="18D3624C" w14:textId="77777777" w:rsidR="00D52C4C" w:rsidRPr="00D52C4C" w:rsidRDefault="00D52C4C" w:rsidP="00D52C4C">
            <w:pPr>
              <w:spacing w:line="240" w:lineRule="auto"/>
              <w:jc w:val="right"/>
              <w:rPr>
                <w:rFonts w:ascii="Cambria" w:hAnsi="Cambria" w:cs="Calibri"/>
                <w:sz w:val="20"/>
                <w:szCs w:val="20"/>
              </w:rPr>
            </w:pPr>
            <w:r w:rsidRPr="00D52C4C">
              <w:rPr>
                <w:rFonts w:ascii="Cambria" w:hAnsi="Cambria" w:cs="Calibri"/>
                <w:sz w:val="20"/>
                <w:szCs w:val="20"/>
              </w:rPr>
              <w:t>40378,72</w:t>
            </w:r>
          </w:p>
        </w:tc>
        <w:tc>
          <w:tcPr>
            <w:tcW w:w="846" w:type="dxa"/>
            <w:tcBorders>
              <w:top w:val="nil"/>
              <w:left w:val="nil"/>
              <w:bottom w:val="single" w:sz="4" w:space="0" w:color="auto"/>
              <w:right w:val="single" w:sz="4" w:space="0" w:color="auto"/>
            </w:tcBorders>
            <w:shd w:val="clear" w:color="000000" w:fill="FFFFE1"/>
            <w:noWrap/>
            <w:vAlign w:val="bottom"/>
            <w:hideMark/>
          </w:tcPr>
          <w:p w14:paraId="006EB429" w14:textId="77777777" w:rsidR="00D52C4C" w:rsidRPr="00D52C4C" w:rsidRDefault="00D52C4C" w:rsidP="00D52C4C">
            <w:pPr>
              <w:spacing w:line="240" w:lineRule="auto"/>
              <w:jc w:val="right"/>
              <w:rPr>
                <w:rFonts w:ascii="Cambria" w:hAnsi="Cambria" w:cs="Calibri"/>
                <w:sz w:val="20"/>
                <w:szCs w:val="20"/>
              </w:rPr>
            </w:pPr>
            <w:r w:rsidRPr="00D52C4C">
              <w:rPr>
                <w:rFonts w:ascii="Cambria" w:hAnsi="Cambria" w:cs="Calibri"/>
                <w:sz w:val="20"/>
                <w:szCs w:val="20"/>
              </w:rPr>
              <w:t>4037,87</w:t>
            </w:r>
          </w:p>
        </w:tc>
        <w:tc>
          <w:tcPr>
            <w:tcW w:w="1016" w:type="dxa"/>
            <w:tcBorders>
              <w:top w:val="nil"/>
              <w:left w:val="nil"/>
              <w:bottom w:val="single" w:sz="4" w:space="0" w:color="auto"/>
              <w:right w:val="single" w:sz="4" w:space="0" w:color="auto"/>
            </w:tcBorders>
            <w:shd w:val="clear" w:color="000000" w:fill="FFFFE1"/>
            <w:noWrap/>
            <w:vAlign w:val="bottom"/>
            <w:hideMark/>
          </w:tcPr>
          <w:p w14:paraId="3202455D" w14:textId="77777777" w:rsidR="00D52C4C" w:rsidRPr="00D52C4C" w:rsidRDefault="00D52C4C" w:rsidP="00D52C4C">
            <w:pPr>
              <w:spacing w:line="240" w:lineRule="auto"/>
              <w:jc w:val="right"/>
              <w:rPr>
                <w:rFonts w:ascii="Cambria" w:hAnsi="Cambria" w:cs="Calibri"/>
                <w:sz w:val="20"/>
                <w:szCs w:val="20"/>
              </w:rPr>
            </w:pPr>
            <w:r w:rsidRPr="00D52C4C">
              <w:rPr>
                <w:rFonts w:ascii="Cambria" w:hAnsi="Cambria" w:cs="Calibri"/>
                <w:sz w:val="20"/>
                <w:szCs w:val="20"/>
              </w:rPr>
              <w:t>44416,59</w:t>
            </w:r>
          </w:p>
        </w:tc>
        <w:tc>
          <w:tcPr>
            <w:tcW w:w="799" w:type="dxa"/>
            <w:tcBorders>
              <w:top w:val="nil"/>
              <w:left w:val="nil"/>
              <w:bottom w:val="single" w:sz="4" w:space="0" w:color="auto"/>
              <w:right w:val="single" w:sz="4" w:space="0" w:color="auto"/>
            </w:tcBorders>
            <w:shd w:val="clear" w:color="000000" w:fill="F2F2F2"/>
            <w:noWrap/>
            <w:vAlign w:val="bottom"/>
            <w:hideMark/>
          </w:tcPr>
          <w:p w14:paraId="1C2BCAAB" w14:textId="77777777" w:rsidR="00D52C4C" w:rsidRPr="00D52C4C" w:rsidRDefault="00D52C4C" w:rsidP="00D52C4C">
            <w:pPr>
              <w:spacing w:line="240" w:lineRule="auto"/>
              <w:jc w:val="right"/>
              <w:rPr>
                <w:rFonts w:ascii="Cambria" w:hAnsi="Cambria" w:cs="Calibri"/>
                <w:color w:val="000000"/>
                <w:sz w:val="20"/>
                <w:szCs w:val="20"/>
              </w:rPr>
            </w:pPr>
            <w:r w:rsidRPr="00D52C4C">
              <w:rPr>
                <w:rFonts w:ascii="Cambria" w:hAnsi="Cambria" w:cs="Calibri"/>
                <w:color w:val="000000"/>
                <w:sz w:val="20"/>
                <w:szCs w:val="20"/>
              </w:rPr>
              <w:t>120</w:t>
            </w:r>
          </w:p>
        </w:tc>
        <w:tc>
          <w:tcPr>
            <w:tcW w:w="1417" w:type="dxa"/>
            <w:tcBorders>
              <w:top w:val="nil"/>
              <w:left w:val="nil"/>
              <w:bottom w:val="single" w:sz="4" w:space="0" w:color="auto"/>
              <w:right w:val="single" w:sz="4" w:space="0" w:color="auto"/>
            </w:tcBorders>
            <w:shd w:val="clear" w:color="000000" w:fill="F2F2F2"/>
            <w:vAlign w:val="bottom"/>
            <w:hideMark/>
          </w:tcPr>
          <w:p w14:paraId="570AC4D8" w14:textId="77777777" w:rsidR="00D52C4C" w:rsidRPr="00D52C4C" w:rsidRDefault="00D52C4C" w:rsidP="00D52C4C">
            <w:pPr>
              <w:spacing w:line="240" w:lineRule="auto"/>
              <w:jc w:val="right"/>
              <w:rPr>
                <w:rFonts w:ascii="Cambria" w:hAnsi="Cambria" w:cs="Calibri"/>
                <w:sz w:val="20"/>
                <w:szCs w:val="20"/>
              </w:rPr>
            </w:pPr>
            <w:r w:rsidRPr="00D52C4C">
              <w:rPr>
                <w:rFonts w:ascii="Cambria" w:hAnsi="Cambria" w:cs="Calibri"/>
                <w:sz w:val="20"/>
                <w:szCs w:val="20"/>
              </w:rPr>
              <w:t>4 845 446,40</w:t>
            </w:r>
          </w:p>
        </w:tc>
      </w:tr>
      <w:tr w:rsidR="00D52C4C" w:rsidRPr="00D52C4C" w14:paraId="51394F32" w14:textId="77777777" w:rsidTr="00D52C4C">
        <w:trPr>
          <w:trHeight w:val="288"/>
        </w:trPr>
        <w:tc>
          <w:tcPr>
            <w:tcW w:w="936" w:type="dxa"/>
            <w:tcBorders>
              <w:top w:val="nil"/>
              <w:left w:val="single" w:sz="4" w:space="0" w:color="FFFFFF"/>
              <w:bottom w:val="nil"/>
              <w:right w:val="single" w:sz="4" w:space="0" w:color="FFFFFF"/>
            </w:tcBorders>
            <w:shd w:val="clear" w:color="auto" w:fill="auto"/>
            <w:noWrap/>
            <w:vAlign w:val="bottom"/>
            <w:hideMark/>
          </w:tcPr>
          <w:p w14:paraId="386F43B7"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611" w:type="dxa"/>
            <w:tcBorders>
              <w:top w:val="nil"/>
              <w:left w:val="nil"/>
              <w:bottom w:val="nil"/>
              <w:right w:val="single" w:sz="4" w:space="0" w:color="FFFFFF"/>
            </w:tcBorders>
            <w:shd w:val="clear" w:color="auto" w:fill="auto"/>
            <w:noWrap/>
            <w:vAlign w:val="bottom"/>
            <w:hideMark/>
          </w:tcPr>
          <w:p w14:paraId="1F85A0EB"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647B1E40"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992" w:type="dxa"/>
            <w:tcBorders>
              <w:top w:val="nil"/>
              <w:left w:val="nil"/>
              <w:bottom w:val="nil"/>
              <w:right w:val="single" w:sz="4" w:space="0" w:color="FFFFFF"/>
            </w:tcBorders>
            <w:shd w:val="clear" w:color="auto" w:fill="auto"/>
            <w:noWrap/>
            <w:vAlign w:val="bottom"/>
            <w:hideMark/>
          </w:tcPr>
          <w:p w14:paraId="62447702"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701" w:type="dxa"/>
            <w:tcBorders>
              <w:top w:val="nil"/>
              <w:left w:val="nil"/>
              <w:bottom w:val="nil"/>
              <w:right w:val="single" w:sz="4" w:space="0" w:color="FFFFFF"/>
            </w:tcBorders>
            <w:shd w:val="clear" w:color="auto" w:fill="auto"/>
            <w:noWrap/>
            <w:vAlign w:val="bottom"/>
            <w:hideMark/>
          </w:tcPr>
          <w:p w14:paraId="779667EE"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764" w:type="dxa"/>
            <w:tcBorders>
              <w:top w:val="nil"/>
              <w:left w:val="nil"/>
              <w:bottom w:val="nil"/>
              <w:right w:val="single" w:sz="4" w:space="0" w:color="FFFFFF"/>
            </w:tcBorders>
            <w:shd w:val="clear" w:color="auto" w:fill="auto"/>
            <w:noWrap/>
            <w:vAlign w:val="bottom"/>
            <w:hideMark/>
          </w:tcPr>
          <w:p w14:paraId="601E1E5A"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241" w:type="dxa"/>
            <w:tcBorders>
              <w:top w:val="nil"/>
              <w:left w:val="nil"/>
              <w:bottom w:val="nil"/>
              <w:right w:val="single" w:sz="4" w:space="0" w:color="FFFFFF"/>
            </w:tcBorders>
            <w:shd w:val="clear" w:color="auto" w:fill="auto"/>
            <w:noWrap/>
            <w:vAlign w:val="bottom"/>
            <w:hideMark/>
          </w:tcPr>
          <w:p w14:paraId="7E7F5D80"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495" w:type="dxa"/>
            <w:tcBorders>
              <w:top w:val="nil"/>
              <w:left w:val="nil"/>
              <w:bottom w:val="nil"/>
              <w:right w:val="single" w:sz="4" w:space="0" w:color="FFFFFF"/>
            </w:tcBorders>
            <w:shd w:val="clear" w:color="auto" w:fill="auto"/>
            <w:noWrap/>
            <w:vAlign w:val="bottom"/>
            <w:hideMark/>
          </w:tcPr>
          <w:p w14:paraId="7732EC89"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061" w:type="dxa"/>
            <w:tcBorders>
              <w:top w:val="nil"/>
              <w:left w:val="nil"/>
              <w:bottom w:val="nil"/>
              <w:right w:val="single" w:sz="4" w:space="0" w:color="FFFFFF"/>
            </w:tcBorders>
            <w:shd w:val="clear" w:color="auto" w:fill="auto"/>
            <w:noWrap/>
            <w:vAlign w:val="bottom"/>
            <w:hideMark/>
          </w:tcPr>
          <w:p w14:paraId="77A9397B"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846" w:type="dxa"/>
            <w:tcBorders>
              <w:top w:val="nil"/>
              <w:left w:val="nil"/>
              <w:bottom w:val="nil"/>
              <w:right w:val="single" w:sz="4" w:space="0" w:color="FFFFFF"/>
            </w:tcBorders>
            <w:shd w:val="clear" w:color="auto" w:fill="auto"/>
            <w:noWrap/>
            <w:vAlign w:val="bottom"/>
            <w:hideMark/>
          </w:tcPr>
          <w:p w14:paraId="320F0B50"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016" w:type="dxa"/>
            <w:tcBorders>
              <w:top w:val="nil"/>
              <w:left w:val="nil"/>
              <w:bottom w:val="nil"/>
              <w:right w:val="single" w:sz="4" w:space="0" w:color="FFFFFF"/>
            </w:tcBorders>
            <w:shd w:val="clear" w:color="auto" w:fill="auto"/>
            <w:noWrap/>
            <w:vAlign w:val="bottom"/>
            <w:hideMark/>
          </w:tcPr>
          <w:p w14:paraId="0631B7A2"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799" w:type="dxa"/>
            <w:tcBorders>
              <w:top w:val="nil"/>
              <w:left w:val="nil"/>
              <w:bottom w:val="nil"/>
              <w:right w:val="single" w:sz="4" w:space="0" w:color="FFFFFF"/>
            </w:tcBorders>
            <w:shd w:val="clear" w:color="auto" w:fill="auto"/>
            <w:noWrap/>
            <w:vAlign w:val="bottom"/>
            <w:hideMark/>
          </w:tcPr>
          <w:p w14:paraId="3C5E84D7"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c>
          <w:tcPr>
            <w:tcW w:w="1417" w:type="dxa"/>
            <w:tcBorders>
              <w:top w:val="nil"/>
              <w:left w:val="nil"/>
              <w:bottom w:val="nil"/>
              <w:right w:val="single" w:sz="4" w:space="0" w:color="FFFFFF"/>
            </w:tcBorders>
            <w:shd w:val="clear" w:color="auto" w:fill="auto"/>
            <w:noWrap/>
            <w:vAlign w:val="bottom"/>
            <w:hideMark/>
          </w:tcPr>
          <w:p w14:paraId="111AEE6C" w14:textId="77777777" w:rsidR="00D52C4C" w:rsidRPr="00D52C4C" w:rsidRDefault="00D52C4C" w:rsidP="00D52C4C">
            <w:pPr>
              <w:spacing w:line="240" w:lineRule="auto"/>
              <w:jc w:val="left"/>
              <w:rPr>
                <w:rFonts w:ascii="Cambria" w:hAnsi="Cambria" w:cs="Calibri"/>
                <w:color w:val="000000"/>
                <w:sz w:val="20"/>
                <w:szCs w:val="20"/>
              </w:rPr>
            </w:pPr>
            <w:r w:rsidRPr="00D52C4C">
              <w:rPr>
                <w:rFonts w:ascii="Cambria" w:hAnsi="Cambria" w:cs="Calibri"/>
                <w:color w:val="000000"/>
                <w:sz w:val="20"/>
                <w:szCs w:val="20"/>
              </w:rPr>
              <w:t> </w:t>
            </w:r>
          </w:p>
        </w:tc>
      </w:tr>
      <w:tr w:rsidR="00D52C4C" w:rsidRPr="00D52C4C" w14:paraId="3CC05D67" w14:textId="77777777" w:rsidTr="00D52C4C">
        <w:trPr>
          <w:trHeight w:val="288"/>
        </w:trPr>
        <w:tc>
          <w:tcPr>
            <w:tcW w:w="14454" w:type="dxa"/>
            <w:gridSpan w:val="12"/>
            <w:tcBorders>
              <w:top w:val="single" w:sz="4" w:space="0" w:color="auto"/>
              <w:left w:val="single" w:sz="4" w:space="0" w:color="auto"/>
              <w:bottom w:val="single" w:sz="4" w:space="0" w:color="auto"/>
              <w:right w:val="nil"/>
            </w:tcBorders>
            <w:shd w:val="clear" w:color="000000" w:fill="F2F2F2"/>
            <w:noWrap/>
            <w:vAlign w:val="bottom"/>
            <w:hideMark/>
          </w:tcPr>
          <w:p w14:paraId="1EA00037" w14:textId="77777777" w:rsidR="00D52C4C" w:rsidRPr="00D52C4C" w:rsidRDefault="00D52C4C" w:rsidP="00D52C4C">
            <w:pPr>
              <w:spacing w:line="240" w:lineRule="auto"/>
              <w:jc w:val="left"/>
              <w:rPr>
                <w:rFonts w:ascii="Cambria" w:hAnsi="Cambria" w:cs="Calibri"/>
                <w:b/>
                <w:bCs/>
                <w:sz w:val="20"/>
                <w:szCs w:val="20"/>
              </w:rPr>
            </w:pPr>
            <w:r w:rsidRPr="00D52C4C">
              <w:rPr>
                <w:rFonts w:ascii="Cambria" w:hAnsi="Cambria" w:cs="Calibri"/>
                <w:b/>
                <w:bCs/>
                <w:sz w:val="20"/>
                <w:szCs w:val="20"/>
              </w:rPr>
              <w:t>Celková nabídková cena (Kč bez DPH)</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B3509A8" w14:textId="77777777" w:rsidR="00D52C4C" w:rsidRPr="00D52C4C" w:rsidRDefault="00D52C4C" w:rsidP="00D52C4C">
            <w:pPr>
              <w:spacing w:line="240" w:lineRule="auto"/>
              <w:jc w:val="right"/>
              <w:rPr>
                <w:rFonts w:ascii="Cambria" w:hAnsi="Cambria" w:cs="Calibri"/>
                <w:sz w:val="20"/>
                <w:szCs w:val="20"/>
              </w:rPr>
            </w:pPr>
            <w:r w:rsidRPr="00D52C4C">
              <w:rPr>
                <w:rFonts w:ascii="Cambria" w:hAnsi="Cambria" w:cs="Calibri"/>
                <w:sz w:val="20"/>
                <w:szCs w:val="20"/>
              </w:rPr>
              <w:t>4 845 446,40</w:t>
            </w:r>
          </w:p>
        </w:tc>
      </w:tr>
    </w:tbl>
    <w:p w14:paraId="15EAF8C1" w14:textId="77777777" w:rsidR="00D52C4C" w:rsidRPr="000729CF" w:rsidRDefault="00D52C4C" w:rsidP="007E416F">
      <w:pPr>
        <w:jc w:val="center"/>
        <w:rPr>
          <w:b/>
        </w:rPr>
      </w:pPr>
    </w:p>
    <w:sectPr w:rsidR="00D52C4C" w:rsidRPr="000729CF" w:rsidSect="007426B4">
      <w:pgSz w:w="16838" w:h="11906" w:orient="landscape"/>
      <w:pgMar w:top="720" w:right="720" w:bottom="720" w:left="720" w:header="709"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1709F" w16cid:durableId="287784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656AC">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5656A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11D0"/>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83"/>
    <w:rsid w:val="004D42C2"/>
    <w:rsid w:val="004D4C0D"/>
    <w:rsid w:val="004D7A85"/>
    <w:rsid w:val="004E2A52"/>
    <w:rsid w:val="004E4993"/>
    <w:rsid w:val="004E7425"/>
    <w:rsid w:val="00500A87"/>
    <w:rsid w:val="00504461"/>
    <w:rsid w:val="00505883"/>
    <w:rsid w:val="00506266"/>
    <w:rsid w:val="005063F3"/>
    <w:rsid w:val="0051341C"/>
    <w:rsid w:val="005165F7"/>
    <w:rsid w:val="005237DF"/>
    <w:rsid w:val="0052509C"/>
    <w:rsid w:val="005255AE"/>
    <w:rsid w:val="00530753"/>
    <w:rsid w:val="00531121"/>
    <w:rsid w:val="00535F96"/>
    <w:rsid w:val="00542C4D"/>
    <w:rsid w:val="00544FA6"/>
    <w:rsid w:val="005452F8"/>
    <w:rsid w:val="00547D89"/>
    <w:rsid w:val="0055025A"/>
    <w:rsid w:val="00557002"/>
    <w:rsid w:val="005656AC"/>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408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1F60"/>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0B33"/>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2C4C"/>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5289">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858589897">
      <w:bodyDiv w:val="1"/>
      <w:marLeft w:val="0"/>
      <w:marRight w:val="0"/>
      <w:marTop w:val="0"/>
      <w:marBottom w:val="0"/>
      <w:divBdr>
        <w:top w:val="none" w:sz="0" w:space="0" w:color="auto"/>
        <w:left w:val="none" w:sz="0" w:space="0" w:color="auto"/>
        <w:bottom w:val="none" w:sz="0" w:space="0" w:color="auto"/>
        <w:right w:val="none" w:sz="0" w:space="0" w:color="auto"/>
      </w:divBdr>
    </w:div>
    <w:div w:id="990791765">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kl.cz/modules/medication/search.php?data%5Batc_group%5D=L03AX16&amp;data%5Bwith_adv%5D=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78c52381-f758-41be-8546-d878b91803ec"/>
    <ds:schemaRef ds:uri="http://www.w3.org/XML/1998/namespac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342E93-8C1E-4F9A-B4B9-8ED8DC85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3634</Words>
  <Characters>21443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62</cp:revision>
  <cp:lastPrinted>2023-05-20T12:37:00Z</cp:lastPrinted>
  <dcterms:created xsi:type="dcterms:W3CDTF">2020-08-10T07:55:00Z</dcterms:created>
  <dcterms:modified xsi:type="dcterms:W3CDTF">2023-10-17T11:20:00Z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