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306979">
        <w:rPr>
          <w:rFonts w:asciiTheme="minorHAnsi" w:hAnsiTheme="minorHAnsi"/>
          <w:b/>
          <w:sz w:val="36"/>
          <w:szCs w:val="40"/>
        </w:rPr>
        <w:t>15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</w:t>
      </w:r>
      <w:r w:rsidRPr="00BF0346">
        <w:rPr>
          <w:rFonts w:asciiTheme="minorHAnsi" w:hAnsiTheme="minorHAnsi"/>
          <w:b/>
          <w:sz w:val="36"/>
          <w:szCs w:val="40"/>
        </w:rPr>
        <w:t xml:space="preserve">. - Pravidla </w:t>
      </w:r>
      <w:r w:rsidR="00FA6A71" w:rsidRPr="00BF0346">
        <w:rPr>
          <w:rFonts w:asciiTheme="minorHAnsi" w:hAnsiTheme="minorHAnsi"/>
          <w:b/>
          <w:sz w:val="36"/>
          <w:szCs w:val="40"/>
        </w:rPr>
        <w:t>vol</w:t>
      </w:r>
      <w:r w:rsidR="006141C9" w:rsidRPr="00BF0346">
        <w:rPr>
          <w:rFonts w:asciiTheme="minorHAnsi" w:hAnsiTheme="minorHAnsi"/>
          <w:b/>
          <w:sz w:val="36"/>
          <w:szCs w:val="40"/>
        </w:rPr>
        <w:t>ného prodeje tisku</w:t>
      </w:r>
    </w:p>
    <w:p w:rsidR="0069288F" w:rsidRPr="00145816" w:rsidRDefault="00DB6D7B" w:rsidP="00BF0346">
      <w:pPr>
        <w:spacing w:before="120" w:after="120" w:line="240" w:lineRule="auto"/>
        <w:jc w:val="center"/>
        <w:rPr>
          <w:rFonts w:asciiTheme="minorHAnsi" w:hAnsiTheme="minorHAnsi"/>
          <w:b/>
          <w:strike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VLTAVA LABE MEDIA</w:t>
      </w:r>
      <w:r w:rsidR="0069288F" w:rsidRPr="00BF0346">
        <w:rPr>
          <w:rFonts w:asciiTheme="minorHAnsi" w:hAnsiTheme="minorHAnsi"/>
          <w:b/>
          <w:sz w:val="36"/>
          <w:szCs w:val="40"/>
        </w:rPr>
        <w:t xml:space="preserve"> a.s., FUTURA, a.s. a </w:t>
      </w:r>
      <w:r w:rsidR="0069288F" w:rsidRPr="00145816">
        <w:rPr>
          <w:rFonts w:asciiTheme="minorHAnsi" w:hAnsiTheme="minorHAnsi"/>
          <w:b/>
          <w:strike/>
          <w:sz w:val="36"/>
          <w:szCs w:val="40"/>
        </w:rPr>
        <w:t>Economia, a.s.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</w:t>
      </w:r>
      <w:r w:rsidR="00F21331" w:rsidRPr="00BF0346">
        <w:rPr>
          <w:rFonts w:asciiTheme="minorHAnsi" w:hAnsiTheme="minorHAnsi"/>
        </w:rPr>
        <w:t xml:space="preserve">stanovených touto </w:t>
      </w:r>
      <w:r w:rsidR="001C4E2A" w:rsidRPr="00BF0346">
        <w:rPr>
          <w:rFonts w:asciiTheme="minorHAnsi" w:hAnsiTheme="minorHAnsi"/>
        </w:rPr>
        <w:t>P</w:t>
      </w:r>
      <w:r w:rsidR="00306979">
        <w:rPr>
          <w:rFonts w:asciiTheme="minorHAnsi" w:hAnsiTheme="minorHAnsi"/>
        </w:rPr>
        <w:t>řílohou č. 15</w:t>
      </w:r>
      <w:r w:rsidR="002B58D6" w:rsidRPr="00BF0346">
        <w:rPr>
          <w:rFonts w:asciiTheme="minorHAnsi" w:hAnsiTheme="minorHAnsi"/>
        </w:rPr>
        <w:t>, část I.</w:t>
      </w:r>
      <w:r w:rsidRPr="00BF0346">
        <w:rPr>
          <w:rFonts w:asciiTheme="minorHAnsi" w:hAnsiTheme="minorHAnsi"/>
        </w:rPr>
        <w:t xml:space="preserve"> umožní Zástupci v Partnerovi Volný prodej tisku vydávaného</w:t>
      </w:r>
      <w:r w:rsidR="00DB6D7B" w:rsidRPr="00BF0346">
        <w:rPr>
          <w:rFonts w:asciiTheme="minorHAnsi" w:hAnsiTheme="minorHAnsi"/>
        </w:rPr>
        <w:t xml:space="preserve"> společnostmi VLTAVA LABE MEDIA a.s. (dále jen „společnost VLM</w:t>
      </w:r>
      <w:r w:rsidRPr="00BF0346">
        <w:rPr>
          <w:rFonts w:asciiTheme="minorHAnsi" w:hAnsiTheme="minorHAnsi"/>
        </w:rPr>
        <w:t xml:space="preserve">“), FUTURA, a.s. (dále jen „společnost FUTURA“) a </w:t>
      </w:r>
      <w:r w:rsidRPr="00145816">
        <w:rPr>
          <w:rFonts w:asciiTheme="minorHAnsi" w:hAnsiTheme="minorHAnsi"/>
          <w:strike/>
        </w:rPr>
        <w:t>Economia, a.s. (dále jen „společnost Economia</w:t>
      </w:r>
      <w:r w:rsidRPr="00BF0346">
        <w:rPr>
          <w:rFonts w:asciiTheme="minorHAnsi" w:hAnsiTheme="minorHAnsi"/>
        </w:rPr>
        <w:t xml:space="preserve">“) dodaného Zástupci na základě jeho objednávky ze strany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s.p. (dále jen „ČP“).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78236A">
        <w:rPr>
          <w:rFonts w:asciiTheme="minorHAnsi" w:hAnsiTheme="minorHAnsi"/>
        </w:rPr>
        <w:t xml:space="preserve">vydávaného společnostmi VLM, FUTURA  a </w:t>
      </w:r>
      <w:r w:rsidR="0078236A" w:rsidRPr="00145816">
        <w:rPr>
          <w:rFonts w:asciiTheme="minorHAnsi" w:hAnsiTheme="minorHAnsi"/>
          <w:strike/>
        </w:rPr>
        <w:t>Economia</w:t>
      </w:r>
      <w:r w:rsidR="0078236A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E35882">
        <w:rPr>
          <w:rFonts w:asciiTheme="minorHAnsi" w:hAnsiTheme="minorHAnsi"/>
        </w:rPr>
        <w:t xml:space="preserve">vydávaného společnostmi VLM, FUTURA  a </w:t>
      </w:r>
      <w:r w:rsidR="00E35882" w:rsidRPr="00145816">
        <w:rPr>
          <w:rFonts w:asciiTheme="minorHAnsi" w:hAnsiTheme="minorHAnsi"/>
          <w:strike/>
        </w:rPr>
        <w:t xml:space="preserve">Economia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Zástupce uskutečněné prostřednictvím e-mailu: </w:t>
      </w:r>
      <w:hyperlink r:id="rId8" w:history="1">
        <w:r w:rsidRPr="00BF0346">
          <w:rPr>
            <w:rFonts w:asciiTheme="minorHAnsi" w:hAnsiTheme="minorHAnsi"/>
          </w:rPr>
          <w:t>odbyt.prstc@cpost.cz</w:t>
        </w:r>
      </w:hyperlink>
      <w:r w:rsidRPr="00BF0346">
        <w:rPr>
          <w:rFonts w:asciiTheme="minorHAnsi" w:hAnsiTheme="minorHAnsi"/>
        </w:rPr>
        <w:t xml:space="preserve">, nebo na telefonních číslech 954 302 013, 954 302 015, 954 302 016. Tisk, který může být předmětem objednávky, je uveden v seznamu předaném Zástupci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objednávané tituly, jejich objednávané množství a dny, v nichž má Zástupce o dodání tisku zájem. Změnu objednávky lze učinit s alespoň desetidenním předstihem. ČP si vyhrazuje právo objednávce nevyhovět nebo ji nevyhovět v plném rozsahu.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 případě, že bude titul objednaný Zástupcem vyřazen se seznamu podle odstavce 2.3, objednávka zástupce se v tomto rozsahu ruší.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</w:t>
      </w:r>
      <w:r w:rsidR="00DB6D7B" w:rsidRPr="00BF0346">
        <w:rPr>
          <w:rFonts w:asciiTheme="minorHAnsi" w:hAnsiTheme="minorHAnsi"/>
        </w:rPr>
        <w:t>tisku vydávaného společností VLM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</w:t>
      </w:r>
      <w:r w:rsidR="00DB6D7B" w:rsidRPr="00BF0346">
        <w:rPr>
          <w:rFonts w:asciiTheme="minorHAnsi" w:hAnsiTheme="minorHAnsi"/>
        </w:rPr>
        <w:t>tisku vydávaného společností VLM</w:t>
      </w:r>
      <w:r w:rsidRPr="00BF0346">
        <w:rPr>
          <w:rFonts w:asciiTheme="minorHAnsi" w:hAnsiTheme="minorHAnsi"/>
        </w:rPr>
        <w:t xml:space="preserve"> se rozumí, prodej regionálních „Deníků“.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Deníků pro volný prodej je povinen Zástupce tyto 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Deníky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společností FUTURA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vydávaného společností FUTURA se rozumí, prodej deníku s názvem „Haló noviny“.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Po převzetí deníku pro volný prodej je povinen Zástupce tento deník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 v remitendě.  </w:t>
      </w:r>
    </w:p>
    <w:p w:rsidR="0069288F" w:rsidRPr="0014581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  <w:strike/>
        </w:rPr>
      </w:pPr>
      <w:r w:rsidRPr="00145816">
        <w:rPr>
          <w:rFonts w:asciiTheme="minorHAnsi" w:hAnsiTheme="minorHAnsi"/>
          <w:strike/>
        </w:rPr>
        <w:t xml:space="preserve">Volný prodej tisku </w:t>
      </w:r>
      <w:r w:rsidR="00E35882" w:rsidRPr="00145816">
        <w:rPr>
          <w:rFonts w:asciiTheme="minorHAnsi" w:hAnsiTheme="minorHAnsi"/>
          <w:strike/>
        </w:rPr>
        <w:t xml:space="preserve">vydávaného </w:t>
      </w:r>
      <w:r w:rsidRPr="00145816">
        <w:rPr>
          <w:rFonts w:asciiTheme="minorHAnsi" w:hAnsiTheme="minorHAnsi"/>
          <w:strike/>
        </w:rPr>
        <w:t>společností Economia</w:t>
      </w:r>
    </w:p>
    <w:p w:rsidR="0069288F" w:rsidRPr="0014581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  <w:strike/>
        </w:rPr>
      </w:pPr>
      <w:r w:rsidRPr="00145816">
        <w:rPr>
          <w:rFonts w:asciiTheme="minorHAnsi" w:hAnsiTheme="minorHAnsi"/>
          <w:strike/>
        </w:rPr>
        <w:t xml:space="preserve">Volným prodejem tisku vydávaným společností Economia se rozumí, prodej deníku s názvem „Hospodářské noviny“, prodej týdeníku s názvem „Ekonom“ a prodej týdeníku s názvem „Respekt“. </w:t>
      </w:r>
    </w:p>
    <w:p w:rsidR="0069288F" w:rsidRPr="0014581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  <w:strike/>
        </w:rPr>
      </w:pPr>
      <w:r w:rsidRPr="00145816">
        <w:rPr>
          <w:rFonts w:asciiTheme="minorHAnsi" w:hAnsiTheme="minorHAnsi"/>
          <w:strike/>
        </w:rPr>
        <w:t xml:space="preserve">Po převzetí deníku a týdeníků pro volný prodej je povinen Zástupce tento deník a týdeníky ihned naskladnit a prodávat přes APOST Terminál.  </w:t>
      </w:r>
    </w:p>
    <w:p w:rsidR="0069288F" w:rsidRPr="0014581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  <w:strike/>
        </w:rPr>
      </w:pPr>
      <w:r w:rsidRPr="00145816">
        <w:rPr>
          <w:rFonts w:asciiTheme="minorHAnsi" w:hAnsiTheme="minorHAnsi"/>
          <w:strike/>
        </w:rPr>
        <w:t xml:space="preserve">Neprodané výtisky deníku je Zástupce povinen na konci otevírací doby vyskladnit z APOST Terminálu a odeslat dle aktuální Technologické příručky pro Partnera. Týdeníky se vyskladní z APOST Terminálu při dodání nového čísla vydání, postupy dle aktuální Technologické příručky pro Partnera v remitendě.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uskutečněný prodej tisku jménem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APOST po zaplacení ceny tisku. 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ze strany finančního úřadu.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Zástupce je oprávněn zveřejňovat jakékoli propagační materiály obsahující ochrannou známku či obchod</w:t>
      </w:r>
      <w:r w:rsidR="00DB6D7B" w:rsidRPr="00BF0346">
        <w:rPr>
          <w:rFonts w:asciiTheme="minorHAnsi" w:hAnsiTheme="minorHAnsi"/>
        </w:rPr>
        <w:t>ní firmu či logo společností VLM</w:t>
      </w:r>
      <w:r w:rsidRPr="00BF0346">
        <w:rPr>
          <w:rFonts w:asciiTheme="minorHAnsi" w:hAnsiTheme="minorHAnsi"/>
        </w:rPr>
        <w:t xml:space="preserve">, FUTURA a </w:t>
      </w:r>
      <w:r w:rsidRPr="00145816">
        <w:rPr>
          <w:rFonts w:asciiTheme="minorHAnsi" w:hAnsiTheme="minorHAnsi"/>
          <w:strike/>
        </w:rPr>
        <w:t>Economia</w:t>
      </w:r>
      <w:r w:rsidRPr="00BF0346">
        <w:rPr>
          <w:rFonts w:asciiTheme="minorHAnsi" w:hAnsiTheme="minorHAnsi"/>
        </w:rPr>
        <w:t xml:space="preserve">, jakož i vést jakékoli reklamní kampaně, obsahující ochrannou známku či obchodní firmu či logo výše uvedených společností, týkající se předmětu této přílohy, nebo jakoukoli jinou reklamní kampaň směřující k propagaci Volného prodeje tisku v Partnerovi pouze na základě pokynu nebo s předchozím písemným souhlasem ČP.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Provize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Volný prodej tisku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</w:t>
      </w:r>
      <w:r w:rsidR="00306979">
        <w:rPr>
          <w:rFonts w:asciiTheme="minorHAnsi" w:hAnsiTheme="minorHAnsi"/>
          <w:b/>
          <w:sz w:val="24"/>
          <w:szCs w:val="24"/>
        </w:rPr>
        <w:t>15</w:t>
      </w:r>
      <w:r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</w:t>
      </w:r>
      <w:r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Volného prodeje tisku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6141C9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6141C9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6141C9" w:rsidRPr="00BF0346">
        <w:rPr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F701DF" w:rsidRPr="00BF0346">
        <w:rPr>
          <w:rFonts w:asciiTheme="minorHAnsi" w:hAnsiTheme="minorHAnsi"/>
        </w:rPr>
        <w:t xml:space="preserve">Výpovědní doba </w:t>
      </w:r>
      <w:r w:rsidRPr="00BF0346">
        <w:rPr>
          <w:rFonts w:asciiTheme="minorHAnsi" w:hAnsiTheme="minorHAnsi"/>
        </w:rPr>
        <w:t xml:space="preserve">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6141C9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6141C9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 xml:space="preserve">řílohy č. </w:t>
      </w:r>
      <w:r w:rsidR="00306979">
        <w:rPr>
          <w:rFonts w:asciiTheme="minorHAnsi" w:hAnsiTheme="minorHAnsi"/>
        </w:rPr>
        <w:t>15</w:t>
      </w:r>
      <w:r w:rsidRPr="00BF0346">
        <w:rPr>
          <w:rFonts w:asciiTheme="minorHAnsi" w:hAnsiTheme="minorHAnsi"/>
        </w:rPr>
        <w:t>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  <w:bookmarkStart w:id="0" w:name="_GoBack"/>
      <w:bookmarkEnd w:id="0"/>
    </w:p>
    <w:sectPr w:rsidR="0069288F" w:rsidRPr="00BF034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69" w:rsidRDefault="00711A69" w:rsidP="00E26E3A">
      <w:pPr>
        <w:spacing w:line="240" w:lineRule="auto"/>
      </w:pPr>
      <w:r>
        <w:separator/>
      </w:r>
    </w:p>
  </w:endnote>
  <w:endnote w:type="continuationSeparator" w:id="0">
    <w:p w:rsidR="00711A69" w:rsidRDefault="00711A6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145816">
      <w:rPr>
        <w:noProof/>
      </w:rPr>
      <w:t>3</w:t>
    </w:r>
    <w:r>
      <w:rPr>
        <w:noProof/>
      </w:rPr>
      <w:fldChar w:fldCharType="end"/>
    </w:r>
    <w:r>
      <w:t>/</w:t>
    </w:r>
    <w:r w:rsidR="00145816">
      <w:fldChar w:fldCharType="begin"/>
    </w:r>
    <w:r w:rsidR="00145816">
      <w:instrText xml:space="preserve"> NUMPAGES  \* Arabic  \* MERGEFORMAT </w:instrText>
    </w:r>
    <w:r w:rsidR="00145816">
      <w:fldChar w:fldCharType="separate"/>
    </w:r>
    <w:r w:rsidR="00145816">
      <w:rPr>
        <w:noProof/>
      </w:rPr>
      <w:t>3</w:t>
    </w:r>
    <w:r w:rsidR="00145816">
      <w:rPr>
        <w:noProof/>
      </w:rPr>
      <w:fldChar w:fldCharType="end"/>
    </w:r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69" w:rsidRDefault="00711A69" w:rsidP="00E26E3A">
      <w:pPr>
        <w:spacing w:line="240" w:lineRule="auto"/>
      </w:pPr>
      <w:r>
        <w:separator/>
      </w:r>
    </w:p>
  </w:footnote>
  <w:footnote w:type="continuationSeparator" w:id="0">
    <w:p w:rsidR="00711A69" w:rsidRDefault="00711A6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Pr="000D24CD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DC27D3B" wp14:editId="194B016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D816C09" wp14:editId="191A882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9E56BBA" wp14:editId="61627D3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r w:rsidR="000D24CD">
      <w:rPr>
        <w:rFonts w:asciiTheme="minorHAnsi" w:hAnsiTheme="minorHAnsi"/>
        <w:color w:val="002776"/>
        <w:lang w:val="cs-CZ"/>
      </w:rPr>
      <w:t>1</w:t>
    </w:r>
    <w:r w:rsidR="00306979">
      <w:rPr>
        <w:rFonts w:asciiTheme="minorHAnsi" w:hAnsiTheme="minorHAnsi"/>
        <w:color w:val="002776"/>
        <w:lang w:val="cs-CZ"/>
      </w:rPr>
      <w:t>5</w:t>
    </w:r>
  </w:p>
  <w:p w:rsidR="00FA6A71" w:rsidRPr="006141C9" w:rsidRDefault="00FA6A71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  <w:r w:rsidR="00145816">
      <w:rPr>
        <w:rFonts w:asciiTheme="minorHAnsi" w:hAnsiTheme="minorHAnsi" w:cs="Arial"/>
        <w:b/>
        <w:lang w:val="cs-CZ"/>
      </w:rPr>
      <w:t xml:space="preserve">                                                                    </w:t>
    </w:r>
    <w:r w:rsidR="00145816">
      <w:rPr>
        <w:rFonts w:asciiTheme="minorHAnsi" w:hAnsiTheme="minorHAnsi"/>
        <w:b/>
      </w:rPr>
      <w:t>partner – Dolní Újezd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816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979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A69"/>
    <w:rsid w:val="00722799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75C3"/>
    <w:rsid w:val="00C41461"/>
    <w:rsid w:val="00C4695D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A0521"/>
    <w:rsid w:val="00FA0C4B"/>
    <w:rsid w:val="00FA5FCB"/>
    <w:rsid w:val="00FA6A71"/>
    <w:rsid w:val="00FA780E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.prstc@cpos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3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2017-03-22T13:14:00Z</cp:lastPrinted>
  <dcterms:created xsi:type="dcterms:W3CDTF">2016-08-15T10:40:00Z</dcterms:created>
  <dcterms:modified xsi:type="dcterms:W3CDTF">2017-03-22T13:14:00Z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