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3"/>
          <w:b/>
          <w:bCs/>
        </w:rPr>
        <w:t>maxprogres:'</w:t>
      </w:r>
    </w:p>
    <w:tbl>
      <w:tblPr>
        <w:tblOverlap w:val="never"/>
        <w:jc w:val="center"/>
        <w:tblLayout w:type="fixed"/>
      </w:tblPr>
      <w:tblGrid>
        <w:gridCol w:w="2030"/>
        <w:gridCol w:w="4008"/>
        <w:gridCol w:w="730"/>
        <w:gridCol w:w="1426"/>
        <w:gridCol w:w="1651"/>
      </w:tblGrid>
      <w:tr>
        <w:trPr>
          <w:trHeight w:val="254" w:hRule="exact"/>
        </w:trPr>
        <w:tc>
          <w:tcPr>
            <w:tcBorders>
              <w:top w:val="single" w:sz="4"/>
            </w:tcBorders>
            <w:shd w:val="clear" w:color="auto" w:fill="EA2A2B"/>
            <w:vAlign w:val="top"/>
          </w:tcPr>
          <w:p>
            <w:pPr>
              <w:pStyle w:val="Style4"/>
              <w:keepNext w:val="0"/>
              <w:keepLines w:val="0"/>
              <w:widowControl w:val="0"/>
              <w:pBdr>
                <w:top w:val="single" w:sz="0" w:space="0" w:color="EA3132"/>
                <w:left w:val="single" w:sz="0" w:space="0" w:color="EA3132"/>
                <w:bottom w:val="single" w:sz="0" w:space="0" w:color="EA3132"/>
                <w:right w:val="single" w:sz="0" w:space="0" w:color="EA3132"/>
              </w:pBdr>
              <w:shd w:val="clear" w:color="auto" w:fill="EA3132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5"/>
                <w:b/>
                <w:bCs/>
                <w:color w:val="FFFFFF"/>
                <w:sz w:val="15"/>
                <w:szCs w:val="15"/>
              </w:rPr>
              <w:t xml:space="preserve">I </w:t>
            </w:r>
            <w:r>
              <w:rPr>
                <w:rStyle w:val="CharStyle5"/>
                <w:b/>
                <w:bCs/>
                <w:color w:val="FDDCD8"/>
                <w:sz w:val="15"/>
                <w:szCs w:val="15"/>
              </w:rPr>
              <w:t>Datum:</w:t>
            </w:r>
          </w:p>
        </w:tc>
        <w:tc>
          <w:tcPr>
            <w:gridSpan w:val="3"/>
            <w:tcBorders/>
            <w:shd w:val="clear" w:color="auto" w:fill="EA2A2B"/>
            <w:vAlign w:val="top"/>
          </w:tcPr>
          <w:p>
            <w:pPr>
              <w:pStyle w:val="Style4"/>
              <w:keepNext w:val="0"/>
              <w:keepLines w:val="0"/>
              <w:widowControl w:val="0"/>
              <w:pBdr>
                <w:top w:val="single" w:sz="0" w:space="0" w:color="E92F2F"/>
                <w:left w:val="single" w:sz="0" w:space="0" w:color="E92F2F"/>
                <w:bottom w:val="single" w:sz="0" w:space="0" w:color="E92F2F"/>
                <w:right w:val="single" w:sz="0" w:space="0" w:color="E92F2F"/>
              </w:pBdr>
              <w:shd w:val="clear" w:color="auto" w:fill="E92F2F"/>
              <w:tabs>
                <w:tab w:leader="dot" w:pos="1469" w:val="right"/>
                <w:tab w:pos="1584" w:val="left"/>
                <w:tab w:pos="2016" w:val="left"/>
                <w:tab w:pos="3125" w:val="left"/>
                <w:tab w:pos="3317" w:val="left"/>
                <w:tab w:leader="hyphen" w:pos="3878" w:val="left"/>
                <w:tab w:leader="hyphen" w:pos="3979" w:val="left"/>
                <w:tab w:leader="hyphen" w:pos="4042" w:val="left"/>
                <w:tab w:leader="hyphen" w:pos="4445" w:val="left"/>
                <w:tab w:leader="hyphen" w:pos="5491" w:val="left"/>
                <w:tab w:leader="hyphen" w:pos="5510" w:val="left"/>
                <w:tab w:leader="hyphen" w:pos="616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Style w:val="CharStyle5"/>
                <w:color w:val="E06261"/>
                <w:sz w:val="8"/>
                <w:szCs w:val="8"/>
              </w:rPr>
              <w:t>——</w:t>
              <w:tab/>
              <w:t xml:space="preserve">     .</w:t>
              <w:tab/>
              <w:t>,.</w:t>
              <w:tab/>
              <w:t>— ■</w:t>
              <w:tab/>
              <w:t>,</w:t>
              <w:tab/>
              <w:tab/>
              <w:t xml:space="preserve"> </w:t>
              <w:tab/>
              <w:tab/>
              <w:tab/>
              <w:t>.</w:t>
              <w:tab/>
              <w:tab/>
              <w:tab/>
            </w:r>
          </w:p>
        </w:tc>
        <w:tc>
          <w:tcPr>
            <w:tcBorders/>
            <w:shd w:val="clear" w:color="auto" w:fill="EA2A2B"/>
            <w:vAlign w:val="top"/>
          </w:tcPr>
          <w:p>
            <w:pPr>
              <w:pStyle w:val="Style4"/>
              <w:keepNext w:val="0"/>
              <w:keepLines w:val="0"/>
              <w:widowControl w:val="0"/>
              <w:pBdr>
                <w:top w:val="single" w:sz="0" w:space="0" w:color="E72E2E"/>
                <w:left w:val="single" w:sz="0" w:space="0" w:color="E72E2E"/>
                <w:bottom w:val="single" w:sz="0" w:space="0" w:color="E72E2E"/>
                <w:right w:val="single" w:sz="0" w:space="0" w:color="E72E2E"/>
              </w:pBdr>
              <w:shd w:val="clear" w:color="auto" w:fill="E72E2E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5"/>
                <w:b/>
                <w:bCs/>
                <w:color w:val="FFFFFF"/>
                <w:sz w:val="15"/>
                <w:szCs w:val="15"/>
              </w:rPr>
              <w:t>01.09.20231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5"/>
                <w:b/>
                <w:bCs/>
                <w:sz w:val="15"/>
                <w:szCs w:val="15"/>
              </w:rPr>
              <w:t>Název akce:</w:t>
            </w:r>
          </w:p>
        </w:tc>
        <w:tc>
          <w:tcPr>
            <w:gridSpan w:val="3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5"/>
                <w:b/>
                <w:bCs/>
                <w:sz w:val="15"/>
                <w:szCs w:val="15"/>
              </w:rPr>
              <w:t>VOKAR143-1-001 - Vodárna Káraný servis</w:t>
            </w:r>
          </w:p>
        </w:tc>
      </w:tr>
      <w:tr>
        <w:trPr>
          <w:trHeight w:val="42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5"/>
                <w:b/>
                <w:bCs/>
                <w:sz w:val="15"/>
                <w:szCs w:val="15"/>
              </w:rPr>
              <w:t>Předmět nabídky: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5"/>
                <w:b/>
                <w:bCs/>
                <w:sz w:val="15"/>
                <w:szCs w:val="15"/>
              </w:rPr>
              <w:t>Funkční zkoušky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5"/>
                <w:b/>
                <w:bCs/>
                <w:sz w:val="15"/>
                <w:szCs w:val="15"/>
              </w:rPr>
              <w:t>Objednatel: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5"/>
                <w:b/>
                <w:bCs/>
                <w:sz w:val="15"/>
                <w:szCs w:val="15"/>
              </w:rPr>
              <w:t>Vodárna Káraný, a.s.</w:t>
            </w:r>
          </w:p>
        </w:tc>
      </w:tr>
      <w:tr>
        <w:trPr>
          <w:trHeight w:val="42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5"/>
                <w:b/>
                <w:bCs/>
                <w:sz w:val="15"/>
                <w:szCs w:val="15"/>
              </w:rPr>
              <w:t>Nabídka MAXPROGRES, s.r.o. č.: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5"/>
                <w:b/>
                <w:bCs/>
                <w:sz w:val="15"/>
                <w:szCs w:val="15"/>
              </w:rPr>
              <w:t>VOKAR143-1-001-230901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5"/>
                <w:b/>
                <w:bCs/>
                <w:sz w:val="15"/>
                <w:szCs w:val="15"/>
              </w:rPr>
              <w:t>Zpracoval: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5"/>
                <w:b/>
                <w:bCs/>
                <w:sz w:val="15"/>
                <w:szCs w:val="15"/>
              </w:rPr>
              <w:t>Patrik Dvořáček, Marek Zumr</w:t>
            </w:r>
          </w:p>
        </w:tc>
      </w:tr>
      <w:tr>
        <w:trPr>
          <w:trHeight w:val="226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/>
            <w:shd w:val="clear" w:color="auto" w:fill="EA2A2B"/>
            <w:vAlign w:val="center"/>
          </w:tcPr>
          <w:p>
            <w:pPr>
              <w:pStyle w:val="Style4"/>
              <w:keepNext w:val="0"/>
              <w:keepLines w:val="0"/>
              <w:widowControl w:val="0"/>
              <w:pBdr>
                <w:top w:val="single" w:sz="0" w:space="0" w:color="EB2A2B"/>
                <w:left w:val="single" w:sz="0" w:space="0" w:color="EB2A2B"/>
                <w:bottom w:val="single" w:sz="0" w:space="0" w:color="EB2A2B"/>
                <w:right w:val="single" w:sz="0" w:space="0" w:color="EB2A2B"/>
              </w:pBdr>
              <w:shd w:val="clear" w:color="auto" w:fill="EB2A2B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5"/>
                <w:b/>
                <w:bCs/>
                <w:color w:val="FDDCD8"/>
              </w:rPr>
              <w:t>Typové číslo</w:t>
            </w:r>
          </w:p>
        </w:tc>
        <w:tc>
          <w:tcPr>
            <w:tcBorders/>
            <w:shd w:val="clear" w:color="auto" w:fill="EA2A2B"/>
            <w:vAlign w:val="center"/>
          </w:tcPr>
          <w:p>
            <w:pPr>
              <w:pStyle w:val="Style4"/>
              <w:keepNext w:val="0"/>
              <w:keepLines w:val="0"/>
              <w:widowControl w:val="0"/>
              <w:pBdr>
                <w:top w:val="single" w:sz="0" w:space="0" w:color="EB2A2A"/>
                <w:left w:val="single" w:sz="0" w:space="0" w:color="EB2A2A"/>
                <w:bottom w:val="single" w:sz="0" w:space="0" w:color="EB2A2A"/>
                <w:right w:val="single" w:sz="0" w:space="0" w:color="EB2A2A"/>
              </w:pBdr>
              <w:shd w:val="clear" w:color="auto" w:fill="EB2A2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  <w:color w:val="FDDCD8"/>
              </w:rPr>
              <w:t>Název položky</w:t>
            </w:r>
          </w:p>
        </w:tc>
        <w:tc>
          <w:tcPr>
            <w:tcBorders/>
            <w:shd w:val="clear" w:color="auto" w:fill="EA2A2B"/>
            <w:vAlign w:val="top"/>
          </w:tcPr>
          <w:p>
            <w:pPr>
              <w:pStyle w:val="Style4"/>
              <w:keepNext w:val="0"/>
              <w:keepLines w:val="0"/>
              <w:widowControl w:val="0"/>
              <w:pBdr>
                <w:top w:val="single" w:sz="0" w:space="0" w:color="E92729"/>
                <w:left w:val="single" w:sz="0" w:space="0" w:color="E92729"/>
                <w:bottom w:val="single" w:sz="0" w:space="0" w:color="E92729"/>
                <w:right w:val="single" w:sz="0" w:space="0" w:color="E92729"/>
              </w:pBdr>
              <w:shd w:val="clear" w:color="auto" w:fill="E92729"/>
              <w:bidi w:val="0"/>
              <w:spacing w:before="0" w:after="0" w:line="31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  <w:color w:val="FDDCD8"/>
              </w:rPr>
              <w:t>MJ ks/m</w:t>
            </w:r>
          </w:p>
        </w:tc>
        <w:tc>
          <w:tcPr>
            <w:tcBorders/>
            <w:shd w:val="clear" w:color="auto" w:fill="EA2A2B"/>
            <w:vAlign w:val="top"/>
          </w:tcPr>
          <w:p>
            <w:pPr>
              <w:pStyle w:val="Style4"/>
              <w:keepNext w:val="0"/>
              <w:keepLines w:val="0"/>
              <w:widowControl w:val="0"/>
              <w:pBdr>
                <w:top w:val="single" w:sz="0" w:space="0" w:color="EA2929"/>
                <w:left w:val="single" w:sz="0" w:space="0" w:color="EA2929"/>
                <w:bottom w:val="single" w:sz="0" w:space="0" w:color="EA2929"/>
                <w:right w:val="single" w:sz="0" w:space="0" w:color="EA2929"/>
              </w:pBdr>
              <w:shd w:val="clear" w:color="auto" w:fill="EA2929"/>
              <w:bidi w:val="0"/>
              <w:spacing w:before="0" w:after="40" w:line="240" w:lineRule="auto"/>
              <w:ind w:left="0" w:right="0" w:firstLine="540"/>
              <w:jc w:val="left"/>
            </w:pPr>
            <w:r>
              <w:rPr>
                <w:rStyle w:val="CharStyle5"/>
                <w:b/>
                <w:bCs/>
                <w:color w:val="FDDCD8"/>
              </w:rPr>
              <w:t>cena</w:t>
            </w:r>
          </w:p>
          <w:p>
            <w:pPr>
              <w:pStyle w:val="Style4"/>
              <w:keepNext w:val="0"/>
              <w:keepLines w:val="0"/>
              <w:widowControl w:val="0"/>
              <w:pBdr>
                <w:top w:val="single" w:sz="0" w:space="0" w:color="EA2929"/>
                <w:left w:val="single" w:sz="0" w:space="0" w:color="EA2929"/>
                <w:bottom w:val="single" w:sz="0" w:space="0" w:color="EA2929"/>
                <w:right w:val="single" w:sz="0" w:space="0" w:color="EA2929"/>
              </w:pBdr>
              <w:shd w:val="clear" w:color="auto" w:fill="EA2929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5"/>
                <w:b/>
                <w:bCs/>
                <w:color w:val="FDDCD8"/>
              </w:rPr>
              <w:t>MJ bez DPH</w:t>
            </w:r>
          </w:p>
        </w:tc>
        <w:tc>
          <w:tcPr>
            <w:tcBorders/>
            <w:shd w:val="clear" w:color="auto" w:fill="EA2A2B"/>
            <w:vAlign w:val="top"/>
          </w:tcPr>
          <w:p>
            <w:pPr>
              <w:pStyle w:val="Style4"/>
              <w:keepNext w:val="0"/>
              <w:keepLines w:val="0"/>
              <w:widowControl w:val="0"/>
              <w:pBdr>
                <w:top w:val="single" w:sz="0" w:space="0" w:color="EB2A2A"/>
                <w:left w:val="single" w:sz="0" w:space="0" w:color="EB2A2A"/>
                <w:bottom w:val="single" w:sz="0" w:space="0" w:color="EB2A2A"/>
                <w:right w:val="single" w:sz="0" w:space="0" w:color="EB2A2A"/>
              </w:pBdr>
              <w:shd w:val="clear" w:color="auto" w:fill="EB2A2A"/>
              <w:bidi w:val="0"/>
              <w:spacing w:before="0" w:after="0" w:line="31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  <w:color w:val="FDDCD8"/>
              </w:rPr>
              <w:t>CELKEM bez DPH</w:t>
            </w:r>
          </w:p>
        </w:tc>
      </w:tr>
      <w:tr>
        <w:trPr>
          <w:trHeight w:val="240" w:hRule="exact"/>
        </w:trPr>
        <w:tc>
          <w:tcPr>
            <w:gridSpan w:val="5"/>
            <w:tcBorders>
              <w:left w:val="single" w:sz="4"/>
              <w:right w:val="single" w:sz="4"/>
            </w:tcBorders>
            <w:shd w:val="clear" w:color="auto" w:fill="EAE7E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Materiálové komponenty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5"/>
                <w:b/>
                <w:bCs/>
              </w:rPr>
              <w:t xml:space="preserve">APC </w:t>
            </w:r>
            <w:r>
              <w:rPr>
                <w:rStyle w:val="CharStyle5"/>
                <w:b/>
                <w:bCs/>
                <w:lang w:val="en-US" w:eastAsia="en-US"/>
              </w:rPr>
              <w:t xml:space="preserve">EASY </w:t>
            </w:r>
            <w:r>
              <w:rPr>
                <w:rStyle w:val="CharStyle5"/>
                <w:b/>
                <w:bCs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  <w:color w:val="515151"/>
              </w:rPr>
              <w:t xml:space="preserve">APC </w:t>
            </w:r>
            <w:r>
              <w:rPr>
                <w:rStyle w:val="CharStyle5"/>
              </w:rPr>
              <w:t xml:space="preserve">Easy UPS 1200VA </w:t>
            </w:r>
            <w:r>
              <w:rPr>
                <w:rStyle w:val="CharStyle5"/>
                <w:color w:val="515151"/>
              </w:rPr>
              <w:t>(650W) černá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5"/>
                <w:color w:val="515151"/>
              </w:rPr>
              <w:t xml:space="preserve">3 607,89 </w:t>
            </w:r>
            <w:r>
              <w:rPr>
                <w:rStyle w:val="CharStyle5"/>
              </w:rPr>
              <w:t>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5"/>
                <w:color w:val="515151"/>
              </w:rPr>
              <w:t>3 607,89 KČ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5"/>
                <w:b/>
                <w:bCs/>
              </w:rPr>
              <w:t xml:space="preserve">PS12170 </w:t>
            </w:r>
            <w:r>
              <w:rPr>
                <w:rStyle w:val="CharStyle5"/>
                <w:b/>
                <w:bCs/>
                <w:lang w:val="de-DE" w:eastAsia="de-DE"/>
              </w:rPr>
              <w:t>VdS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5"/>
              </w:rPr>
              <w:t>Akumulátor 12V/17Ah se šroubovými svorkami M5 a životností až 5 let, VdS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5"/>
              </w:rPr>
              <w:t>1 439,07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5"/>
              </w:rPr>
              <w:t>27 342,26 Kč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5"/>
                <w:b/>
                <w:bCs/>
              </w:rPr>
              <w:t xml:space="preserve">PS12380 </w:t>
            </w:r>
            <w:r>
              <w:rPr>
                <w:rStyle w:val="CharStyle5"/>
                <w:b/>
                <w:bCs/>
                <w:lang w:val="de-DE" w:eastAsia="de-DE"/>
              </w:rPr>
              <w:t>VdS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5"/>
              </w:rPr>
              <w:t>Akumulátor 12V/38Ah se šroubovými svorkami M6 a životností až 10 let, VdS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5"/>
              </w:rPr>
              <w:t>3 163,96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5"/>
              </w:rPr>
              <w:t>3 163,96 Kč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5"/>
                <w:b/>
                <w:bCs/>
              </w:rPr>
              <w:t xml:space="preserve">PS1270 </w:t>
            </w:r>
            <w:r>
              <w:rPr>
                <w:rStyle w:val="CharStyle5"/>
                <w:b/>
                <w:bCs/>
                <w:lang w:val="de-DE" w:eastAsia="de-DE"/>
              </w:rPr>
              <w:t>VdS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5"/>
              </w:rPr>
              <w:t>Akumulátor 12V/7Ah konektor Faston 187, životnost až 5 let, VdS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5"/>
              </w:rPr>
              <w:t>513,27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5"/>
              </w:rPr>
              <w:t>513,27 Kč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  <w:lang w:val="de-DE" w:eastAsia="de-DE"/>
              </w:rPr>
              <w:t>ATS-1111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5"/>
              </w:rPr>
              <w:t>ATS-1111 NÁHRADNÍ DÍL - Ovládací klávesnice s LCD displejem pro ústředny ATS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5"/>
              </w:rPr>
              <w:t>6 662,37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5"/>
              </w:rPr>
              <w:t>6 662,37 KČ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  <w:b/>
                <w:bCs/>
                <w:lang w:val="de-DE" w:eastAsia="de-DE"/>
              </w:rPr>
              <w:t>MF40101V2-1000U-A99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5"/>
              </w:rPr>
              <w:t>Ventilátor 12V/40mA, 40x40x1 Omm, 5800RPM, 20,6dB, MagLev Vapo MF40101V2-1000U-A99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5"/>
              </w:rPr>
              <w:t>143,00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5"/>
              </w:rPr>
              <w:t>715,00 Kč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Drobný instalační materiál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5"/>
              </w:rPr>
              <w:t>1 430,00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5"/>
              </w:rPr>
              <w:t>1 430,00 KČ</w:t>
            </w:r>
          </w:p>
        </w:tc>
      </w:tr>
      <w:tr>
        <w:trPr>
          <w:trHeight w:val="240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EAE7E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 xml:space="preserve">Montáže </w:t>
            </w:r>
            <w:r>
              <w:rPr>
                <w:rStyle w:val="CharStyle5"/>
                <w:b/>
                <w:bCs/>
                <w:sz w:val="15"/>
                <w:szCs w:val="15"/>
              </w:rPr>
              <w:t xml:space="preserve">a </w:t>
            </w:r>
            <w:r>
              <w:rPr>
                <w:rStyle w:val="CharStyle5"/>
                <w:b/>
                <w:bCs/>
              </w:rPr>
              <w:t>ostatní služby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  <w:b/>
                <w:bCs/>
              </w:rPr>
              <w:t>Práce servisního technika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  <w:color w:val="515151"/>
              </w:rPr>
              <w:t xml:space="preserve">Montáž, </w:t>
            </w:r>
            <w:r>
              <w:rPr>
                <w:rStyle w:val="CharStyle5"/>
              </w:rPr>
              <w:t xml:space="preserve">instalace a </w:t>
            </w:r>
            <w:r>
              <w:rPr>
                <w:rStyle w:val="CharStyle5"/>
                <w:color w:val="515151"/>
              </w:rPr>
              <w:t xml:space="preserve">zprovoznění </w:t>
            </w:r>
            <w:r>
              <w:rPr>
                <w:rStyle w:val="CharStyle5"/>
              </w:rPr>
              <w:t>akumulátorů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5"/>
              </w:rPr>
              <w:t xml:space="preserve">920,00 </w:t>
            </w:r>
            <w:r>
              <w:rPr>
                <w:rStyle w:val="CharStyle5"/>
                <w:color w:val="515151"/>
              </w:rPr>
              <w:t>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Style w:val="CharStyle5"/>
              </w:rPr>
              <w:t>18 400,00 Kč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  <w:b/>
                <w:bCs/>
              </w:rPr>
              <w:t>Práce servisního technika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Doplnění UPS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5"/>
              </w:rPr>
              <w:t>920,00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5"/>
              </w:rPr>
              <w:t>1 840,00 Kč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  <w:b/>
                <w:bCs/>
              </w:rPr>
              <w:t>Práce servisního technika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Výměna nové klávesnice.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5"/>
              </w:rPr>
              <w:t>920,00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5"/>
              </w:rPr>
              <w:t>2 760,00 KČ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  <w:b/>
                <w:bCs/>
              </w:rPr>
              <w:t>Práce servisního technika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Výměna ventilátorů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5"/>
              </w:rPr>
              <w:t>920,00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5"/>
              </w:rPr>
              <w:t>9 200,00 Kč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5"/>
                <w:b/>
                <w:bCs/>
              </w:rPr>
              <w:t>Práce servisního technika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5"/>
              </w:rPr>
              <w:t>Prověření závady a návrh na alternativu Otevřená smyčka Č36 MK OVŘ, inhib srn Č 22 a 23 fal pop Ptáci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5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5"/>
              </w:rPr>
              <w:t>920,00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5"/>
              </w:rPr>
              <w:t>2 760,00 KČ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  <w:b/>
                <w:bCs/>
              </w:rPr>
              <w:t>Práce technického specialisty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Zakreslení MK 111 provozní budova 1 .NP u PIR 112 v C4.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5"/>
              </w:rPr>
              <w:t>1 090,00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5"/>
              </w:rPr>
              <w:t>2 180,00 Kč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  <w:b/>
                <w:bCs/>
              </w:rPr>
              <w:t>Práce technického specialisty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Naprogramování nové klávesnice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5"/>
              </w:rPr>
              <w:t>1 090,00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5"/>
              </w:rPr>
              <w:t>2 180,00 Kč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  <w:b/>
                <w:bCs/>
              </w:rPr>
              <w:t>Doprava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Sazba Kč/km.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5"/>
              </w:rPr>
              <w:t>11.00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5"/>
              </w:rPr>
              <w:t>2 475.00 Kč</w:t>
            </w:r>
          </w:p>
        </w:tc>
      </w:tr>
      <w:tr>
        <w:trPr>
          <w:trHeight w:val="226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gridSpan w:val="4"/>
            <w:tcBorders>
              <w:top w:val="single" w:sz="4"/>
            </w:tcBorders>
            <w:shd w:val="clear" w:color="auto" w:fill="EA2A2B"/>
            <w:vAlign w:val="bottom"/>
          </w:tcPr>
          <w:p>
            <w:pPr>
              <w:pStyle w:val="Style4"/>
              <w:keepNext w:val="0"/>
              <w:keepLines w:val="0"/>
              <w:widowControl w:val="0"/>
              <w:pBdr>
                <w:top w:val="single" w:sz="0" w:space="0" w:color="EA2527"/>
                <w:left w:val="single" w:sz="0" w:space="0" w:color="EA2527"/>
                <w:bottom w:val="single" w:sz="0" w:space="0" w:color="EA2527"/>
                <w:right w:val="single" w:sz="0" w:space="0" w:color="EA2527"/>
              </w:pBdr>
              <w:shd w:val="clear" w:color="auto" w:fill="EA2527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5"/>
                <w:b/>
                <w:bCs/>
                <w:color w:val="FFFFFF"/>
                <w:sz w:val="19"/>
                <w:szCs w:val="19"/>
              </w:rPr>
              <w:t>Celkem bez DPH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4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5"/>
                <w:b/>
                <w:bCs/>
                <w:sz w:val="19"/>
                <w:szCs w:val="19"/>
              </w:rPr>
              <w:t>85 229,75 Kč</w:t>
            </w:r>
          </w:p>
        </w:tc>
      </w:tr>
      <w:tr>
        <w:trPr>
          <w:trHeight w:val="192" w:hRule="exact"/>
        </w:trPr>
        <w:tc>
          <w:tcPr>
            <w:gridSpan w:val="4"/>
            <w:tcBorders/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|DPH 21%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Style w:val="CharStyle5"/>
              </w:rPr>
              <w:t xml:space="preserve">17 </w:t>
            </w:r>
            <w:r>
              <w:rPr>
                <w:rStyle w:val="CharStyle5"/>
                <w:color w:val="515151"/>
              </w:rPr>
              <w:t xml:space="preserve">898,25 </w:t>
            </w:r>
            <w:r>
              <w:rPr>
                <w:rStyle w:val="CharStyle5"/>
              </w:rPr>
              <w:t>Kč</w:t>
            </w:r>
          </w:p>
        </w:tc>
      </w:tr>
      <w:tr>
        <w:trPr>
          <w:trHeight w:val="259" w:hRule="exact"/>
        </w:trPr>
        <w:tc>
          <w:tcPr>
            <w:gridSpan w:val="4"/>
            <w:tcBorders/>
            <w:shd w:val="clear" w:color="auto" w:fill="EA2A2B"/>
            <w:vAlign w:val="top"/>
          </w:tcPr>
          <w:p>
            <w:pPr>
              <w:pStyle w:val="Style4"/>
              <w:keepNext w:val="0"/>
              <w:keepLines w:val="0"/>
              <w:widowControl w:val="0"/>
              <w:pBdr>
                <w:top w:val="single" w:sz="0" w:space="0" w:color="E92629"/>
                <w:left w:val="single" w:sz="0" w:space="0" w:color="E92629"/>
                <w:bottom w:val="single" w:sz="0" w:space="0" w:color="E92629"/>
                <w:right w:val="single" w:sz="0" w:space="0" w:color="E92629"/>
              </w:pBdr>
              <w:shd w:val="clear" w:color="auto" w:fill="E92629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5"/>
                <w:b/>
                <w:bCs/>
                <w:color w:val="FFFFFF"/>
                <w:sz w:val="15"/>
                <w:szCs w:val="15"/>
              </w:rPr>
              <w:t xml:space="preserve">| </w:t>
            </w:r>
            <w:r>
              <w:rPr>
                <w:rStyle w:val="CharStyle5"/>
                <w:b/>
                <w:bCs/>
                <w:color w:val="FDDCD8"/>
                <w:sz w:val="15"/>
                <w:szCs w:val="15"/>
              </w:rPr>
              <w:t>Celkem s DPH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5"/>
                <w:b/>
                <w:bCs/>
                <w:sz w:val="15"/>
                <w:szCs w:val="15"/>
              </w:rPr>
              <w:t>103 128,00 Kč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6"/>
          <w:i/>
          <w:iCs/>
        </w:rPr>
        <w:t>Pozn.: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8"/>
          <w:b/>
          <w:bCs/>
          <w:i/>
          <w:iCs/>
        </w:rPr>
        <w:t>Cenová nabídka je platná 2 měsíce od data uvedeného výše. Ceny hodinových sazeb vycházejí z uzavřené servisní smlouvy Č.VOKAR143-1-001</w:t>
      </w:r>
    </w:p>
    <w:sectPr>
      <w:footnotePr>
        <w:pos w:val="pageBottom"/>
        <w:numFmt w:val="decimal"/>
        <w:numRestart w:val="continuous"/>
      </w:footnotePr>
      <w:pgSz w:w="11900" w:h="16840"/>
      <w:pgMar w:top="937" w:right="1073" w:bottom="937" w:left="982" w:header="509" w:footer="50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632D2C"/>
      <w:w w:val="60"/>
      <w:sz w:val="62"/>
      <w:szCs w:val="62"/>
      <w:u w:val="none"/>
      <w:lang w:val="en-US" w:eastAsia="en-US"/>
    </w:rPr>
  </w:style>
  <w:style w:type="character" w:customStyle="1" w:styleId="CharStyle5">
    <w:name w:val="Jiné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2B2B2B"/>
      <w:sz w:val="13"/>
      <w:szCs w:val="13"/>
      <w:u w:val="none"/>
    </w:rPr>
  </w:style>
  <w:style w:type="character" w:customStyle="1" w:styleId="CharStyle16">
    <w:name w:val="Základní text (3)_"/>
    <w:basedOn w:val="DefaultParagraphFont"/>
    <w:link w:val="Style15"/>
    <w:rPr>
      <w:rFonts w:ascii="Arial" w:eastAsia="Arial" w:hAnsi="Arial" w:cs="Arial"/>
      <w:b w:val="0"/>
      <w:bCs w:val="0"/>
      <w:i/>
      <w:iCs/>
      <w:smallCaps w:val="0"/>
      <w:strike w:val="0"/>
      <w:color w:val="2B2B2B"/>
      <w:sz w:val="14"/>
      <w:szCs w:val="14"/>
      <w:u w:val="single"/>
    </w:rPr>
  </w:style>
  <w:style w:type="character" w:customStyle="1" w:styleId="CharStyle18">
    <w:name w:val="Základní text_"/>
    <w:basedOn w:val="DefaultParagraphFont"/>
    <w:link w:val="Style17"/>
    <w:rPr>
      <w:rFonts w:ascii="Arial" w:eastAsia="Arial" w:hAnsi="Arial" w:cs="Arial"/>
      <w:b/>
      <w:bCs/>
      <w:i/>
      <w:iCs/>
      <w:smallCaps w:val="0"/>
      <w:strike w:val="0"/>
      <w:color w:val="2B2B2B"/>
      <w:sz w:val="16"/>
      <w:szCs w:val="16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40"/>
      <w:ind w:right="220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color w:val="632D2C"/>
      <w:w w:val="60"/>
      <w:sz w:val="62"/>
      <w:szCs w:val="62"/>
      <w:u w:val="none"/>
      <w:lang w:val="en-US" w:eastAsia="en-US"/>
    </w:rPr>
  </w:style>
  <w:style w:type="paragraph" w:customStyle="1" w:styleId="Style4">
    <w:name w:val="Jiné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B2B2B"/>
      <w:sz w:val="13"/>
      <w:szCs w:val="13"/>
      <w:u w:val="none"/>
    </w:rPr>
  </w:style>
  <w:style w:type="paragraph" w:customStyle="1" w:styleId="Style15">
    <w:name w:val="Základní text (3)"/>
    <w:basedOn w:val="Normal"/>
    <w:link w:val="CharStyle16"/>
    <w:pPr>
      <w:widowControl w:val="0"/>
      <w:shd w:val="clear" w:color="auto" w:fill="auto"/>
      <w:spacing w:line="307" w:lineRule="auto"/>
    </w:pPr>
    <w:rPr>
      <w:rFonts w:ascii="Arial" w:eastAsia="Arial" w:hAnsi="Arial" w:cs="Arial"/>
      <w:b w:val="0"/>
      <w:bCs w:val="0"/>
      <w:i/>
      <w:iCs/>
      <w:smallCaps w:val="0"/>
      <w:strike w:val="0"/>
      <w:color w:val="2B2B2B"/>
      <w:sz w:val="14"/>
      <w:szCs w:val="14"/>
      <w:u w:val="single"/>
    </w:rPr>
  </w:style>
  <w:style w:type="paragraph" w:customStyle="1" w:styleId="Style17">
    <w:name w:val="Základní text"/>
    <w:basedOn w:val="Normal"/>
    <w:link w:val="CharStyle18"/>
    <w:pPr>
      <w:widowControl w:val="0"/>
      <w:shd w:val="clear" w:color="auto" w:fill="auto"/>
      <w:spacing w:line="269" w:lineRule="auto"/>
    </w:pPr>
    <w:rPr>
      <w:rFonts w:ascii="Arial" w:eastAsia="Arial" w:hAnsi="Arial" w:cs="Arial"/>
      <w:b/>
      <w:bCs/>
      <w:i/>
      <w:iCs/>
      <w:smallCaps w:val="0"/>
      <w:strike w:val="0"/>
      <w:color w:val="2B2B2B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