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w:t>
      </w:r>
      <w:proofErr w:type="spellStart"/>
      <w:r w:rsidR="00705C2D">
        <w:rPr>
          <w:rFonts w:cs="Arial"/>
        </w:rPr>
        <w:t>Grolich</w:t>
      </w:r>
      <w:r w:rsidR="00E24079">
        <w:rPr>
          <w:rFonts w:cs="Arial"/>
        </w:rPr>
        <w:t>em</w:t>
      </w:r>
      <w:proofErr w:type="spellEnd"/>
      <w:r w:rsidR="00E24079">
        <w:rPr>
          <w:rFonts w:cs="Arial"/>
        </w:rPr>
        <w:t>,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1215F17B" w14:textId="77777777" w:rsidR="0068439C" w:rsidRDefault="0068439C" w:rsidP="0068439C">
      <w:pPr>
        <w:spacing w:before="40" w:after="40"/>
        <w:rPr>
          <w:rFonts w:cs="Arial"/>
        </w:rPr>
      </w:pPr>
      <w:r w:rsidRPr="00227081">
        <w:rPr>
          <w:rFonts w:cs="Arial"/>
        </w:rPr>
        <w:t>Střední zdravotnická škola Brno, Jaselská, příspěvková organizace</w:t>
      </w:r>
      <w:r w:rsidRPr="181F6F45">
        <w:rPr>
          <w:rFonts w:cs="Arial"/>
        </w:rPr>
        <w:t xml:space="preserve"> </w:t>
      </w:r>
    </w:p>
    <w:p w14:paraId="6EDDC5EF" w14:textId="1862A86F" w:rsidR="0068439C" w:rsidRDefault="0068439C" w:rsidP="0068439C">
      <w:pPr>
        <w:spacing w:before="40" w:after="40"/>
        <w:rPr>
          <w:rFonts w:cs="Arial"/>
        </w:rPr>
      </w:pPr>
      <w:r w:rsidRPr="181F6F45">
        <w:rPr>
          <w:rFonts w:cs="Arial"/>
        </w:rPr>
        <w:t>se sídlem</w:t>
      </w:r>
      <w:r>
        <w:rPr>
          <w:rFonts w:cs="Arial"/>
        </w:rPr>
        <w:t xml:space="preserve">: </w:t>
      </w:r>
      <w:r w:rsidRPr="00227081">
        <w:rPr>
          <w:rFonts w:cs="Arial"/>
        </w:rPr>
        <w:t>Jaselská 190/7</w:t>
      </w:r>
      <w:r>
        <w:rPr>
          <w:rFonts w:cs="Arial"/>
        </w:rPr>
        <w:t xml:space="preserve">, </w:t>
      </w:r>
      <w:r w:rsidRPr="00227081">
        <w:rPr>
          <w:rFonts w:cs="Arial"/>
        </w:rPr>
        <w:t xml:space="preserve">602 </w:t>
      </w:r>
      <w:proofErr w:type="gramStart"/>
      <w:r w:rsidRPr="00227081">
        <w:rPr>
          <w:rFonts w:cs="Arial"/>
        </w:rPr>
        <w:t>00  B</w:t>
      </w:r>
      <w:r>
        <w:rPr>
          <w:rFonts w:cs="Arial"/>
        </w:rPr>
        <w:t>rno</w:t>
      </w:r>
      <w:proofErr w:type="gramEnd"/>
    </w:p>
    <w:p w14:paraId="4CFF6240" w14:textId="77777777" w:rsidR="0068439C" w:rsidRPr="00227081" w:rsidRDefault="0068439C" w:rsidP="0068439C">
      <w:pPr>
        <w:spacing w:before="40" w:after="40"/>
        <w:rPr>
          <w:rFonts w:cs="Arial"/>
        </w:rPr>
      </w:pPr>
      <w:r w:rsidRPr="00251111">
        <w:rPr>
          <w:rFonts w:cs="Arial"/>
        </w:rPr>
        <w:t>zastoupená</w:t>
      </w:r>
      <w:r>
        <w:rPr>
          <w:rFonts w:cs="Arial"/>
        </w:rPr>
        <w:t>:</w:t>
      </w:r>
      <w:r w:rsidRPr="00251111">
        <w:rPr>
          <w:rFonts w:cs="Arial"/>
        </w:rPr>
        <w:t xml:space="preserve"> </w:t>
      </w:r>
      <w:bookmarkStart w:id="3" w:name="_Toc196810170"/>
      <w:r w:rsidRPr="00227081">
        <w:rPr>
          <w:rFonts w:cs="Arial"/>
        </w:rPr>
        <w:t xml:space="preserve">PhDr. Zuzanou </w:t>
      </w:r>
      <w:proofErr w:type="spellStart"/>
      <w:r w:rsidRPr="00227081">
        <w:rPr>
          <w:rFonts w:cs="Arial"/>
        </w:rPr>
        <w:t>Číkovou</w:t>
      </w:r>
      <w:proofErr w:type="spellEnd"/>
      <w:r w:rsidRPr="00227081">
        <w:rPr>
          <w:rFonts w:cs="Arial"/>
        </w:rPr>
        <w:t>, ředitelkou školy</w:t>
      </w:r>
    </w:p>
    <w:p w14:paraId="7C6917F9" w14:textId="77777777" w:rsidR="0068439C" w:rsidRPr="00251111" w:rsidRDefault="0068439C" w:rsidP="0068439C">
      <w:pPr>
        <w:spacing w:before="40" w:after="40"/>
        <w:rPr>
          <w:rFonts w:cs="Arial"/>
        </w:rPr>
      </w:pPr>
      <w:r w:rsidRPr="00251111">
        <w:rPr>
          <w:rFonts w:cs="Arial"/>
        </w:rPr>
        <w:t xml:space="preserve"> IČ</w:t>
      </w:r>
      <w:r>
        <w:rPr>
          <w:rFonts w:cs="Arial"/>
        </w:rPr>
        <w:t>O</w:t>
      </w:r>
      <w:r w:rsidRPr="00251111">
        <w:rPr>
          <w:rFonts w:cs="Arial"/>
        </w:rPr>
        <w:t xml:space="preserve">: </w:t>
      </w:r>
      <w:bookmarkEnd w:id="3"/>
      <w:r w:rsidRPr="00912BDE">
        <w:rPr>
          <w:rFonts w:cstheme="minorHAnsi"/>
          <w:color w:val="000000" w:themeColor="text1"/>
          <w:shd w:val="clear" w:color="auto" w:fill="FFFFFF"/>
        </w:rPr>
        <w:t>00637998</w:t>
      </w:r>
    </w:p>
    <w:p w14:paraId="66C9ACC8" w14:textId="77777777" w:rsidR="0068439C" w:rsidRPr="00251111" w:rsidRDefault="0068439C" w:rsidP="0068439C">
      <w:pPr>
        <w:spacing w:before="40" w:after="40"/>
        <w:rPr>
          <w:rFonts w:cs="Arial"/>
        </w:rPr>
      </w:pPr>
      <w:bookmarkStart w:id="4" w:name="_Toc196810171"/>
      <w:r w:rsidRPr="00251111">
        <w:rPr>
          <w:rFonts w:cs="Arial"/>
        </w:rPr>
        <w:t xml:space="preserve">bankovní spojení: </w:t>
      </w:r>
      <w:bookmarkEnd w:id="4"/>
      <w:r w:rsidRPr="00FA4ED6">
        <w:rPr>
          <w:rFonts w:cs="Arial"/>
        </w:rPr>
        <w:t>54637621/0100</w:t>
      </w:r>
    </w:p>
    <w:p w14:paraId="61F66246" w14:textId="77777777" w:rsidR="0068439C" w:rsidRPr="00251111" w:rsidRDefault="0068439C" w:rsidP="0068439C">
      <w:pPr>
        <w:spacing w:before="40" w:after="40"/>
        <w:rPr>
          <w:rFonts w:cs="Arial"/>
        </w:rPr>
      </w:pPr>
      <w:bookmarkStart w:id="5" w:name="_Toc196810172"/>
      <w:r w:rsidRPr="00251111">
        <w:rPr>
          <w:rFonts w:cs="Arial"/>
        </w:rPr>
        <w:t>(dále jen „</w:t>
      </w:r>
      <w:r>
        <w:rPr>
          <w:rFonts w:cs="Arial"/>
        </w:rPr>
        <w:t>p</w:t>
      </w:r>
      <w:r w:rsidRPr="00251111">
        <w:rPr>
          <w:rFonts w:cs="Arial"/>
        </w:rPr>
        <w:t>artner“)</w:t>
      </w:r>
      <w:bookmarkEnd w:id="5"/>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proofErr w:type="spellStart"/>
      <w:r w:rsidR="000E234E" w:rsidRPr="00356FD6">
        <w:rPr>
          <w:rFonts w:ascii="Calibri" w:hAnsi="Calibri" w:cs="Arial"/>
          <w:sz w:val="22"/>
          <w:szCs w:val="22"/>
        </w:rPr>
        <w:t>mlouvy</w:t>
      </w:r>
      <w:proofErr w:type="spellEnd"/>
      <w:r w:rsidR="000E234E" w:rsidRPr="00356FD6">
        <w:rPr>
          <w:rFonts w:ascii="Calibri" w:hAnsi="Calibri" w:cs="Arial"/>
          <w:sz w:val="22"/>
          <w:szCs w:val="22"/>
        </w:rPr>
        <w:t xml:space="preserve">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proofErr w:type="spellStart"/>
      <w:r w:rsidRPr="00356FD6">
        <w:rPr>
          <w:rFonts w:ascii="Calibri" w:hAnsi="Calibri" w:cs="Arial"/>
          <w:sz w:val="22"/>
          <w:szCs w:val="22"/>
        </w:rPr>
        <w:t>říjemce</w:t>
      </w:r>
      <w:proofErr w:type="spellEnd"/>
      <w:r w:rsidRPr="00356FD6">
        <w:rPr>
          <w:rFonts w:ascii="Calibri" w:hAnsi="Calibri" w:cs="Arial"/>
          <w:sz w:val="22"/>
          <w:szCs w:val="22"/>
        </w:rPr>
        <w:t xml:space="preserve"> a jeho </w:t>
      </w:r>
      <w:r w:rsidRPr="00356FD6">
        <w:rPr>
          <w:rFonts w:ascii="Calibri" w:hAnsi="Calibri" w:cs="Arial"/>
          <w:sz w:val="22"/>
          <w:szCs w:val="22"/>
          <w:lang w:val="cs-CZ"/>
        </w:rPr>
        <w:t>p</w:t>
      </w:r>
      <w:proofErr w:type="spellStart"/>
      <w:r w:rsidRPr="00356FD6">
        <w:rPr>
          <w:rFonts w:ascii="Calibri" w:hAnsi="Calibri" w:cs="Arial"/>
          <w:sz w:val="22"/>
          <w:szCs w:val="22"/>
        </w:rPr>
        <w:t>artner</w:t>
      </w:r>
      <w:r w:rsidRPr="00356FD6">
        <w:rPr>
          <w:rFonts w:ascii="Calibri" w:hAnsi="Calibri" w:cs="Arial"/>
          <w:sz w:val="22"/>
          <w:szCs w:val="22"/>
          <w:lang w:val="cs-CZ"/>
        </w:rPr>
        <w:t>a</w:t>
      </w:r>
      <w:proofErr w:type="spellEnd"/>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proofErr w:type="spellStart"/>
      <w:r w:rsidRPr="00356FD6">
        <w:rPr>
          <w:rFonts w:ascii="Calibri" w:hAnsi="Calibri" w:cs="Arial"/>
          <w:sz w:val="22"/>
          <w:szCs w:val="22"/>
        </w:rPr>
        <w:t>říjemce</w:t>
      </w:r>
      <w:proofErr w:type="spellEnd"/>
      <w:r w:rsidRPr="00356FD6">
        <w:rPr>
          <w:rFonts w:ascii="Calibri" w:hAnsi="Calibri" w:cs="Arial"/>
          <w:sz w:val="22"/>
          <w:szCs w:val="22"/>
        </w:rPr>
        <w:t xml:space="preserve"> a </w:t>
      </w:r>
      <w:r w:rsidRPr="00356FD6">
        <w:rPr>
          <w:rFonts w:ascii="Calibri" w:hAnsi="Calibri" w:cs="Arial"/>
          <w:sz w:val="22"/>
          <w:szCs w:val="22"/>
          <w:lang w:val="cs-CZ"/>
        </w:rPr>
        <w:t>p</w:t>
      </w:r>
      <w:proofErr w:type="spellStart"/>
      <w:r w:rsidRPr="00356FD6">
        <w:rPr>
          <w:rFonts w:ascii="Calibri" w:hAnsi="Calibri" w:cs="Arial"/>
          <w:sz w:val="22"/>
          <w:szCs w:val="22"/>
        </w:rPr>
        <w:t>artner</w:t>
      </w:r>
      <w:r w:rsidRPr="00356FD6">
        <w:rPr>
          <w:rFonts w:ascii="Calibri" w:hAnsi="Calibri" w:cs="Arial"/>
          <w:sz w:val="22"/>
          <w:szCs w:val="22"/>
          <w:lang w:val="cs-CZ"/>
        </w:rPr>
        <w:t>a</w:t>
      </w:r>
      <w:proofErr w:type="spellEnd"/>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proofErr w:type="spellStart"/>
      <w:r w:rsidRPr="00356FD6">
        <w:rPr>
          <w:rFonts w:ascii="Calibri" w:hAnsi="Calibri" w:cs="Arial"/>
          <w:sz w:val="22"/>
          <w:szCs w:val="22"/>
        </w:rPr>
        <w:t>rojekt</w:t>
      </w:r>
      <w:proofErr w:type="spellEnd"/>
      <w:r w:rsidRPr="00356FD6">
        <w:rPr>
          <w:rFonts w:ascii="Calibri" w:hAnsi="Calibri" w:cs="Arial"/>
          <w:sz w:val="22"/>
          <w:szCs w:val="22"/>
        </w:rPr>
        <w:t xml:space="preserve">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proofErr w:type="spellStart"/>
      <w:r w:rsidRPr="00356FD6">
        <w:rPr>
          <w:rFonts w:ascii="Calibri" w:hAnsi="Calibri" w:cs="Arial"/>
          <w:sz w:val="22"/>
          <w:szCs w:val="22"/>
        </w:rPr>
        <w:t>říjemcem</w:t>
      </w:r>
      <w:proofErr w:type="spellEnd"/>
      <w:r w:rsidRPr="00356FD6">
        <w:rPr>
          <w:rFonts w:ascii="Calibri" w:hAnsi="Calibri" w:cs="Arial"/>
          <w:sz w:val="22"/>
          <w:szCs w:val="22"/>
        </w:rPr>
        <w:t xml:space="preserve"> a jeho </w:t>
      </w:r>
      <w:r w:rsidRPr="00356FD6">
        <w:rPr>
          <w:rFonts w:ascii="Calibri" w:hAnsi="Calibri" w:cs="Arial"/>
          <w:sz w:val="22"/>
          <w:szCs w:val="22"/>
          <w:lang w:val="cs-CZ"/>
        </w:rPr>
        <w:t>p</w:t>
      </w:r>
      <w:proofErr w:type="spellStart"/>
      <w:r w:rsidRPr="00356FD6">
        <w:rPr>
          <w:rFonts w:ascii="Calibri" w:hAnsi="Calibri" w:cs="Arial"/>
          <w:sz w:val="22"/>
          <w:szCs w:val="22"/>
        </w:rPr>
        <w:t>artner</w:t>
      </w:r>
      <w:r w:rsidRPr="00356FD6">
        <w:rPr>
          <w:rFonts w:ascii="Calibri" w:hAnsi="Calibri" w:cs="Arial"/>
          <w:sz w:val="22"/>
          <w:szCs w:val="22"/>
          <w:lang w:val="cs-CZ"/>
        </w:rPr>
        <w:t>em</w:t>
      </w:r>
      <w:proofErr w:type="spellEnd"/>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proofErr w:type="spellStart"/>
      <w:r w:rsidR="00DA03B8" w:rsidRPr="00356FD6">
        <w:rPr>
          <w:rFonts w:ascii="Calibri" w:hAnsi="Calibri" w:cs="Arial"/>
          <w:sz w:val="22"/>
          <w:szCs w:val="22"/>
        </w:rPr>
        <w:t>artn</w:t>
      </w:r>
      <w:r w:rsidR="00DA03B8" w:rsidRPr="00356FD6">
        <w:rPr>
          <w:rFonts w:ascii="Calibri" w:hAnsi="Calibri" w:cs="Arial"/>
          <w:sz w:val="22"/>
          <w:szCs w:val="22"/>
          <w:lang w:val="cs-CZ"/>
        </w:rPr>
        <w:t>er</w:t>
      </w:r>
      <w:proofErr w:type="spellEnd"/>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proofErr w:type="spellStart"/>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proofErr w:type="spellEnd"/>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proofErr w:type="spellStart"/>
      <w:r w:rsidRPr="00356FD6">
        <w:rPr>
          <w:rFonts w:ascii="Calibri" w:hAnsi="Calibri" w:cs="Arial"/>
          <w:sz w:val="22"/>
          <w:szCs w:val="22"/>
        </w:rPr>
        <w:t>rojektu</w:t>
      </w:r>
      <w:proofErr w:type="spellEnd"/>
      <w:r w:rsidRPr="00356FD6">
        <w:rPr>
          <w:rFonts w:ascii="Calibri" w:hAnsi="Calibri" w:cs="Arial"/>
          <w:sz w:val="22"/>
          <w:szCs w:val="22"/>
        </w:rPr>
        <w:t xml:space="preserve">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 xml:space="preserve">mít zřízený svůj bankovní účet. Bankovní účet může být založen u jakékoliv banky oprávněné působit v České republice a musí být veden výhradně v měně CZK. Partner je povinen zachovat svůj bankovní účet i po ukončení projektu až do doby, než </w:t>
      </w:r>
      <w:proofErr w:type="gramStart"/>
      <w:r w:rsidRPr="00251111">
        <w:rPr>
          <w:rFonts w:cs="Arial"/>
        </w:rPr>
        <w:t>obdrží</w:t>
      </w:r>
      <w:proofErr w:type="gramEnd"/>
      <w:r w:rsidRPr="00251111">
        <w:rPr>
          <w:rFonts w:cs="Arial"/>
        </w:rPr>
        <w:t xml:space="preserve">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proofErr w:type="spellStart"/>
      <w:r w:rsidRPr="00356FD6">
        <w:rPr>
          <w:rFonts w:ascii="Calibri" w:hAnsi="Calibri" w:cs="Arial"/>
          <w:snapToGrid w:val="0"/>
          <w:sz w:val="22"/>
          <w:szCs w:val="22"/>
        </w:rPr>
        <w:t>mlouvy</w:t>
      </w:r>
      <w:proofErr w:type="spellEnd"/>
      <w:r w:rsidRPr="00356FD6">
        <w:rPr>
          <w:rFonts w:ascii="Calibri" w:hAnsi="Calibri" w:cs="Arial"/>
          <w:snapToGrid w:val="0"/>
          <w:sz w:val="22"/>
          <w:szCs w:val="22"/>
        </w:rPr>
        <w:t>,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říjemce</w:t>
      </w:r>
      <w:proofErr w:type="spellEnd"/>
      <w:r w:rsidRPr="00356FD6">
        <w:rPr>
          <w:rFonts w:ascii="Calibri" w:hAnsi="Calibri" w:cs="Arial"/>
          <w:snapToGrid w:val="0"/>
          <w:sz w:val="22"/>
          <w:szCs w:val="22"/>
        </w:rPr>
        <w:t xml:space="preserv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proofErr w:type="spellStart"/>
      <w:r w:rsidRPr="00356FD6">
        <w:rPr>
          <w:rFonts w:ascii="Calibri" w:hAnsi="Calibri" w:cs="Arial"/>
          <w:sz w:val="22"/>
          <w:szCs w:val="22"/>
        </w:rPr>
        <w:t>mlouvy</w:t>
      </w:r>
      <w:proofErr w:type="spellEnd"/>
      <w:r w:rsidRPr="00356FD6">
        <w:rPr>
          <w:rFonts w:ascii="Calibri" w:hAnsi="Calibri" w:cs="Arial"/>
          <w:sz w:val="22"/>
          <w:szCs w:val="22"/>
        </w:rPr>
        <w:t>,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w:t>
      </w:r>
      <w:proofErr w:type="spellStart"/>
      <w:r w:rsidRPr="00356FD6">
        <w:rPr>
          <w:rFonts w:ascii="Calibri" w:hAnsi="Calibri" w:cs="Arial"/>
          <w:snapToGrid w:val="0"/>
          <w:sz w:val="22"/>
          <w:szCs w:val="22"/>
        </w:rPr>
        <w:t>nehospodářské</w:t>
      </w:r>
      <w:proofErr w:type="spellEnd"/>
      <w:r w:rsidRPr="00356FD6">
        <w:rPr>
          <w:rFonts w:ascii="Calibri" w:hAnsi="Calibri" w:cs="Arial"/>
          <w:snapToGrid w:val="0"/>
          <w:sz w:val="22"/>
          <w:szCs w:val="22"/>
        </w:rPr>
        <w:t xml:space="preserve">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w:t>
      </w:r>
      <w:proofErr w:type="spellStart"/>
      <w:r w:rsidRPr="00356FD6">
        <w:rPr>
          <w:rFonts w:ascii="Calibri" w:hAnsi="Calibri" w:cs="Arial"/>
          <w:snapToGrid w:val="0"/>
          <w:sz w:val="22"/>
          <w:szCs w:val="22"/>
        </w:rPr>
        <w:t>nehospodářského</w:t>
      </w:r>
      <w:proofErr w:type="spellEnd"/>
      <w:r w:rsidRPr="00356FD6">
        <w:rPr>
          <w:rFonts w:ascii="Calibri" w:hAnsi="Calibri" w:cs="Arial"/>
          <w:snapToGrid w:val="0"/>
          <w:sz w:val="22"/>
          <w:szCs w:val="22"/>
        </w:rPr>
        <w:t xml:space="preserve">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artner</w:t>
      </w:r>
      <w:proofErr w:type="spellEnd"/>
      <w:r w:rsidRPr="00356FD6">
        <w:rPr>
          <w:rFonts w:ascii="Calibri" w:hAnsi="Calibri" w:cs="Arial"/>
          <w:snapToGrid w:val="0"/>
          <w:sz w:val="22"/>
          <w:szCs w:val="22"/>
        </w:rPr>
        <w:t xml:space="preserve">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říjemci</w:t>
      </w:r>
      <w:proofErr w:type="spellEnd"/>
      <w:r w:rsidRPr="00356FD6">
        <w:rPr>
          <w:rFonts w:ascii="Calibri" w:hAnsi="Calibri" w:cs="Arial"/>
          <w:snapToGrid w:val="0"/>
          <w:sz w:val="22"/>
          <w:szCs w:val="22"/>
        </w:rPr>
        <w:t xml:space="preserve">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4DC0C0A8"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w:t>
      </w:r>
      <w:proofErr w:type="gramStart"/>
      <w:r w:rsidRPr="0031506A">
        <w:rPr>
          <w:rFonts w:cs="Arial"/>
        </w:rPr>
        <w:t>tvoří</w:t>
      </w:r>
      <w:proofErr w:type="gramEnd"/>
      <w:r w:rsidRPr="0031506A">
        <w:rPr>
          <w:rFonts w:cs="Arial"/>
        </w:rPr>
        <w:t xml:space="preserve">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68439C" w:rsidRPr="006D4B41">
        <w:rPr>
          <w:rFonts w:cs="Arial"/>
        </w:rPr>
        <w:t>414 269,20</w:t>
      </w:r>
      <w:r w:rsidR="00674C0A" w:rsidRPr="00841A18">
        <w:rPr>
          <w:rFonts w:cs="Arial"/>
        </w:rPr>
        <w:t xml:space="preserve"> </w:t>
      </w:r>
      <w:r w:rsidR="0088655B" w:rsidRPr="0031506A">
        <w:rPr>
          <w:rFonts w:cs="Arial"/>
        </w:rPr>
        <w:t>Kč</w:t>
      </w:r>
      <w:r w:rsidR="00536D39" w:rsidRPr="0031506A">
        <w:rPr>
          <w:rFonts w:cs="Arial"/>
        </w:rPr>
        <w:t xml:space="preserve">, z toho činí </w:t>
      </w:r>
      <w:r w:rsidR="00EB1722" w:rsidRPr="0031506A">
        <w:rPr>
          <w:rFonts w:cs="Arial"/>
        </w:rPr>
        <w:t>paušální</w:t>
      </w:r>
      <w:r w:rsidR="00536D39" w:rsidRPr="0031506A">
        <w:rPr>
          <w:rFonts w:cs="Arial"/>
        </w:rPr>
        <w:t xml:space="preserve"> náklady </w:t>
      </w:r>
      <w:r w:rsidR="0068439C">
        <w:rPr>
          <w:rFonts w:cs="Arial"/>
        </w:rPr>
        <w:t>23 449,20</w:t>
      </w:r>
      <w:r w:rsidR="00674C0A" w:rsidRPr="00841A18">
        <w:rPr>
          <w:rFonts w:cs="Arial"/>
        </w:rPr>
        <w:t xml:space="preserve"> </w:t>
      </w:r>
      <w:r w:rsidR="00536D39" w:rsidRPr="0031506A">
        <w:rPr>
          <w:rFonts w:cs="Arial"/>
        </w:rPr>
        <w:t>Kč</w:t>
      </w:r>
      <w:r w:rsidR="006A064A" w:rsidRPr="0031506A">
        <w:rPr>
          <w:rFonts w:cs="Arial"/>
        </w:rPr>
        <w:t>.</w:t>
      </w:r>
      <w:r w:rsidRPr="0031506A">
        <w:rPr>
          <w:rFonts w:cs="Arial"/>
        </w:rPr>
        <w:t xml:space="preserve"> </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1C8A787E"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68439C" w:rsidRPr="003F30AB">
        <w:rPr>
          <w:rFonts w:cs="Arial"/>
        </w:rPr>
        <w:t>149 137</w:t>
      </w:r>
      <w:r w:rsidR="00674C0A" w:rsidRPr="00841A18">
        <w:rPr>
          <w:rFonts w:cs="Arial"/>
        </w:rPr>
        <w:t xml:space="preserve"> </w:t>
      </w:r>
      <w:r w:rsidR="006816ED">
        <w:rPr>
          <w:rFonts w:cs="Arial"/>
        </w:rPr>
        <w:t>Kč</w:t>
      </w:r>
      <w:r w:rsidR="7123F612" w:rsidRPr="00841A18">
        <w:rPr>
          <w:rFonts w:cs="Arial"/>
        </w:rPr>
        <w:t xml:space="preserve"> nejpozději do 20.10.2023.</w:t>
      </w:r>
    </w:p>
    <w:p w14:paraId="58DFE7EA" w14:textId="073D4D2C"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68439C" w:rsidRPr="00F902CC">
        <w:rPr>
          <w:rFonts w:cs="Arial"/>
        </w:rPr>
        <w:t xml:space="preserve">265 132,20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proofErr w:type="gramStart"/>
      <w:r w:rsidRPr="00251111">
        <w:rPr>
          <w:rFonts w:cs="Arial"/>
        </w:rPr>
        <w:t>P</w:t>
      </w:r>
      <w:r>
        <w:rPr>
          <w:rFonts w:cs="Arial"/>
        </w:rPr>
        <w:t>oruší</w:t>
      </w:r>
      <w:proofErr w:type="gramEnd"/>
      <w:r>
        <w:rPr>
          <w:rFonts w:cs="Arial"/>
        </w:rPr>
        <w:t>-li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 xml:space="preserve">artner </w:t>
      </w:r>
      <w:proofErr w:type="gramStart"/>
      <w:r w:rsidR="006A3F00">
        <w:rPr>
          <w:rFonts w:cs="Arial"/>
        </w:rPr>
        <w:t>obdrží</w:t>
      </w:r>
      <w:proofErr w:type="gramEnd"/>
      <w:r w:rsidR="006A3F00">
        <w:rPr>
          <w:rFonts w:cs="Arial"/>
        </w:rPr>
        <w:t xml:space="preserve">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3"/>
        <w:gridCol w:w="1024"/>
        <w:gridCol w:w="4053"/>
      </w:tblGrid>
      <w:tr w:rsidR="00283DD7" w:rsidRPr="00251111" w14:paraId="202C1166" w14:textId="77777777" w:rsidTr="00CD71A8">
        <w:trPr>
          <w:jc w:val="center"/>
        </w:trPr>
        <w:tc>
          <w:tcPr>
            <w:tcW w:w="4156" w:type="dxa"/>
          </w:tcPr>
          <w:p w14:paraId="31E7B3E2" w14:textId="36C71BCD"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441454">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 </w:t>
            </w:r>
            <w:r w:rsidR="00554C34">
              <w:rPr>
                <w:rFonts w:ascii="Calibri" w:hAnsi="Calibri" w:cs="Arial"/>
                <w:color w:val="000000"/>
                <w:sz w:val="22"/>
                <w:szCs w:val="22"/>
                <w:lang w:val="cs-CZ"/>
              </w:rPr>
              <w:t>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54CBC691" w:rsidR="00283DD7" w:rsidRPr="00356FD6" w:rsidRDefault="00283DD7" w:rsidP="00283DD7">
            <w:pPr>
              <w:pStyle w:val="odrkyChar"/>
              <w:keepNext/>
              <w:keepLines/>
              <w:spacing w:before="120"/>
              <w:rPr>
                <w:rFonts w:ascii="Calibri" w:hAnsi="Calibri" w:cs="Arial"/>
                <w:b/>
                <w:bCs/>
                <w:iCs/>
                <w:color w:val="000000"/>
                <w:sz w:val="22"/>
                <w:szCs w:val="22"/>
                <w:lang w:val="cs-CZ"/>
              </w:rPr>
            </w:pPr>
            <w:proofErr w:type="gramStart"/>
            <w:r w:rsidRPr="00356FD6">
              <w:rPr>
                <w:rFonts w:ascii="Calibri" w:hAnsi="Calibri" w:cs="Arial"/>
                <w:color w:val="000000"/>
                <w:sz w:val="22"/>
                <w:szCs w:val="22"/>
                <w:lang w:val="cs-CZ"/>
              </w:rPr>
              <w:t xml:space="preserve">V </w:t>
            </w:r>
            <w:r w:rsidR="00554C34">
              <w:rPr>
                <w:rFonts w:ascii="Calibri" w:hAnsi="Calibri" w:cs="Arial"/>
                <w:color w:val="000000"/>
                <w:sz w:val="22"/>
                <w:szCs w:val="22"/>
                <w:lang w:val="cs-CZ"/>
              </w:rPr>
              <w:t xml:space="preserve"> </w:t>
            </w:r>
            <w:r w:rsidR="00702600">
              <w:rPr>
                <w:rFonts w:ascii="Calibri" w:hAnsi="Calibri" w:cs="Arial"/>
                <w:color w:val="000000"/>
                <w:sz w:val="22"/>
                <w:szCs w:val="22"/>
                <w:lang w:val="cs-CZ"/>
              </w:rPr>
              <w:t>B</w:t>
            </w:r>
            <w:r w:rsidR="00554C34">
              <w:rPr>
                <w:rFonts w:ascii="Calibri" w:hAnsi="Calibri" w:cs="Arial"/>
                <w:color w:val="000000"/>
                <w:sz w:val="22"/>
                <w:szCs w:val="22"/>
                <w:lang w:val="cs-CZ"/>
              </w:rPr>
              <w:t>rně</w:t>
            </w:r>
            <w:proofErr w:type="gramEnd"/>
            <w:r w:rsidR="008D5E6F" w:rsidRPr="00356FD6">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dne </w:t>
            </w:r>
            <w:r w:rsidR="00554C34">
              <w:rPr>
                <w:rFonts w:ascii="Calibri" w:hAnsi="Calibri" w:cs="Arial"/>
                <w:color w:val="000000"/>
                <w:sz w:val="22"/>
                <w:szCs w:val="22"/>
                <w:lang w:val="cs-CZ"/>
              </w:rPr>
              <w:t>1</w:t>
            </w:r>
            <w:r w:rsidR="00ED4E24">
              <w:rPr>
                <w:rFonts w:ascii="Calibri" w:hAnsi="Calibri" w:cs="Arial"/>
                <w:color w:val="000000"/>
                <w:sz w:val="22"/>
                <w:szCs w:val="22"/>
                <w:lang w:val="cs-CZ"/>
              </w:rPr>
              <w:t>2</w:t>
            </w:r>
            <w:r w:rsidR="00554C34">
              <w:rPr>
                <w:rFonts w:ascii="Calibri" w:hAnsi="Calibri" w:cs="Arial"/>
                <w:color w:val="000000"/>
                <w:sz w:val="22"/>
                <w:szCs w:val="22"/>
                <w:lang w:val="cs-CZ"/>
              </w:rPr>
              <w:t>.10.2023</w:t>
            </w:r>
            <w:r w:rsidR="00441454">
              <w:rPr>
                <w:rFonts w:ascii="Calibri" w:hAnsi="Calibri" w:cs="Arial"/>
                <w:bCs/>
                <w:iCs/>
                <w:color w:val="000000"/>
                <w:sz w:val="22"/>
                <w:szCs w:val="22"/>
                <w:lang w:val="cs-CZ"/>
              </w:rPr>
              <w:t>.</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3FC57F10" w14:textId="77777777" w:rsidR="009E5CBA" w:rsidRDefault="009E5CBA" w:rsidP="009E5CBA">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w:t>
            </w:r>
            <w:proofErr w:type="spellStart"/>
            <w:r w:rsidRPr="00DE648F">
              <w:rPr>
                <w:rFonts w:ascii="Calibri" w:hAnsi="Calibri" w:cs="Arial"/>
                <w:color w:val="000000"/>
                <w:sz w:val="22"/>
                <w:szCs w:val="22"/>
                <w:lang w:val="cs-CZ"/>
              </w:rPr>
              <w:t>Grolich</w:t>
            </w:r>
            <w:proofErr w:type="spellEnd"/>
            <w:r w:rsidRPr="00DE648F">
              <w:rPr>
                <w:rFonts w:ascii="Calibri" w:hAnsi="Calibri" w:cs="Arial"/>
                <w:color w:val="000000"/>
                <w:sz w:val="22"/>
                <w:szCs w:val="22"/>
                <w:lang w:val="cs-CZ"/>
              </w:rPr>
              <w:t xml:space="preserve">, hejtman </w:t>
            </w:r>
            <w:r>
              <w:rPr>
                <w:rFonts w:ascii="Calibri" w:hAnsi="Calibri" w:cs="Arial"/>
                <w:color w:val="000000"/>
                <w:sz w:val="22"/>
                <w:szCs w:val="22"/>
                <w:lang w:val="cs-CZ"/>
              </w:rPr>
              <w:t>Jihomoravského kraje</w:t>
            </w:r>
          </w:p>
          <w:p w14:paraId="16A860C8" w14:textId="77777777" w:rsidR="009E5CBA" w:rsidRPr="00356FD6" w:rsidRDefault="009E5CBA" w:rsidP="009E5CBA">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6228C9D9" w14:textId="473462F7" w:rsidR="00283DD7" w:rsidRPr="00356FD6" w:rsidRDefault="00283DD7" w:rsidP="009E5CBA">
            <w:pPr>
              <w:pStyle w:val="odrkyChar"/>
              <w:keepNext/>
              <w:keepLines/>
              <w:spacing w:before="120"/>
              <w:ind w:left="0"/>
              <w:rPr>
                <w:rFonts w:ascii="Calibri" w:hAnsi="Calibri" w:cs="Arial"/>
                <w:color w:val="000000"/>
                <w:sz w:val="22"/>
                <w:szCs w:val="22"/>
                <w:lang w:val="cs-CZ"/>
              </w:rPr>
            </w:pP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325359C5" w14:textId="09272A41" w:rsidR="00F11D67" w:rsidRDefault="00F11D67" w:rsidP="00F11D67">
            <w:pPr>
              <w:pStyle w:val="odrkyChar"/>
              <w:keepNext/>
              <w:keepLines/>
              <w:spacing w:before="120"/>
              <w:ind w:left="0"/>
              <w:rPr>
                <w:rFonts w:ascii="Calibri" w:hAnsi="Calibri" w:cs="Arial"/>
                <w:color w:val="000000"/>
                <w:sz w:val="22"/>
                <w:szCs w:val="22"/>
                <w:lang w:val="cs-CZ"/>
              </w:rPr>
            </w:pPr>
            <w:r w:rsidRPr="00F11D67">
              <w:rPr>
                <w:rFonts w:ascii="Calibri" w:hAnsi="Calibri" w:cs="Arial"/>
                <w:color w:val="000000"/>
                <w:sz w:val="22"/>
                <w:szCs w:val="22"/>
                <w:lang w:val="cs-CZ"/>
              </w:rPr>
              <w:t>PhDr. Zuzan</w:t>
            </w:r>
            <w:r>
              <w:rPr>
                <w:rFonts w:ascii="Calibri" w:hAnsi="Calibri" w:cs="Arial"/>
                <w:color w:val="000000"/>
                <w:sz w:val="22"/>
                <w:szCs w:val="22"/>
                <w:lang w:val="cs-CZ"/>
              </w:rPr>
              <w:t>a</w:t>
            </w:r>
            <w:r w:rsidRPr="00F11D67">
              <w:rPr>
                <w:rFonts w:ascii="Calibri" w:hAnsi="Calibri" w:cs="Arial"/>
                <w:color w:val="000000"/>
                <w:sz w:val="22"/>
                <w:szCs w:val="22"/>
                <w:lang w:val="cs-CZ"/>
              </w:rPr>
              <w:t xml:space="preserve"> </w:t>
            </w:r>
            <w:proofErr w:type="spellStart"/>
            <w:r w:rsidRPr="00F11D67">
              <w:rPr>
                <w:rFonts w:ascii="Calibri" w:hAnsi="Calibri" w:cs="Arial"/>
                <w:color w:val="000000"/>
                <w:sz w:val="22"/>
                <w:szCs w:val="22"/>
                <w:lang w:val="cs-CZ"/>
              </w:rPr>
              <w:t>Číkov</w:t>
            </w:r>
            <w:r w:rsidR="00441454">
              <w:rPr>
                <w:rFonts w:ascii="Calibri" w:hAnsi="Calibri" w:cs="Arial"/>
                <w:color w:val="000000"/>
                <w:sz w:val="22"/>
                <w:szCs w:val="22"/>
                <w:lang w:val="cs-CZ"/>
              </w:rPr>
              <w:t>á</w:t>
            </w:r>
            <w:proofErr w:type="spellEnd"/>
            <w:r w:rsidRPr="00EE4927">
              <w:rPr>
                <w:rFonts w:ascii="Calibri" w:hAnsi="Calibri" w:cs="Arial"/>
                <w:color w:val="000000"/>
                <w:sz w:val="22"/>
                <w:szCs w:val="22"/>
                <w:lang w:val="cs-CZ"/>
              </w:rPr>
              <w:t>, ředitelk</w:t>
            </w:r>
            <w:r>
              <w:rPr>
                <w:rFonts w:ascii="Calibri" w:hAnsi="Calibri" w:cs="Arial"/>
                <w:color w:val="000000"/>
                <w:sz w:val="22"/>
                <w:szCs w:val="22"/>
                <w:lang w:val="cs-CZ"/>
              </w:rPr>
              <w:t>a</w:t>
            </w:r>
            <w:r w:rsidRPr="00EE4927">
              <w:rPr>
                <w:rFonts w:ascii="Calibri" w:hAnsi="Calibri" w:cs="Arial"/>
                <w:color w:val="000000"/>
                <w:sz w:val="22"/>
                <w:szCs w:val="22"/>
                <w:lang w:val="cs-CZ"/>
              </w:rPr>
              <w:t xml:space="preserve"> organizace</w:t>
            </w:r>
          </w:p>
          <w:p w14:paraId="62EAAEEE" w14:textId="42A79CE1" w:rsidR="00283DD7" w:rsidRPr="00356FD6" w:rsidRDefault="00F11D67" w:rsidP="00F11D67">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C239" w14:textId="77777777" w:rsidR="00C350A5" w:rsidRDefault="00C350A5" w:rsidP="00CE3205">
      <w:r>
        <w:separator/>
      </w:r>
    </w:p>
  </w:endnote>
  <w:endnote w:type="continuationSeparator" w:id="0">
    <w:p w14:paraId="5F709BF8" w14:textId="77777777" w:rsidR="00C350A5" w:rsidRDefault="00C350A5" w:rsidP="00CE3205">
      <w:r>
        <w:continuationSeparator/>
      </w:r>
    </w:p>
  </w:endnote>
  <w:endnote w:type="continuationNotice" w:id="1">
    <w:p w14:paraId="246C1589" w14:textId="77777777" w:rsidR="00C350A5" w:rsidRDefault="00C350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235507C7" w:rsidR="000E1578" w:rsidRPr="00145C21" w:rsidRDefault="008F501E"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A69B" w14:textId="77777777" w:rsidR="00C350A5" w:rsidRDefault="00C350A5" w:rsidP="00CE3205">
      <w:r>
        <w:separator/>
      </w:r>
    </w:p>
  </w:footnote>
  <w:footnote w:type="continuationSeparator" w:id="0">
    <w:p w14:paraId="6DAD09B4" w14:textId="77777777" w:rsidR="00C350A5" w:rsidRDefault="00C350A5" w:rsidP="00CE3205">
      <w:r>
        <w:continuationSeparator/>
      </w:r>
    </w:p>
  </w:footnote>
  <w:footnote w:type="continuationNotice" w:id="1">
    <w:p w14:paraId="798DB111" w14:textId="77777777" w:rsidR="00C350A5" w:rsidRDefault="00C350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31EE4"/>
    <w:rsid w:val="00043FD6"/>
    <w:rsid w:val="00054A83"/>
    <w:rsid w:val="000877BF"/>
    <w:rsid w:val="00087B6D"/>
    <w:rsid w:val="000A01CE"/>
    <w:rsid w:val="000C08F0"/>
    <w:rsid w:val="000C192C"/>
    <w:rsid w:val="000C416B"/>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94E9A"/>
    <w:rsid w:val="001C3A2B"/>
    <w:rsid w:val="001D4CC5"/>
    <w:rsid w:val="001D50F8"/>
    <w:rsid w:val="001E2ACA"/>
    <w:rsid w:val="001E7CEB"/>
    <w:rsid w:val="001F34E8"/>
    <w:rsid w:val="00205E8E"/>
    <w:rsid w:val="00213F27"/>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1506A"/>
    <w:rsid w:val="00321356"/>
    <w:rsid w:val="003216F0"/>
    <w:rsid w:val="00330941"/>
    <w:rsid w:val="00334B09"/>
    <w:rsid w:val="003350EF"/>
    <w:rsid w:val="003359FF"/>
    <w:rsid w:val="00347CC3"/>
    <w:rsid w:val="003544E9"/>
    <w:rsid w:val="00356FD6"/>
    <w:rsid w:val="003624CF"/>
    <w:rsid w:val="00362A60"/>
    <w:rsid w:val="00373D51"/>
    <w:rsid w:val="003816AB"/>
    <w:rsid w:val="0038316F"/>
    <w:rsid w:val="003A22F7"/>
    <w:rsid w:val="003A46F9"/>
    <w:rsid w:val="003A6255"/>
    <w:rsid w:val="003B0AA7"/>
    <w:rsid w:val="003C261D"/>
    <w:rsid w:val="003D33E8"/>
    <w:rsid w:val="003D452B"/>
    <w:rsid w:val="003D46B0"/>
    <w:rsid w:val="003D6ABE"/>
    <w:rsid w:val="003D7215"/>
    <w:rsid w:val="003E3A6A"/>
    <w:rsid w:val="003E4326"/>
    <w:rsid w:val="003E77A0"/>
    <w:rsid w:val="00411A72"/>
    <w:rsid w:val="00417EAF"/>
    <w:rsid w:val="00422E8F"/>
    <w:rsid w:val="00427FB2"/>
    <w:rsid w:val="00430C07"/>
    <w:rsid w:val="004357F1"/>
    <w:rsid w:val="00435CD5"/>
    <w:rsid w:val="00435CFB"/>
    <w:rsid w:val="00441454"/>
    <w:rsid w:val="00442B26"/>
    <w:rsid w:val="00445D8B"/>
    <w:rsid w:val="00450A36"/>
    <w:rsid w:val="004538FE"/>
    <w:rsid w:val="004558C7"/>
    <w:rsid w:val="00465303"/>
    <w:rsid w:val="004730AC"/>
    <w:rsid w:val="00482262"/>
    <w:rsid w:val="004843BA"/>
    <w:rsid w:val="00486B08"/>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54C34"/>
    <w:rsid w:val="00560CCF"/>
    <w:rsid w:val="005645A5"/>
    <w:rsid w:val="0056538A"/>
    <w:rsid w:val="005715F3"/>
    <w:rsid w:val="005728B1"/>
    <w:rsid w:val="005739D2"/>
    <w:rsid w:val="005847E6"/>
    <w:rsid w:val="0058553D"/>
    <w:rsid w:val="00590305"/>
    <w:rsid w:val="00595B52"/>
    <w:rsid w:val="0059618C"/>
    <w:rsid w:val="005A149E"/>
    <w:rsid w:val="005A271F"/>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40514"/>
    <w:rsid w:val="00642437"/>
    <w:rsid w:val="006431AB"/>
    <w:rsid w:val="00643506"/>
    <w:rsid w:val="006454C3"/>
    <w:rsid w:val="00647B66"/>
    <w:rsid w:val="0066136A"/>
    <w:rsid w:val="00664BDE"/>
    <w:rsid w:val="0066692D"/>
    <w:rsid w:val="00674C0A"/>
    <w:rsid w:val="006816ED"/>
    <w:rsid w:val="006818DF"/>
    <w:rsid w:val="006840D7"/>
    <w:rsid w:val="0068439C"/>
    <w:rsid w:val="006879D7"/>
    <w:rsid w:val="006918BB"/>
    <w:rsid w:val="00695178"/>
    <w:rsid w:val="00696DAB"/>
    <w:rsid w:val="006A064A"/>
    <w:rsid w:val="006A0C91"/>
    <w:rsid w:val="006A3F00"/>
    <w:rsid w:val="006C1E26"/>
    <w:rsid w:val="006D0408"/>
    <w:rsid w:val="006D1E3D"/>
    <w:rsid w:val="006D5840"/>
    <w:rsid w:val="006D6080"/>
    <w:rsid w:val="006F084C"/>
    <w:rsid w:val="006F1B93"/>
    <w:rsid w:val="00702600"/>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304B4"/>
    <w:rsid w:val="00831EAC"/>
    <w:rsid w:val="00841A18"/>
    <w:rsid w:val="00845869"/>
    <w:rsid w:val="00866748"/>
    <w:rsid w:val="008669A1"/>
    <w:rsid w:val="008842F5"/>
    <w:rsid w:val="0088655B"/>
    <w:rsid w:val="00887355"/>
    <w:rsid w:val="00891FA1"/>
    <w:rsid w:val="00892F2A"/>
    <w:rsid w:val="008A514C"/>
    <w:rsid w:val="008B02BE"/>
    <w:rsid w:val="008B6314"/>
    <w:rsid w:val="008B721A"/>
    <w:rsid w:val="008C1577"/>
    <w:rsid w:val="008C24A0"/>
    <w:rsid w:val="008D5E6F"/>
    <w:rsid w:val="008E084E"/>
    <w:rsid w:val="008E5374"/>
    <w:rsid w:val="008E666D"/>
    <w:rsid w:val="008F0BB2"/>
    <w:rsid w:val="008F501E"/>
    <w:rsid w:val="008F5355"/>
    <w:rsid w:val="0090445F"/>
    <w:rsid w:val="0090785F"/>
    <w:rsid w:val="00912332"/>
    <w:rsid w:val="009167BC"/>
    <w:rsid w:val="0092290D"/>
    <w:rsid w:val="009230D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E5CBA"/>
    <w:rsid w:val="009F3C99"/>
    <w:rsid w:val="009F40D7"/>
    <w:rsid w:val="00A01894"/>
    <w:rsid w:val="00A051F5"/>
    <w:rsid w:val="00A05C99"/>
    <w:rsid w:val="00A13520"/>
    <w:rsid w:val="00A24752"/>
    <w:rsid w:val="00A33F59"/>
    <w:rsid w:val="00A45DA2"/>
    <w:rsid w:val="00A62248"/>
    <w:rsid w:val="00A644F8"/>
    <w:rsid w:val="00A67A35"/>
    <w:rsid w:val="00AA2BF7"/>
    <w:rsid w:val="00AB200E"/>
    <w:rsid w:val="00AD087F"/>
    <w:rsid w:val="00AD2B0E"/>
    <w:rsid w:val="00AE0ADF"/>
    <w:rsid w:val="00AF1B62"/>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97908"/>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350A5"/>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5501E"/>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AC1"/>
    <w:rsid w:val="00E763A3"/>
    <w:rsid w:val="00EA103D"/>
    <w:rsid w:val="00EA5AE8"/>
    <w:rsid w:val="00EA7477"/>
    <w:rsid w:val="00EB1722"/>
    <w:rsid w:val="00EB2A8A"/>
    <w:rsid w:val="00EB4E3D"/>
    <w:rsid w:val="00EC3E7C"/>
    <w:rsid w:val="00ED4E24"/>
    <w:rsid w:val="00EE3BB3"/>
    <w:rsid w:val="00EF1704"/>
    <w:rsid w:val="00EF40B5"/>
    <w:rsid w:val="00F03547"/>
    <w:rsid w:val="00F036A7"/>
    <w:rsid w:val="00F05483"/>
    <w:rsid w:val="00F0653B"/>
    <w:rsid w:val="00F07BA8"/>
    <w:rsid w:val="00F10CE6"/>
    <w:rsid w:val="00F11D67"/>
    <w:rsid w:val="00F14DF7"/>
    <w:rsid w:val="00F16331"/>
    <w:rsid w:val="00F17324"/>
    <w:rsid w:val="00F209BB"/>
    <w:rsid w:val="00F251F2"/>
    <w:rsid w:val="00F27FE6"/>
    <w:rsid w:val="00F40A2D"/>
    <w:rsid w:val="00F42AAC"/>
    <w:rsid w:val="00F461AA"/>
    <w:rsid w:val="00F60EBD"/>
    <w:rsid w:val="00F63B74"/>
    <w:rsid w:val="00F65965"/>
    <w:rsid w:val="00F77940"/>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customXml/itemProps2.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3.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4.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3292</Words>
  <Characters>19426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22673</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Endlicherová Lenka</cp:lastModifiedBy>
  <cp:revision>15</cp:revision>
  <cp:lastPrinted>2023-09-22T13:03:00Z</cp:lastPrinted>
  <dcterms:created xsi:type="dcterms:W3CDTF">2023-09-21T12:12:00Z</dcterms:created>
  <dcterms:modified xsi:type="dcterms:W3CDTF">2023-10-17T12:05:00Z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