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2815" w14:textId="09B7740F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4324AE">
        <w:rPr>
          <w:rFonts w:asciiTheme="minorHAnsi" w:hAnsiTheme="minorHAnsi" w:cstheme="minorHAnsi"/>
          <w:sz w:val="20"/>
          <w:szCs w:val="20"/>
        </w:rPr>
        <w:t>27</w:t>
      </w:r>
    </w:p>
    <w:p w14:paraId="1B58A092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3214CD18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630CD33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7E0F68A6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302EA4B0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0870BB7F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67D5BC85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DAE1BCD" w14:textId="5E9549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6B6D4702" w14:textId="51987752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587B3F" w:rsidRPr="00587B3F">
        <w:rPr>
          <w:rFonts w:asciiTheme="minorHAnsi" w:hAnsiTheme="minorHAnsi" w:cstheme="minorHAnsi"/>
          <w:szCs w:val="20"/>
        </w:rPr>
        <w:t xml:space="preserve">Ing. </w:t>
      </w:r>
      <w:r w:rsidR="00E563A6">
        <w:rPr>
          <w:rFonts w:asciiTheme="minorHAnsi" w:hAnsiTheme="minorHAnsi" w:cstheme="minorHAnsi"/>
          <w:szCs w:val="20"/>
        </w:rPr>
        <w:t>Milanem Lonským</w:t>
      </w:r>
      <w:r w:rsidR="00587B3F" w:rsidRPr="00587B3F">
        <w:rPr>
          <w:rFonts w:asciiTheme="minorHAnsi" w:hAnsiTheme="minorHAnsi" w:cstheme="minorHAnsi"/>
          <w:szCs w:val="20"/>
        </w:rPr>
        <w:t xml:space="preserve">, </w:t>
      </w:r>
      <w:r w:rsidR="00E563A6">
        <w:rPr>
          <w:rFonts w:asciiTheme="minorHAnsi" w:hAnsiTheme="minorHAnsi" w:cstheme="minorHAnsi"/>
          <w:szCs w:val="20"/>
        </w:rPr>
        <w:t xml:space="preserve">ředitelem </w:t>
      </w:r>
      <w:r w:rsidR="00C22AE1">
        <w:rPr>
          <w:rFonts w:asciiTheme="minorHAnsi" w:hAnsiTheme="minorHAnsi" w:cstheme="minorHAnsi"/>
          <w:szCs w:val="20"/>
        </w:rPr>
        <w:t>odboru správy aplikací 94</w:t>
      </w:r>
    </w:p>
    <w:p w14:paraId="5A4A1920" w14:textId="028C61EC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B2D52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2A78ADD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0871063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588C601C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1C4FEA37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40D90F54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22DF111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1785F411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C1E7D85" w14:textId="0709450F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</w:p>
    <w:p w14:paraId="58C21821" w14:textId="20340750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29248866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99185CC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5EC6CDA8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0BCC8B43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1074C07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FFC7558" w14:textId="3B8C8745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4324AE">
        <w:rPr>
          <w:rFonts w:asciiTheme="minorHAnsi" w:hAnsiTheme="minorHAnsi" w:cstheme="minorHAnsi"/>
          <w:szCs w:val="20"/>
        </w:rPr>
        <w:t>27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232E91C7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C9B4CD8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CDFD43B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31DDCC80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24FB2816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523DA8CF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2281FEB8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7015936F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06C60B2E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76A78EF1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523AC57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14973197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0756393D" w14:textId="77777777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11DE824D" w14:textId="6F64A136" w:rsidR="00C94E8F" w:rsidRPr="00B8417F" w:rsidRDefault="00C96F07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C96F07">
        <w:rPr>
          <w:rFonts w:asciiTheme="minorHAnsi" w:hAnsiTheme="minorHAnsi" w:cstheme="minorHAnsi"/>
          <w:b/>
          <w:szCs w:val="20"/>
          <w:lang w:val="cs-CZ"/>
        </w:rPr>
        <w:t>11 695 620</w:t>
      </w:r>
      <w:r w:rsidR="008E7FC0" w:rsidRPr="00C96F07">
        <w:rPr>
          <w:rFonts w:asciiTheme="minorHAnsi" w:hAnsiTheme="minorHAnsi" w:cstheme="minorHAnsi"/>
          <w:b/>
          <w:szCs w:val="20"/>
          <w:lang w:val="cs-CZ"/>
        </w:rPr>
        <w:t xml:space="preserve">,00 </w:t>
      </w:r>
      <w:r w:rsidR="00844C12" w:rsidRPr="00C96F07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C96F07">
        <w:rPr>
          <w:rFonts w:asciiTheme="minorHAnsi" w:hAnsiTheme="minorHAnsi" w:cstheme="minorHAnsi"/>
          <w:b/>
          <w:szCs w:val="20"/>
          <w:lang w:val="cs-CZ"/>
        </w:rPr>
        <w:t>bez</w:t>
      </w:r>
      <w:r w:rsidR="00C94E8F" w:rsidRPr="00B8417F">
        <w:rPr>
          <w:rFonts w:asciiTheme="minorHAnsi" w:hAnsiTheme="minorHAnsi" w:cstheme="minorHAnsi"/>
          <w:b/>
          <w:szCs w:val="20"/>
          <w:lang w:val="cs-CZ"/>
        </w:rPr>
        <w:t xml:space="preserve"> DPH</w:t>
      </w:r>
    </w:p>
    <w:p w14:paraId="20396CBC" w14:textId="3BD26037" w:rsidR="00C94E8F" w:rsidRPr="00B8417F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8417F">
        <w:rPr>
          <w:rFonts w:asciiTheme="minorHAnsi" w:hAnsiTheme="minorHAnsi" w:cstheme="minorHAnsi"/>
          <w:szCs w:val="20"/>
        </w:rPr>
        <w:t xml:space="preserve">(slovy: </w:t>
      </w:r>
      <w:r w:rsidR="00C96F07">
        <w:rPr>
          <w:rFonts w:asciiTheme="minorHAnsi" w:hAnsiTheme="minorHAnsi" w:cstheme="minorHAnsi"/>
          <w:szCs w:val="20"/>
          <w:lang w:val="cs-CZ"/>
        </w:rPr>
        <w:t>jedenáct milionů šest set devadesát pět tisíc šest set dvacet</w:t>
      </w:r>
      <w:r w:rsidR="00C069C2" w:rsidRPr="00B8417F">
        <w:rPr>
          <w:rFonts w:asciiTheme="minorHAnsi" w:hAnsiTheme="minorHAnsi" w:cstheme="minorHAnsi"/>
          <w:szCs w:val="20"/>
          <w:lang w:val="cs-CZ"/>
        </w:rPr>
        <w:t xml:space="preserve"> korun</w:t>
      </w:r>
      <w:r w:rsidR="00946163" w:rsidRPr="00B8417F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B8417F">
        <w:rPr>
          <w:rFonts w:asciiTheme="minorHAnsi" w:hAnsiTheme="minorHAnsi" w:cstheme="minorHAnsi"/>
          <w:szCs w:val="20"/>
        </w:rPr>
        <w:t>)</w:t>
      </w:r>
    </w:p>
    <w:p w14:paraId="560D3AF1" w14:textId="1A29214C" w:rsidR="00C94E8F" w:rsidRPr="003D59E8" w:rsidRDefault="00C96F07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  <w:lang w:val="cs-CZ"/>
        </w:rPr>
        <w:t>14 151 700,20</w:t>
      </w:r>
      <w:r w:rsidR="00B8417F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8E7FC0" w:rsidRPr="00B8417F">
        <w:rPr>
          <w:rFonts w:asciiTheme="minorHAnsi" w:hAnsiTheme="minorHAnsi" w:cstheme="minorHAnsi"/>
          <w:b/>
          <w:szCs w:val="20"/>
        </w:rPr>
        <w:t xml:space="preserve">Kč </w:t>
      </w:r>
      <w:r w:rsidR="00C94E8F" w:rsidRPr="00B8417F">
        <w:rPr>
          <w:rFonts w:asciiTheme="minorHAnsi" w:hAnsiTheme="minorHAnsi" w:cstheme="minorHAnsi"/>
          <w:b/>
          <w:szCs w:val="20"/>
        </w:rPr>
        <w:t>vč. DPH</w:t>
      </w:r>
    </w:p>
    <w:p w14:paraId="549B16CD" w14:textId="36B027A6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8417F">
        <w:rPr>
          <w:rFonts w:asciiTheme="minorHAnsi" w:hAnsiTheme="minorHAnsi" w:cstheme="minorHAnsi"/>
          <w:szCs w:val="20"/>
        </w:rPr>
        <w:t xml:space="preserve">(slovy: </w:t>
      </w:r>
      <w:r w:rsidR="00C96F07">
        <w:rPr>
          <w:rFonts w:asciiTheme="minorHAnsi" w:hAnsiTheme="minorHAnsi" w:cstheme="minorHAnsi"/>
          <w:szCs w:val="20"/>
          <w:lang w:val="cs-CZ"/>
        </w:rPr>
        <w:t>čtrnáct milionů sto padesát jedna tisíc sedm set</w:t>
      </w:r>
      <w:r w:rsidR="00F544CC" w:rsidRPr="00B8417F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B8417F">
        <w:rPr>
          <w:rFonts w:asciiTheme="minorHAnsi" w:hAnsiTheme="minorHAnsi" w:cstheme="minorHAnsi"/>
          <w:szCs w:val="20"/>
          <w:lang w:val="cs-CZ"/>
        </w:rPr>
        <w:t>korun</w:t>
      </w:r>
      <w:r w:rsidR="00C96F07">
        <w:rPr>
          <w:rFonts w:asciiTheme="minorHAnsi" w:hAnsiTheme="minorHAnsi" w:cstheme="minorHAnsi"/>
          <w:szCs w:val="20"/>
          <w:lang w:val="cs-CZ"/>
        </w:rPr>
        <w:t xml:space="preserve"> českých dvacet haléřů</w:t>
      </w:r>
      <w:r w:rsidRPr="00B8417F">
        <w:rPr>
          <w:rFonts w:asciiTheme="minorHAnsi" w:hAnsiTheme="minorHAnsi" w:cstheme="minorHAnsi"/>
          <w:szCs w:val="20"/>
        </w:rPr>
        <w:t>)</w:t>
      </w:r>
    </w:p>
    <w:p w14:paraId="5CC69BD9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4A55CAD1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58529ED9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74A4CC63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7141DED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4A7A03E3" w14:textId="77777777" w:rsidTr="00AC1E93">
        <w:tc>
          <w:tcPr>
            <w:tcW w:w="2977" w:type="dxa"/>
            <w:shd w:val="clear" w:color="auto" w:fill="auto"/>
            <w:vAlign w:val="center"/>
          </w:tcPr>
          <w:p w14:paraId="070E8EBD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48697CA" w14:textId="7777777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287B10DF" w14:textId="77777777" w:rsidTr="00AC1E93">
        <w:tc>
          <w:tcPr>
            <w:tcW w:w="2977" w:type="dxa"/>
            <w:shd w:val="clear" w:color="auto" w:fill="auto"/>
            <w:vAlign w:val="center"/>
          </w:tcPr>
          <w:p w14:paraId="45F3FDB2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C587486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7E1C9BBC" w14:textId="77777777" w:rsidTr="00AC1E93">
        <w:tc>
          <w:tcPr>
            <w:tcW w:w="2977" w:type="dxa"/>
            <w:shd w:val="clear" w:color="auto" w:fill="auto"/>
            <w:vAlign w:val="center"/>
          </w:tcPr>
          <w:p w14:paraId="14430CD6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B502EB4" w14:textId="09AAFE62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02C4177E" w14:textId="77777777" w:rsidTr="00AC1E93">
        <w:tc>
          <w:tcPr>
            <w:tcW w:w="2977" w:type="dxa"/>
            <w:shd w:val="clear" w:color="auto" w:fill="auto"/>
            <w:vAlign w:val="center"/>
          </w:tcPr>
          <w:p w14:paraId="2A8F6E50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5B87C602" w14:textId="77777777" w:rsidR="00AC1E93" w:rsidRPr="006214B3" w:rsidRDefault="00385349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349">
              <w:rPr>
                <w:rFonts w:asciiTheme="minorHAnsi" w:hAnsiTheme="minorHAnsi" w:cstheme="minorHAnsi"/>
                <w:sz w:val="20"/>
                <w:szCs w:val="20"/>
              </w:rPr>
              <w:t>+420 950 192 858</w:t>
            </w:r>
          </w:p>
        </w:tc>
      </w:tr>
    </w:tbl>
    <w:p w14:paraId="37C5EB4E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3EE0E176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7D90A906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54363958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F42B7C4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5AEB29E1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1B14EA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A243AA8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0537E1C5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0AB277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B9E5BE2" w14:textId="7FEDB656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5351F8CA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BDCEF0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5C9A1D2" w14:textId="5D78FF0C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C22ED5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68B65D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025D19E9" w14:textId="77777777" w:rsidTr="00346EB7">
        <w:tc>
          <w:tcPr>
            <w:tcW w:w="2977" w:type="dxa"/>
            <w:shd w:val="clear" w:color="auto" w:fill="auto"/>
            <w:vAlign w:val="center"/>
          </w:tcPr>
          <w:p w14:paraId="3CCFA9E0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5B4C102" w14:textId="095DFEDA" w:rsidR="00346EB7" w:rsidRPr="006214B3" w:rsidRDefault="006D6F58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346EB7" w:rsidRPr="006214B3" w14:paraId="118DBBB3" w14:textId="77777777" w:rsidTr="00346EB7">
        <w:tc>
          <w:tcPr>
            <w:tcW w:w="2977" w:type="dxa"/>
            <w:shd w:val="clear" w:color="auto" w:fill="auto"/>
            <w:vAlign w:val="center"/>
          </w:tcPr>
          <w:p w14:paraId="48B7AB4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931AB84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779C49C6" w14:textId="77777777" w:rsidTr="00346EB7">
        <w:tc>
          <w:tcPr>
            <w:tcW w:w="2977" w:type="dxa"/>
            <w:shd w:val="clear" w:color="auto" w:fill="auto"/>
            <w:vAlign w:val="center"/>
          </w:tcPr>
          <w:p w14:paraId="05668637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937AAB2" w14:textId="05DD484E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B46A170" w14:textId="77777777" w:rsidTr="00346EB7">
        <w:tc>
          <w:tcPr>
            <w:tcW w:w="2977" w:type="dxa"/>
            <w:shd w:val="clear" w:color="auto" w:fill="auto"/>
            <w:vAlign w:val="center"/>
          </w:tcPr>
          <w:p w14:paraId="41C72C56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0FCBF61" w14:textId="152B7CC1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AC1E2D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390E920B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7F0586D6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44735469" w14:textId="77777777" w:rsidTr="00AC1E93">
        <w:tc>
          <w:tcPr>
            <w:tcW w:w="2977" w:type="dxa"/>
            <w:shd w:val="clear" w:color="auto" w:fill="auto"/>
            <w:vAlign w:val="center"/>
          </w:tcPr>
          <w:p w14:paraId="1212AD9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19A386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619DA7C" w14:textId="77777777" w:rsidTr="00AC1E93">
        <w:tc>
          <w:tcPr>
            <w:tcW w:w="2977" w:type="dxa"/>
            <w:shd w:val="clear" w:color="auto" w:fill="auto"/>
            <w:vAlign w:val="center"/>
          </w:tcPr>
          <w:p w14:paraId="177A1D9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2CDA40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CEF9ECF" w14:textId="77777777" w:rsidTr="00AC1E93">
        <w:tc>
          <w:tcPr>
            <w:tcW w:w="2977" w:type="dxa"/>
            <w:shd w:val="clear" w:color="auto" w:fill="auto"/>
            <w:vAlign w:val="center"/>
          </w:tcPr>
          <w:p w14:paraId="08DFA7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07204B26" w14:textId="405DB63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55CBB213" w14:textId="77777777" w:rsidTr="00AC1E93">
        <w:tc>
          <w:tcPr>
            <w:tcW w:w="2977" w:type="dxa"/>
            <w:shd w:val="clear" w:color="auto" w:fill="auto"/>
            <w:vAlign w:val="center"/>
          </w:tcPr>
          <w:p w14:paraId="0FAC594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61E97F76" w14:textId="6624BF2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7B6570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2EF27B1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46F86EB" w14:textId="77777777" w:rsidTr="00AC1E93">
        <w:tc>
          <w:tcPr>
            <w:tcW w:w="2977" w:type="dxa"/>
            <w:shd w:val="clear" w:color="auto" w:fill="auto"/>
            <w:vAlign w:val="center"/>
          </w:tcPr>
          <w:p w14:paraId="3BD29F6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A38E9D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2AA0C5A" w14:textId="77777777" w:rsidTr="00AC1E93">
        <w:tc>
          <w:tcPr>
            <w:tcW w:w="2977" w:type="dxa"/>
            <w:shd w:val="clear" w:color="auto" w:fill="auto"/>
            <w:vAlign w:val="center"/>
          </w:tcPr>
          <w:p w14:paraId="1597A67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5DAB6F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26BCCC4" w14:textId="77777777" w:rsidTr="00AC1E93">
        <w:tc>
          <w:tcPr>
            <w:tcW w:w="2977" w:type="dxa"/>
            <w:shd w:val="clear" w:color="auto" w:fill="auto"/>
            <w:vAlign w:val="center"/>
          </w:tcPr>
          <w:p w14:paraId="30A8C4D1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559363E3" w14:textId="2AC67DE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03B9F01" w14:textId="77777777" w:rsidTr="00AC1E93">
        <w:tc>
          <w:tcPr>
            <w:tcW w:w="2977" w:type="dxa"/>
            <w:shd w:val="clear" w:color="auto" w:fill="auto"/>
            <w:vAlign w:val="center"/>
          </w:tcPr>
          <w:p w14:paraId="4C9B31C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8D07594" w14:textId="1BD90A58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FED76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2755AAB3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51236477" w14:textId="77777777" w:rsidTr="00AC1E93">
        <w:tc>
          <w:tcPr>
            <w:tcW w:w="2977" w:type="dxa"/>
            <w:shd w:val="clear" w:color="auto" w:fill="auto"/>
            <w:vAlign w:val="center"/>
          </w:tcPr>
          <w:p w14:paraId="1C825EE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07FC7DE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0755F576" w14:textId="77777777" w:rsidTr="00AC1E93">
        <w:tc>
          <w:tcPr>
            <w:tcW w:w="2977" w:type="dxa"/>
            <w:shd w:val="clear" w:color="auto" w:fill="auto"/>
            <w:vAlign w:val="center"/>
          </w:tcPr>
          <w:p w14:paraId="55D21AB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858F25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C704FE" w14:textId="77777777" w:rsidTr="00AC1E93">
        <w:tc>
          <w:tcPr>
            <w:tcW w:w="2977" w:type="dxa"/>
            <w:shd w:val="clear" w:color="auto" w:fill="auto"/>
            <w:vAlign w:val="center"/>
          </w:tcPr>
          <w:p w14:paraId="07B65B1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9D1C6DD" w14:textId="706E9C5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2531787" w14:textId="77777777" w:rsidTr="00AC1E93">
        <w:tc>
          <w:tcPr>
            <w:tcW w:w="2977" w:type="dxa"/>
            <w:shd w:val="clear" w:color="auto" w:fill="auto"/>
            <w:vAlign w:val="center"/>
          </w:tcPr>
          <w:p w14:paraId="1117761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C1A26E6" w14:textId="5E71D083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BA64F1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1BF55A7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3445DB49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6FA3D68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7912C054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5F6958F7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6786DEB5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3C1AC3EF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9DB7D2A" w14:textId="77777777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245DB031" w14:textId="0D536BD0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393D0BE9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75FEC7C0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4A421659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64602913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5814A873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359F100E" w14:textId="77777777" w:rsidTr="00FD6102">
        <w:trPr>
          <w:jc w:val="center"/>
        </w:trPr>
        <w:tc>
          <w:tcPr>
            <w:tcW w:w="4643" w:type="dxa"/>
          </w:tcPr>
          <w:p w14:paraId="2B8F28DB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2E1F34A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7E347F86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3F0D3E1A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7A144030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75EF5BF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7AA8B7C6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7154545D" w14:textId="77777777" w:rsidTr="00FD6102">
        <w:trPr>
          <w:jc w:val="center"/>
        </w:trPr>
        <w:tc>
          <w:tcPr>
            <w:tcW w:w="4643" w:type="dxa"/>
          </w:tcPr>
          <w:p w14:paraId="3237BCEF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F57DA1E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08577AB5" w14:textId="566F6CF8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C22AE1">
              <w:rPr>
                <w:rFonts w:asciiTheme="minorHAnsi" w:hAnsiTheme="minorHAnsi" w:cstheme="minorHAnsi"/>
                <w:bCs/>
                <w:szCs w:val="20"/>
              </w:rPr>
              <w:t>Milan Lonský</w:t>
            </w:r>
          </w:p>
          <w:p w14:paraId="1F0B2203" w14:textId="02E8810D" w:rsidR="003F351E" w:rsidRPr="001F63C3" w:rsidRDefault="00C22AE1" w:rsidP="00B2186B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ředitel odboru správy aplikací 94</w:t>
            </w:r>
          </w:p>
        </w:tc>
        <w:tc>
          <w:tcPr>
            <w:tcW w:w="4643" w:type="dxa"/>
          </w:tcPr>
          <w:p w14:paraId="09247FAC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58428DE6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0C4A9509" w14:textId="77777777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Šindelář</w:t>
            </w:r>
            <w:proofErr w:type="spellEnd"/>
          </w:p>
          <w:p w14:paraId="24444400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69F183A6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35648D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0F60A0A5" w14:textId="35D18F42" w:rsidR="00252CB1" w:rsidRDefault="00C072D2">
      <w:pPr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  <w:bookmarkStart w:id="0" w:name="_Toc103153111"/>
      <w:bookmarkStart w:id="1" w:name="_Toc104773095"/>
      <w:bookmarkStart w:id="2" w:name="_Toc104282306"/>
      <w:bookmarkStart w:id="3" w:name="_Toc162751746"/>
      <w:bookmarkStart w:id="4" w:name="_Toc197330643"/>
      <w:bookmarkStart w:id="5" w:name="_Toc198108838"/>
      <w:bookmarkStart w:id="6" w:name="_Toc199923677"/>
      <w:bookmarkStart w:id="7" w:name="_Toc313431434"/>
      <w:bookmarkStart w:id="8" w:name="_Toc336442341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sectPr w:rsidR="00252CB1" w:rsidSect="006D336F">
      <w:headerReference w:type="default" r:id="rId11"/>
      <w:footerReference w:type="default" r:id="rId12"/>
      <w:headerReference w:type="first" r:id="rId13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485F" w14:textId="77777777" w:rsidR="0034445B" w:rsidRDefault="0034445B" w:rsidP="00462594">
      <w:r>
        <w:separator/>
      </w:r>
    </w:p>
  </w:endnote>
  <w:endnote w:type="continuationSeparator" w:id="0">
    <w:p w14:paraId="456851C8" w14:textId="77777777" w:rsidR="0034445B" w:rsidRDefault="0034445B" w:rsidP="00462594">
      <w:r>
        <w:continuationSeparator/>
      </w:r>
    </w:p>
  </w:endnote>
  <w:endnote w:type="continuationNotice" w:id="1">
    <w:p w14:paraId="45A3076A" w14:textId="77777777" w:rsidR="0034445B" w:rsidRDefault="00344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156" w14:textId="72B28A96" w:rsidR="0034445B" w:rsidRPr="002308DC" w:rsidRDefault="0034445B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B17198">
      <w:rPr>
        <w:rFonts w:ascii="Tahoma" w:hAnsi="Tahoma" w:cs="Tahoma"/>
        <w:noProof/>
        <w:sz w:val="20"/>
        <w:szCs w:val="20"/>
      </w:rPr>
      <w:t>19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6DF0D09A" w14:textId="77777777" w:rsidR="0034445B" w:rsidRDefault="0034445B">
    <w:pPr>
      <w:pStyle w:val="Zpat"/>
    </w:pPr>
  </w:p>
  <w:p w14:paraId="4A7FA545" w14:textId="77777777" w:rsidR="0034445B" w:rsidRDefault="0034445B"/>
  <w:p w14:paraId="1DF435B0" w14:textId="77777777" w:rsidR="0034445B" w:rsidRDefault="003444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50E0" w14:textId="77777777" w:rsidR="0034445B" w:rsidRDefault="0034445B" w:rsidP="00462594">
      <w:r>
        <w:separator/>
      </w:r>
    </w:p>
  </w:footnote>
  <w:footnote w:type="continuationSeparator" w:id="0">
    <w:p w14:paraId="78AC9756" w14:textId="77777777" w:rsidR="0034445B" w:rsidRDefault="0034445B" w:rsidP="00462594">
      <w:r>
        <w:continuationSeparator/>
      </w:r>
    </w:p>
  </w:footnote>
  <w:footnote w:type="continuationNotice" w:id="1">
    <w:p w14:paraId="1B5DD965" w14:textId="77777777" w:rsidR="0034445B" w:rsidRDefault="00344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02F" w14:textId="3E8D6107" w:rsidR="0034445B" w:rsidRDefault="0034445B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27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2C82954" w14:textId="77777777" w:rsidR="0034445B" w:rsidRDefault="0034445B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A72B" w14:textId="1F9A5D85" w:rsidR="0034445B" w:rsidRDefault="0034445B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27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F59DAA9" w14:textId="77777777" w:rsidR="0034445B" w:rsidRPr="0069750A" w:rsidRDefault="0034445B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15266E86" w14:textId="77777777" w:rsidR="0034445B" w:rsidRPr="000E45C0" w:rsidRDefault="0034445B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4AD1F29"/>
    <w:multiLevelType w:val="multilevel"/>
    <w:tmpl w:val="DE9816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709" w:hanging="567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514117F"/>
    <w:multiLevelType w:val="hybridMultilevel"/>
    <w:tmpl w:val="29AAA870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84DE7"/>
    <w:multiLevelType w:val="multilevel"/>
    <w:tmpl w:val="DE9816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709" w:hanging="567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3F223FF3"/>
    <w:multiLevelType w:val="multilevel"/>
    <w:tmpl w:val="DE9816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709" w:hanging="567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67824241">
    <w:abstractNumId w:val="11"/>
  </w:num>
  <w:num w:numId="2" w16cid:durableId="1340351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3805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78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168093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644196557">
    <w:abstractNumId w:val="18"/>
  </w:num>
  <w:num w:numId="7" w16cid:durableId="1507787938">
    <w:abstractNumId w:val="7"/>
  </w:num>
  <w:num w:numId="8" w16cid:durableId="709571937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351829">
    <w:abstractNumId w:val="0"/>
  </w:num>
  <w:num w:numId="10" w16cid:durableId="1876961654">
    <w:abstractNumId w:val="6"/>
  </w:num>
  <w:num w:numId="11" w16cid:durableId="148701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7630190">
    <w:abstractNumId w:val="12"/>
  </w:num>
  <w:num w:numId="13" w16cid:durableId="1995913806">
    <w:abstractNumId w:val="17"/>
  </w:num>
  <w:num w:numId="14" w16cid:durableId="1184173453">
    <w:abstractNumId w:val="3"/>
  </w:num>
  <w:num w:numId="15" w16cid:durableId="1554643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645610">
    <w:abstractNumId w:val="9"/>
  </w:num>
  <w:num w:numId="17" w16cid:durableId="50010041">
    <w:abstractNumId w:val="16"/>
  </w:num>
  <w:num w:numId="18" w16cid:durableId="537552083">
    <w:abstractNumId w:val="8"/>
  </w:num>
  <w:num w:numId="19" w16cid:durableId="2095321202">
    <w:abstractNumId w:val="4"/>
  </w:num>
  <w:num w:numId="20" w16cid:durableId="1300652384">
    <w:abstractNumId w:val="10"/>
  </w:num>
  <w:num w:numId="21" w16cid:durableId="605889563">
    <w:abstractNumId w:val="2"/>
  </w:num>
  <w:num w:numId="22" w16cid:durableId="299040987">
    <w:abstractNumId w:val="13"/>
  </w:num>
  <w:num w:numId="23" w16cid:durableId="827592464">
    <w:abstractNumId w:val="11"/>
  </w:num>
  <w:num w:numId="24" w16cid:durableId="974798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625"/>
    <w:rsid w:val="00016EA9"/>
    <w:rsid w:val="000174EE"/>
    <w:rsid w:val="00017668"/>
    <w:rsid w:val="00017F82"/>
    <w:rsid w:val="0002222C"/>
    <w:rsid w:val="000226C6"/>
    <w:rsid w:val="000234A9"/>
    <w:rsid w:val="00024F25"/>
    <w:rsid w:val="00025CC5"/>
    <w:rsid w:val="000271ED"/>
    <w:rsid w:val="00027F8D"/>
    <w:rsid w:val="00031CD2"/>
    <w:rsid w:val="00033348"/>
    <w:rsid w:val="00034F6E"/>
    <w:rsid w:val="00035346"/>
    <w:rsid w:val="00036953"/>
    <w:rsid w:val="000372ED"/>
    <w:rsid w:val="00040291"/>
    <w:rsid w:val="000408FE"/>
    <w:rsid w:val="00041BA0"/>
    <w:rsid w:val="00043652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77D76"/>
    <w:rsid w:val="000843EA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12A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1C13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C89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3ECC"/>
    <w:rsid w:val="001E4493"/>
    <w:rsid w:val="001E5D65"/>
    <w:rsid w:val="001E63D2"/>
    <w:rsid w:val="001E6D02"/>
    <w:rsid w:val="001F11C0"/>
    <w:rsid w:val="001F63C3"/>
    <w:rsid w:val="00201777"/>
    <w:rsid w:val="002036EF"/>
    <w:rsid w:val="00203EE6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33D9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B1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1A7"/>
    <w:rsid w:val="00283FCA"/>
    <w:rsid w:val="002848C9"/>
    <w:rsid w:val="002853C4"/>
    <w:rsid w:val="002861B5"/>
    <w:rsid w:val="002862BF"/>
    <w:rsid w:val="00286933"/>
    <w:rsid w:val="00286CEB"/>
    <w:rsid w:val="002876F8"/>
    <w:rsid w:val="0028795F"/>
    <w:rsid w:val="00290F0B"/>
    <w:rsid w:val="00292115"/>
    <w:rsid w:val="00292ADA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D6AE7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445B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6F37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69"/>
    <w:rsid w:val="004324AE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413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44B1"/>
    <w:rsid w:val="00495FE0"/>
    <w:rsid w:val="00496DC7"/>
    <w:rsid w:val="00497931"/>
    <w:rsid w:val="00497CDB"/>
    <w:rsid w:val="004A07A5"/>
    <w:rsid w:val="004A0F33"/>
    <w:rsid w:val="004A1974"/>
    <w:rsid w:val="004A3432"/>
    <w:rsid w:val="004A4193"/>
    <w:rsid w:val="004A66F9"/>
    <w:rsid w:val="004A7C64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36BE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825"/>
    <w:rsid w:val="00543C66"/>
    <w:rsid w:val="00544CEF"/>
    <w:rsid w:val="00551855"/>
    <w:rsid w:val="00553D86"/>
    <w:rsid w:val="005544EF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220E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536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42C1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B5AB4"/>
    <w:rsid w:val="006C0171"/>
    <w:rsid w:val="006C300E"/>
    <w:rsid w:val="006C7E58"/>
    <w:rsid w:val="006D094D"/>
    <w:rsid w:val="006D0AB2"/>
    <w:rsid w:val="006D0E1C"/>
    <w:rsid w:val="006D0E89"/>
    <w:rsid w:val="006D2364"/>
    <w:rsid w:val="006D2647"/>
    <w:rsid w:val="006D29D2"/>
    <w:rsid w:val="006D29F7"/>
    <w:rsid w:val="006D30D0"/>
    <w:rsid w:val="006D336F"/>
    <w:rsid w:val="006D3928"/>
    <w:rsid w:val="006D6945"/>
    <w:rsid w:val="006D6F58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809"/>
    <w:rsid w:val="006F4FE4"/>
    <w:rsid w:val="006F679F"/>
    <w:rsid w:val="006F780B"/>
    <w:rsid w:val="00701E08"/>
    <w:rsid w:val="007063C8"/>
    <w:rsid w:val="00707256"/>
    <w:rsid w:val="00707CEE"/>
    <w:rsid w:val="0071182E"/>
    <w:rsid w:val="007130AB"/>
    <w:rsid w:val="00716402"/>
    <w:rsid w:val="0071650E"/>
    <w:rsid w:val="00717195"/>
    <w:rsid w:val="00720013"/>
    <w:rsid w:val="007202F6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36AD1"/>
    <w:rsid w:val="0074020C"/>
    <w:rsid w:val="00741CEA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6187F"/>
    <w:rsid w:val="007627C1"/>
    <w:rsid w:val="00762F3B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A7180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24127"/>
    <w:rsid w:val="00825972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57207"/>
    <w:rsid w:val="008606E6"/>
    <w:rsid w:val="00860C87"/>
    <w:rsid w:val="00863383"/>
    <w:rsid w:val="00863892"/>
    <w:rsid w:val="008640C4"/>
    <w:rsid w:val="00864EAB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7F9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C7B4F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E7FC0"/>
    <w:rsid w:val="008F0948"/>
    <w:rsid w:val="008F1F18"/>
    <w:rsid w:val="008F27C3"/>
    <w:rsid w:val="008F32E7"/>
    <w:rsid w:val="008F3B93"/>
    <w:rsid w:val="008F432B"/>
    <w:rsid w:val="008F5950"/>
    <w:rsid w:val="008F60EC"/>
    <w:rsid w:val="009010BB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0FE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64D0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5131"/>
    <w:rsid w:val="009C7FDA"/>
    <w:rsid w:val="009D21FB"/>
    <w:rsid w:val="009D3726"/>
    <w:rsid w:val="009D482D"/>
    <w:rsid w:val="009D4EC9"/>
    <w:rsid w:val="009D54A1"/>
    <w:rsid w:val="009E0C7A"/>
    <w:rsid w:val="009E1DED"/>
    <w:rsid w:val="009E34BE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2DFF"/>
    <w:rsid w:val="00A43B02"/>
    <w:rsid w:val="00A44A3D"/>
    <w:rsid w:val="00A45278"/>
    <w:rsid w:val="00A453CD"/>
    <w:rsid w:val="00A45857"/>
    <w:rsid w:val="00A46017"/>
    <w:rsid w:val="00A4635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5565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25A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C7EE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198"/>
    <w:rsid w:val="00B17415"/>
    <w:rsid w:val="00B20678"/>
    <w:rsid w:val="00B20FBF"/>
    <w:rsid w:val="00B21112"/>
    <w:rsid w:val="00B217F6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876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212E"/>
    <w:rsid w:val="00B83CDC"/>
    <w:rsid w:val="00B8417F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E0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0C7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296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2A59"/>
    <w:rsid w:val="00C139F4"/>
    <w:rsid w:val="00C14158"/>
    <w:rsid w:val="00C14356"/>
    <w:rsid w:val="00C151F9"/>
    <w:rsid w:val="00C15DA3"/>
    <w:rsid w:val="00C162B5"/>
    <w:rsid w:val="00C16C4F"/>
    <w:rsid w:val="00C22AE1"/>
    <w:rsid w:val="00C23AA7"/>
    <w:rsid w:val="00C24E41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5A2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BDA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899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96F07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306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0BF9"/>
    <w:rsid w:val="00CE1903"/>
    <w:rsid w:val="00CE1B9C"/>
    <w:rsid w:val="00CE2BAF"/>
    <w:rsid w:val="00CE35FC"/>
    <w:rsid w:val="00CE6A71"/>
    <w:rsid w:val="00CF0516"/>
    <w:rsid w:val="00CF0A60"/>
    <w:rsid w:val="00CF2F4A"/>
    <w:rsid w:val="00CF43CE"/>
    <w:rsid w:val="00D0005B"/>
    <w:rsid w:val="00D01B0A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26466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3CC4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9B3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4B28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3A6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0316"/>
    <w:rsid w:val="00E73853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20A9"/>
    <w:rsid w:val="00F03FFB"/>
    <w:rsid w:val="00F050FE"/>
    <w:rsid w:val="00F0544A"/>
    <w:rsid w:val="00F05678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22BB"/>
    <w:rsid w:val="00F24228"/>
    <w:rsid w:val="00F255EF"/>
    <w:rsid w:val="00F25B67"/>
    <w:rsid w:val="00F26C26"/>
    <w:rsid w:val="00F34BF2"/>
    <w:rsid w:val="00F350F7"/>
    <w:rsid w:val="00F35820"/>
    <w:rsid w:val="00F376C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595F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9720E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B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F3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customStyle="1" w:styleId="ui-provider">
    <w:name w:val="ui-provider"/>
    <w:basedOn w:val="Standardnpsmoodstavce"/>
    <w:rsid w:val="00E7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A22CA-D78B-4CEC-9E4D-D61B82BB2423}">
  <ds:schemaRefs>
    <ds:schemaRef ds:uri="1D74989E-7C2C-432F-86C4-E7752D8F2896"/>
    <ds:schemaRef ds:uri="http://purl.org/dc/terms/"/>
    <ds:schemaRef ds:uri="http://schemas.openxmlformats.org/package/2006/metadata/core-properties"/>
    <ds:schemaRef ds:uri="0eb2c2c0-c846-4348-bc0f-24ddf8bf770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C007F-1336-4F19-B169-112FD5B62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5885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2023-10-16T12:09:00Z</dcterms:created>
  <dcterms:modified xsi:type="dcterms:W3CDTF">2023-10-16T12:09:00Z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