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5B" w:rsidRPr="00ED4260" w:rsidRDefault="00EB47AA" w:rsidP="008C71AC">
      <w:pPr>
        <w:spacing w:before="240"/>
        <w:contextualSpacing/>
        <w:jc w:val="center"/>
        <w:rPr>
          <w:rFonts w:ascii="Calibri" w:hAnsi="Calibri" w:cs="Arial"/>
          <w:b/>
          <w:bCs/>
          <w:sz w:val="32"/>
          <w:szCs w:val="32"/>
        </w:rPr>
      </w:pPr>
      <w:r>
        <w:rPr>
          <w:rFonts w:ascii="Calibri" w:hAnsi="Calibri" w:cs="Arial"/>
          <w:noProof/>
          <w:sz w:val="32"/>
          <w:szCs w:val="32"/>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mc:Fallback>
        </mc:AlternateConten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2079 a násl.</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FB3856" w:rsidRPr="00401323" w:rsidRDefault="00D55B5B" w:rsidP="00FB3856">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FB3856">
        <w:rPr>
          <w:rFonts w:ascii="Calibri" w:hAnsi="Calibri" w:cs="Arial"/>
          <w:b/>
          <w:sz w:val="22"/>
          <w:szCs w:val="22"/>
        </w:rPr>
        <w:t xml:space="preserve">OKEA CS 21 Kroměříž </w:t>
      </w:r>
      <w:r w:rsidR="00FB3856" w:rsidRPr="00401323">
        <w:rPr>
          <w:rFonts w:ascii="Calibri" w:hAnsi="Calibri" w:cs="Arial"/>
          <w:b/>
          <w:sz w:val="22"/>
          <w:szCs w:val="22"/>
        </w:rPr>
        <w:t>s.</w:t>
      </w:r>
      <w:r w:rsidR="00FB3856">
        <w:rPr>
          <w:rFonts w:ascii="Calibri" w:hAnsi="Calibri" w:cs="Arial"/>
          <w:b/>
          <w:sz w:val="22"/>
          <w:szCs w:val="22"/>
        </w:rPr>
        <w:t xml:space="preserve"> </w:t>
      </w:r>
      <w:r w:rsidR="00FB3856" w:rsidRPr="00401323">
        <w:rPr>
          <w:rFonts w:ascii="Calibri" w:hAnsi="Calibri" w:cs="Arial"/>
          <w:b/>
          <w:sz w:val="22"/>
          <w:szCs w:val="22"/>
        </w:rPr>
        <w:t>r.o.</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se sídlem </w:t>
      </w:r>
      <w:r>
        <w:rPr>
          <w:rFonts w:ascii="Calibri" w:hAnsi="Calibri" w:cs="Arial"/>
          <w:sz w:val="22"/>
          <w:szCs w:val="22"/>
        </w:rPr>
        <w:t>Kroměříž, Šafaříkova 184, PSČ 767 01</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IČ</w:t>
      </w:r>
      <w:r w:rsidR="00DE63B7">
        <w:rPr>
          <w:rFonts w:ascii="Calibri" w:hAnsi="Calibri" w:cs="Arial"/>
          <w:sz w:val="22"/>
          <w:szCs w:val="22"/>
        </w:rPr>
        <w:t>O</w:t>
      </w:r>
      <w:r w:rsidRPr="00401323">
        <w:rPr>
          <w:rFonts w:ascii="Calibri" w:hAnsi="Calibri" w:cs="Arial"/>
          <w:sz w:val="22"/>
          <w:szCs w:val="22"/>
        </w:rPr>
        <w:t xml:space="preserve">: </w:t>
      </w:r>
      <w:r>
        <w:rPr>
          <w:rFonts w:ascii="Calibri" w:hAnsi="Calibri" w:cs="Arial"/>
          <w:sz w:val="22"/>
          <w:szCs w:val="22"/>
        </w:rPr>
        <w:t>25349953</w:t>
      </w:r>
      <w:r w:rsidRPr="00401323">
        <w:rPr>
          <w:rFonts w:ascii="Calibri" w:hAnsi="Calibri" w:cs="Arial"/>
          <w:sz w:val="22"/>
          <w:szCs w:val="22"/>
        </w:rPr>
        <w:t>, DIČ</w:t>
      </w:r>
      <w:r w:rsidR="00DE63B7">
        <w:rPr>
          <w:rFonts w:ascii="Calibri" w:hAnsi="Calibri" w:cs="Arial"/>
          <w:sz w:val="22"/>
          <w:szCs w:val="22"/>
        </w:rPr>
        <w:t>:</w:t>
      </w:r>
      <w:r w:rsidRPr="00401323">
        <w:rPr>
          <w:rFonts w:ascii="Calibri" w:hAnsi="Calibri" w:cs="Arial"/>
          <w:sz w:val="22"/>
          <w:szCs w:val="22"/>
        </w:rPr>
        <w:t xml:space="preserve"> CZ</w:t>
      </w:r>
      <w:r>
        <w:rPr>
          <w:rFonts w:ascii="Calibri" w:hAnsi="Calibri" w:cs="Arial"/>
          <w:sz w:val="22"/>
          <w:szCs w:val="22"/>
        </w:rPr>
        <w:t>25349953</w:t>
      </w:r>
    </w:p>
    <w:p w:rsidR="00FB3856" w:rsidRPr="00353757" w:rsidRDefault="00FB3856" w:rsidP="00FB3856">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r w:rsidR="00EB47AA">
        <w:rPr>
          <w:rFonts w:ascii="Calibri" w:hAnsi="Calibri" w:cs="Arial"/>
          <w:b/>
          <w:sz w:val="22"/>
          <w:szCs w:val="22"/>
        </w:rPr>
        <w:t>xxxxxxxxxxxxx</w:t>
      </w:r>
    </w:p>
    <w:p w:rsidR="00FB3856" w:rsidRPr="00401323" w:rsidRDefault="00DE63B7" w:rsidP="00DE63B7">
      <w:pPr>
        <w:spacing w:line="276" w:lineRule="auto"/>
        <w:ind w:left="1276"/>
        <w:jc w:val="both"/>
        <w:rPr>
          <w:rFonts w:ascii="Calibri" w:hAnsi="Calibri" w:cs="Arial"/>
          <w:sz w:val="22"/>
          <w:szCs w:val="22"/>
        </w:rPr>
      </w:pPr>
      <w:r>
        <w:rPr>
          <w:rFonts w:ascii="Calibri" w:hAnsi="Calibri" w:cs="Arial"/>
          <w:sz w:val="22"/>
          <w:szCs w:val="22"/>
        </w:rPr>
        <w:t xml:space="preserve">bankovní spojení: </w:t>
      </w:r>
      <w:r w:rsidR="00EB47AA">
        <w:rPr>
          <w:rFonts w:ascii="Calibri" w:hAnsi="Calibri" w:cs="Arial"/>
          <w:sz w:val="22"/>
          <w:szCs w:val="22"/>
        </w:rPr>
        <w:t>xxxxxxxxxxxxx</w:t>
      </w:r>
      <w:r>
        <w:rPr>
          <w:rFonts w:ascii="Calibri" w:hAnsi="Calibri" w:cs="Arial"/>
          <w:sz w:val="22"/>
          <w:szCs w:val="22"/>
        </w:rPr>
        <w:t xml:space="preserve">; </w:t>
      </w:r>
      <w:r w:rsidR="00FB3856" w:rsidRPr="00401323">
        <w:rPr>
          <w:rFonts w:ascii="Calibri" w:hAnsi="Calibri" w:cs="Arial"/>
          <w:sz w:val="22"/>
          <w:szCs w:val="22"/>
        </w:rPr>
        <w:t>č. účtu:</w:t>
      </w:r>
      <w:r w:rsidR="00FB3856" w:rsidRPr="00744A8F">
        <w:t xml:space="preserve"> </w:t>
      </w:r>
      <w:r w:rsidR="00EB47AA">
        <w:rPr>
          <w:rFonts w:ascii="Calibri" w:hAnsi="Calibri" w:cs="Arial"/>
          <w:sz w:val="22"/>
          <w:szCs w:val="22"/>
        </w:rPr>
        <w:t>xxxxxxxxxxx</w:t>
      </w:r>
    </w:p>
    <w:p w:rsidR="00FB3856" w:rsidRPr="00401323" w:rsidRDefault="00FB3856" w:rsidP="00DE63B7">
      <w:pPr>
        <w:spacing w:line="276" w:lineRule="auto"/>
        <w:ind w:left="1276"/>
        <w:jc w:val="both"/>
        <w:rPr>
          <w:rFonts w:ascii="Calibri" w:hAnsi="Calibri" w:cs="Arial"/>
          <w:sz w:val="22"/>
          <w:szCs w:val="22"/>
        </w:rPr>
      </w:pPr>
      <w:r w:rsidRPr="00401323">
        <w:rPr>
          <w:rFonts w:ascii="Calibri" w:hAnsi="Calibri" w:cs="Arial"/>
          <w:sz w:val="22"/>
          <w:szCs w:val="22"/>
        </w:rPr>
        <w:t xml:space="preserve">Kontakt: </w:t>
      </w:r>
      <w:r w:rsidR="00EB47AA">
        <w:rPr>
          <w:rFonts w:ascii="Calibri" w:hAnsi="Calibri" w:cs="Arial"/>
          <w:sz w:val="22"/>
          <w:szCs w:val="22"/>
        </w:rPr>
        <w:t>xxxxxxxxxxx</w:t>
      </w:r>
      <w:r w:rsidR="00DE63B7">
        <w:rPr>
          <w:rFonts w:ascii="Calibri" w:hAnsi="Calibri" w:cs="Arial"/>
          <w:sz w:val="22"/>
          <w:szCs w:val="22"/>
        </w:rPr>
        <w:t xml:space="preserve">, jednatel; </w:t>
      </w:r>
      <w:r w:rsidRPr="00401323">
        <w:rPr>
          <w:rFonts w:ascii="Calibri" w:hAnsi="Calibri" w:cs="Arial"/>
          <w:sz w:val="22"/>
          <w:szCs w:val="22"/>
        </w:rPr>
        <w:t xml:space="preserve">email: </w:t>
      </w:r>
      <w:hyperlink r:id="rId7" w:history="1">
        <w:r w:rsidR="00EB47AA">
          <w:rPr>
            <w:rStyle w:val="Hypertextovodkaz"/>
            <w:rFonts w:ascii="Calibri" w:hAnsi="Calibri" w:cs="Arial"/>
            <w:sz w:val="22"/>
            <w:szCs w:val="22"/>
          </w:rPr>
          <w:t>xxxxxxxxxx</w:t>
        </w:r>
      </w:hyperlink>
      <w:r w:rsidRPr="00401323">
        <w:rPr>
          <w:rFonts w:ascii="Calibri" w:hAnsi="Calibri" w:cs="Arial"/>
          <w:sz w:val="22"/>
          <w:szCs w:val="22"/>
        </w:rPr>
        <w:t>, tel</w:t>
      </w:r>
      <w:r w:rsidR="00DE63B7">
        <w:rPr>
          <w:rFonts w:ascii="Calibri" w:hAnsi="Calibri" w:cs="Arial"/>
          <w:sz w:val="22"/>
          <w:szCs w:val="22"/>
        </w:rPr>
        <w:t>.</w:t>
      </w:r>
      <w:r w:rsidRPr="00401323">
        <w:rPr>
          <w:rFonts w:ascii="Calibri" w:hAnsi="Calibri" w:cs="Arial"/>
          <w:sz w:val="22"/>
          <w:szCs w:val="22"/>
        </w:rPr>
        <w:t>:</w:t>
      </w:r>
      <w:r w:rsidR="00BF2D6E" w:rsidRPr="00DE63B7">
        <w:rPr>
          <w:rFonts w:ascii="Calibri" w:hAnsi="Calibri" w:cs="Arial"/>
          <w:sz w:val="22"/>
          <w:szCs w:val="22"/>
        </w:rPr>
        <w:t xml:space="preserve"> </w:t>
      </w:r>
      <w:r w:rsidR="00EB47AA">
        <w:rPr>
          <w:rFonts w:ascii="Calibri" w:hAnsi="Calibri" w:cs="Arial"/>
          <w:sz w:val="22"/>
          <w:szCs w:val="22"/>
        </w:rPr>
        <w:t>xxxxxxxxxxxxx</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(dále jen „prodávající“) </w:t>
      </w:r>
    </w:p>
    <w:p w:rsidR="00D55B5B" w:rsidRPr="00401323" w:rsidRDefault="00D55B5B" w:rsidP="00FB3856">
      <w:pPr>
        <w:tabs>
          <w:tab w:val="left" w:pos="1276"/>
        </w:tabs>
        <w:spacing w:line="276" w:lineRule="auto"/>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w:t>
      </w:r>
      <w:r w:rsidR="00DE63B7">
        <w:rPr>
          <w:rFonts w:ascii="Calibri" w:hAnsi="Calibri" w:cs="Arial"/>
          <w:sz w:val="22"/>
          <w:szCs w:val="22"/>
        </w:rPr>
        <w:t>O</w:t>
      </w:r>
      <w:r w:rsidRPr="00401323">
        <w:rPr>
          <w:rFonts w:ascii="Calibri" w:hAnsi="Calibri" w:cs="Arial"/>
          <w:sz w:val="22"/>
          <w:szCs w:val="22"/>
        </w:rPr>
        <w:t>:75032333</w:t>
      </w:r>
      <w:r w:rsidR="00DE63B7">
        <w:rPr>
          <w:rFonts w:ascii="Calibri" w:hAnsi="Calibri" w:cs="Arial"/>
          <w:sz w:val="22"/>
          <w:szCs w:val="22"/>
        </w:rPr>
        <w:t>, DIČ: CZ</w:t>
      </w:r>
      <w:r w:rsidR="000C7701" w:rsidRPr="00401323">
        <w:rPr>
          <w:rFonts w:ascii="Calibri" w:hAnsi="Calibri" w:cs="Arial"/>
          <w:sz w:val="22"/>
          <w:szCs w:val="22"/>
        </w:rPr>
        <w:t>750032333</w:t>
      </w:r>
    </w:p>
    <w:p w:rsidR="00D55B5B" w:rsidRPr="00B70574" w:rsidRDefault="00D55B5B" w:rsidP="0020324D">
      <w:pPr>
        <w:spacing w:line="276" w:lineRule="auto"/>
        <w:ind w:left="1134"/>
        <w:jc w:val="both"/>
        <w:rPr>
          <w:rFonts w:ascii="Calibri" w:hAnsi="Calibri" w:cs="Arial"/>
          <w:b/>
          <w:sz w:val="22"/>
          <w:szCs w:val="22"/>
        </w:rPr>
      </w:pPr>
      <w:r w:rsidRPr="00B70574">
        <w:rPr>
          <w:rFonts w:ascii="Calibri" w:hAnsi="Calibri" w:cs="Arial"/>
          <w:b/>
          <w:sz w:val="22"/>
          <w:szCs w:val="22"/>
        </w:rPr>
        <w:t xml:space="preserve">Jednající: Ing. </w:t>
      </w:r>
      <w:r w:rsidR="00DE63B7" w:rsidRPr="00B70574">
        <w:rPr>
          <w:rFonts w:ascii="Calibri" w:hAnsi="Calibri" w:cs="Arial"/>
          <w:b/>
          <w:sz w:val="22"/>
          <w:szCs w:val="22"/>
        </w:rPr>
        <w:t>Petrem Šubíkem, ředitelem Územní památkové správy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zástupce pro věcná jednání: </w:t>
      </w:r>
      <w:r w:rsidR="00EB47AA">
        <w:rPr>
          <w:rFonts w:ascii="Calibri" w:hAnsi="Calibri" w:cs="Arial"/>
          <w:sz w:val="22"/>
          <w:szCs w:val="22"/>
        </w:rPr>
        <w:t>xxxxxxxxxxxxxxx</w:t>
      </w:r>
      <w:r w:rsidR="0020324D" w:rsidRPr="00401323">
        <w:rPr>
          <w:rFonts w:ascii="Calibri" w:hAnsi="Calibri" w:cs="Arial"/>
          <w:sz w:val="22"/>
          <w:szCs w:val="22"/>
        </w:rPr>
        <w:t xml:space="preserve">, </w:t>
      </w:r>
    </w:p>
    <w:p w:rsidR="00002A72" w:rsidRPr="00401323" w:rsidRDefault="00DE63B7" w:rsidP="0020324D">
      <w:pPr>
        <w:spacing w:line="276" w:lineRule="auto"/>
        <w:ind w:left="1134"/>
        <w:jc w:val="both"/>
        <w:rPr>
          <w:rFonts w:ascii="Calibri" w:hAnsi="Calibri" w:cs="Arial"/>
          <w:sz w:val="22"/>
          <w:szCs w:val="22"/>
        </w:rPr>
      </w:pPr>
      <w:r>
        <w:rPr>
          <w:rFonts w:ascii="Calibri" w:hAnsi="Calibri" w:cs="Arial"/>
          <w:sz w:val="22"/>
          <w:szCs w:val="22"/>
        </w:rPr>
        <w:t xml:space="preserve">tel.: </w:t>
      </w:r>
      <w:r w:rsidR="00EB47AA">
        <w:rPr>
          <w:rFonts w:ascii="Calibri" w:hAnsi="Calibri" w:cs="Arial"/>
          <w:sz w:val="22"/>
          <w:szCs w:val="22"/>
        </w:rPr>
        <w:t>xxxxxxxxxxxxx</w:t>
      </w:r>
      <w:r w:rsidR="00002A72" w:rsidRPr="00401323">
        <w:rPr>
          <w:rFonts w:ascii="Calibri" w:hAnsi="Calibri" w:cs="Arial"/>
          <w:sz w:val="22"/>
          <w:szCs w:val="22"/>
        </w:rPr>
        <w:t xml:space="preserve">, email: </w:t>
      </w:r>
      <w:r w:rsidR="00EB47AA">
        <w:rPr>
          <w:rFonts w:ascii="Calibri" w:hAnsi="Calibri" w:cs="Arial"/>
          <w:sz w:val="22"/>
          <w:szCs w:val="22"/>
        </w:rPr>
        <w:t>xxxxxxxxxxx</w:t>
      </w:r>
    </w:p>
    <w:p w:rsidR="000C7701" w:rsidRPr="00401323" w:rsidRDefault="000C7701" w:rsidP="00DE63B7">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r w:rsidR="00DE63B7">
        <w:rPr>
          <w:rFonts w:ascii="Calibri" w:hAnsi="Calibri" w:cs="Arial"/>
          <w:sz w:val="22"/>
          <w:szCs w:val="22"/>
        </w:rPr>
        <w:t xml:space="preserve">; </w:t>
      </w:r>
      <w:r w:rsidRPr="00401323">
        <w:rPr>
          <w:rFonts w:ascii="Calibri" w:hAnsi="Calibri" w:cs="Arial"/>
          <w:sz w:val="22"/>
          <w:szCs w:val="22"/>
        </w:rPr>
        <w:t>č. účtu</w:t>
      </w:r>
      <w:r w:rsidR="00DD6FEA" w:rsidRPr="00401323">
        <w:rPr>
          <w:rFonts w:ascii="Calibri" w:hAnsi="Calibri" w:cs="Arial"/>
          <w:sz w:val="22"/>
          <w:szCs w:val="22"/>
        </w:rPr>
        <w:t>: 500005-60039011/0710</w:t>
      </w:r>
    </w:p>
    <w:p w:rsidR="0020324D" w:rsidRDefault="00D55B5B" w:rsidP="001245C6">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1245C6" w:rsidRDefault="001245C6" w:rsidP="001245C6">
      <w:pPr>
        <w:spacing w:line="276" w:lineRule="auto"/>
        <w:ind w:left="1134"/>
        <w:jc w:val="both"/>
        <w:rPr>
          <w:rFonts w:ascii="Calibri" w:hAnsi="Calibri" w:cs="Arial"/>
          <w:sz w:val="22"/>
          <w:szCs w:val="22"/>
        </w:rPr>
      </w:pPr>
    </w:p>
    <w:p w:rsidR="003D226C" w:rsidRPr="001245C6" w:rsidRDefault="003D226C" w:rsidP="001245C6">
      <w:pPr>
        <w:spacing w:line="276" w:lineRule="auto"/>
        <w:ind w:left="1134"/>
        <w:jc w:val="both"/>
        <w:rPr>
          <w:rFonts w:ascii="Calibri" w:hAnsi="Calibri" w:cs="Arial"/>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Předmět koupě, účel smlouvy</w:t>
      </w:r>
    </w:p>
    <w:p w:rsidR="00C55420" w:rsidRDefault="001F10C0" w:rsidP="00C55420">
      <w:pPr>
        <w:pStyle w:val="Odstavecseseznamem"/>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D018AA">
        <w:rPr>
          <w:rFonts w:asciiTheme="minorHAnsi" w:hAnsiTheme="minorHAnsi" w:cstheme="minorHAnsi"/>
          <w:sz w:val="22"/>
          <w:szCs w:val="22"/>
        </w:rPr>
        <w:t>Podkladem pro uzavření této smlouvy je nabídka dodavatele</w:t>
      </w:r>
      <w:r w:rsidR="00950FCE">
        <w:rPr>
          <w:rFonts w:asciiTheme="minorHAnsi" w:hAnsiTheme="minorHAnsi" w:cstheme="minorHAnsi"/>
          <w:sz w:val="22"/>
          <w:szCs w:val="22"/>
        </w:rPr>
        <w:t xml:space="preserve"> ze dne 13. 9</w:t>
      </w:r>
      <w:r w:rsidR="00C07987">
        <w:rPr>
          <w:rFonts w:asciiTheme="minorHAnsi" w:hAnsiTheme="minorHAnsi" w:cstheme="minorHAnsi"/>
          <w:sz w:val="22"/>
          <w:szCs w:val="22"/>
        </w:rPr>
        <w:t>. 2023</w:t>
      </w:r>
      <w:r w:rsidR="00DE63B7">
        <w:rPr>
          <w:rFonts w:asciiTheme="minorHAnsi" w:hAnsiTheme="minorHAnsi" w:cstheme="minorHAnsi"/>
          <w:sz w:val="22"/>
          <w:szCs w:val="22"/>
        </w:rPr>
        <w:t>, která je  e</w:t>
      </w:r>
      <w:r w:rsidRPr="00D018AA">
        <w:rPr>
          <w:rFonts w:asciiTheme="minorHAnsi" w:hAnsiTheme="minorHAnsi" w:cstheme="minorHAnsi"/>
          <w:sz w:val="22"/>
          <w:szCs w:val="22"/>
        </w:rPr>
        <w:t>vidovaná v souladu se zákonem č. 134/2016 Sb. o zadávání veřejných zakázek (dále jen „zákon“) prostřednictvím elektronického tržiště NEN, zakázka č</w:t>
      </w:r>
      <w:r w:rsidR="00244EEB" w:rsidRPr="00D018AA">
        <w:rPr>
          <w:rFonts w:asciiTheme="minorHAnsi" w:hAnsiTheme="minorHAnsi" w:cstheme="minorHAnsi"/>
          <w:sz w:val="22"/>
          <w:szCs w:val="22"/>
        </w:rPr>
        <w:t xml:space="preserve">. </w:t>
      </w:r>
      <w:r w:rsidR="007E5458">
        <w:rPr>
          <w:rFonts w:asciiTheme="minorHAnsi" w:hAnsiTheme="minorHAnsi" w:cstheme="minorHAnsi"/>
          <w:sz w:val="22"/>
          <w:szCs w:val="22"/>
        </w:rPr>
        <w:t>N006/23/</w:t>
      </w:r>
      <w:r w:rsidR="00950FCE">
        <w:rPr>
          <w:rFonts w:asciiTheme="minorHAnsi" w:hAnsiTheme="minorHAnsi" w:cstheme="minorHAnsi"/>
          <w:sz w:val="22"/>
          <w:szCs w:val="22"/>
        </w:rPr>
        <w:t>V00027673</w:t>
      </w:r>
      <w:r w:rsidR="00602809" w:rsidRPr="00D018AA">
        <w:rPr>
          <w:rFonts w:asciiTheme="minorHAnsi" w:hAnsiTheme="minorHAnsi" w:cstheme="minorHAnsi"/>
          <w:sz w:val="22"/>
          <w:szCs w:val="22"/>
        </w:rPr>
        <w:t>.</w:t>
      </w:r>
    </w:p>
    <w:p w:rsidR="00D55B5B" w:rsidRPr="00C55420" w:rsidRDefault="00D55B5B" w:rsidP="00950FCE">
      <w:pPr>
        <w:pStyle w:val="Odstavecseseznamem"/>
        <w:numPr>
          <w:ilvl w:val="0"/>
          <w:numId w:val="5"/>
        </w:numPr>
        <w:tabs>
          <w:tab w:val="clear" w:pos="720"/>
          <w:tab w:val="num" w:pos="360"/>
        </w:tabs>
        <w:spacing w:line="276" w:lineRule="auto"/>
        <w:ind w:left="426" w:hanging="426"/>
        <w:jc w:val="both"/>
        <w:rPr>
          <w:rFonts w:asciiTheme="minorHAnsi" w:hAnsiTheme="minorHAnsi" w:cstheme="minorHAnsi"/>
          <w:sz w:val="22"/>
          <w:szCs w:val="22"/>
        </w:rPr>
      </w:pPr>
      <w:r w:rsidRPr="00C55420">
        <w:rPr>
          <w:rFonts w:ascii="Calibri" w:hAnsi="Calibri" w:cs="Arial"/>
          <w:sz w:val="22"/>
          <w:szCs w:val="22"/>
        </w:rPr>
        <w:t xml:space="preserve">Předmětem plnění této smlouvy je dodávka </w:t>
      </w:r>
      <w:r w:rsidR="00E67F27" w:rsidRPr="00C55420">
        <w:rPr>
          <w:rFonts w:ascii="Calibri" w:hAnsi="Calibri" w:cs="Arial"/>
          <w:sz w:val="22"/>
          <w:szCs w:val="22"/>
        </w:rPr>
        <w:t xml:space="preserve">nové, </w:t>
      </w:r>
      <w:r w:rsidR="00A56F58" w:rsidRPr="00C55420">
        <w:rPr>
          <w:rFonts w:ascii="Calibri" w:hAnsi="Calibri" w:cs="Arial"/>
          <w:sz w:val="22"/>
          <w:szCs w:val="22"/>
        </w:rPr>
        <w:t>nepoužité výpočetní techniky (</w:t>
      </w:r>
      <w:r w:rsidR="00950FCE" w:rsidRPr="00950FCE">
        <w:rPr>
          <w:rFonts w:ascii="Calibri" w:hAnsi="Calibri" w:cs="Arial"/>
          <w:sz w:val="22"/>
          <w:szCs w:val="22"/>
        </w:rPr>
        <w:t>nákup 2 ks notebooku 14‘‘, 8 ks notebooku 15´´, 6 ks stolních počítačů a 6 ks monitorů.</w:t>
      </w:r>
      <w:r w:rsidR="00E67F27" w:rsidRPr="00C55420">
        <w:rPr>
          <w:rFonts w:ascii="Calibri" w:hAnsi="Calibri" w:cs="Arial"/>
          <w:sz w:val="22"/>
          <w:szCs w:val="22"/>
        </w:rPr>
        <w:t>) včetně dopravy do místa plnění (dále jen „předmět koupě“).</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Kupující se zavazuje </w:t>
      </w:r>
      <w:r w:rsidR="00DB2FC9" w:rsidRPr="00401323">
        <w:rPr>
          <w:rFonts w:ascii="Calibri" w:hAnsi="Calibri" w:cs="Arial"/>
          <w:sz w:val="22"/>
          <w:szCs w:val="22"/>
        </w:rPr>
        <w:t>předmět</w:t>
      </w:r>
      <w:r w:rsidRPr="00401323">
        <w:rPr>
          <w:rFonts w:ascii="Calibri" w:hAnsi="Calibri" w:cs="Arial"/>
          <w:sz w:val="22"/>
          <w:szCs w:val="22"/>
        </w:rPr>
        <w:t xml:space="preserve"> </w:t>
      </w:r>
      <w:r w:rsidR="0020324D" w:rsidRPr="00401323">
        <w:rPr>
          <w:rFonts w:ascii="Calibri" w:hAnsi="Calibri" w:cs="Arial"/>
          <w:sz w:val="22"/>
          <w:szCs w:val="22"/>
        </w:rPr>
        <w:t>koupě</w:t>
      </w:r>
      <w:r w:rsidRPr="00401323">
        <w:rPr>
          <w:rFonts w:ascii="Calibri" w:hAnsi="Calibri" w:cs="Arial"/>
          <w:sz w:val="22"/>
          <w:szCs w:val="22"/>
        </w:rPr>
        <w:t xml:space="preserve"> </w:t>
      </w:r>
      <w:r w:rsidR="00BE0502" w:rsidRPr="00401323">
        <w:rPr>
          <w:rFonts w:ascii="Calibri" w:hAnsi="Calibri" w:cs="Arial"/>
          <w:sz w:val="22"/>
          <w:szCs w:val="22"/>
        </w:rPr>
        <w:t>s příslušenstvím</w:t>
      </w:r>
      <w:r w:rsidRPr="00401323">
        <w:rPr>
          <w:rFonts w:ascii="Calibri" w:hAnsi="Calibri" w:cs="Arial"/>
          <w:sz w:val="22"/>
          <w:szCs w:val="22"/>
        </w:rPr>
        <w:t xml:space="preserve"> převzít a zaplatit sjednanou kupní cenu</w:t>
      </w:r>
      <w:r w:rsidR="00EB52DD" w:rsidRPr="00401323">
        <w:rPr>
          <w:rFonts w:ascii="Calibri" w:hAnsi="Calibri" w:cs="Arial"/>
          <w:sz w:val="22"/>
          <w:szCs w:val="22"/>
        </w:rPr>
        <w:t xml:space="preserve">. </w:t>
      </w:r>
    </w:p>
    <w:p w:rsidR="00F822FF" w:rsidRDefault="00EB52DD" w:rsidP="007E5458">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Vlastnictví k předmětu koupě přechází na kupujícího dnem převzetí všech bezvadných předmětů koupě kupujícím. </w:t>
      </w:r>
    </w:p>
    <w:p w:rsidR="003D226C" w:rsidRPr="007E5458" w:rsidRDefault="003D226C" w:rsidP="003D226C">
      <w:pPr>
        <w:spacing w:line="276" w:lineRule="auto"/>
        <w:ind w:left="425"/>
        <w:jc w:val="both"/>
        <w:rPr>
          <w:rFonts w:ascii="Calibri" w:hAnsi="Calibri" w:cs="Arial"/>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9478" w:type="dxa"/>
        <w:tblLook w:val="04A0" w:firstRow="1" w:lastRow="0" w:firstColumn="1" w:lastColumn="0" w:noHBand="0" w:noVBand="1"/>
      </w:tblPr>
      <w:tblGrid>
        <w:gridCol w:w="2972"/>
        <w:gridCol w:w="1612"/>
        <w:gridCol w:w="1276"/>
        <w:gridCol w:w="761"/>
        <w:gridCol w:w="1414"/>
        <w:gridCol w:w="1443"/>
      </w:tblGrid>
      <w:tr w:rsidR="00320902" w:rsidTr="00B37FA7">
        <w:trPr>
          <w:trHeight w:val="658"/>
        </w:trPr>
        <w:tc>
          <w:tcPr>
            <w:tcW w:w="2972" w:type="dxa"/>
            <w:vAlign w:val="center"/>
          </w:tcPr>
          <w:p w:rsidR="00562906" w:rsidRPr="0094246B" w:rsidRDefault="00562906"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612"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w:t>
            </w:r>
            <w:r w:rsidR="00C9256E">
              <w:rPr>
                <w:rFonts w:ascii="Calibri" w:hAnsi="Calibri" w:cs="Arial"/>
                <w:b/>
                <w:sz w:val="20"/>
                <w:szCs w:val="20"/>
              </w:rPr>
              <w:t xml:space="preserve"> </w:t>
            </w:r>
            <w:r w:rsidRPr="0094246B">
              <w:rPr>
                <w:rFonts w:ascii="Calibri" w:hAnsi="Calibri" w:cs="Arial"/>
                <w:b/>
                <w:sz w:val="20"/>
                <w:szCs w:val="20"/>
              </w:rPr>
              <w:t>ks bez DPH</w:t>
            </w:r>
          </w:p>
        </w:tc>
        <w:tc>
          <w:tcPr>
            <w:tcW w:w="1276"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 ks s DPH</w:t>
            </w:r>
          </w:p>
        </w:tc>
        <w:tc>
          <w:tcPr>
            <w:tcW w:w="761"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Počet kusů</w:t>
            </w:r>
          </w:p>
        </w:tc>
        <w:tc>
          <w:tcPr>
            <w:tcW w:w="1414"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1443"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5E4CF6" w:rsidTr="00B37FA7">
        <w:trPr>
          <w:trHeight w:val="158"/>
        </w:trPr>
        <w:tc>
          <w:tcPr>
            <w:tcW w:w="2972" w:type="dxa"/>
            <w:vAlign w:val="center"/>
          </w:tcPr>
          <w:p w:rsidR="005E4CF6" w:rsidRPr="0094246B" w:rsidRDefault="00950FCE" w:rsidP="00C9256E">
            <w:pPr>
              <w:jc w:val="center"/>
              <w:rPr>
                <w:rFonts w:asciiTheme="minorHAnsi" w:hAnsiTheme="minorHAnsi"/>
                <w:b/>
                <w:sz w:val="20"/>
                <w:szCs w:val="20"/>
              </w:rPr>
            </w:pPr>
            <w:r w:rsidRPr="00950FCE">
              <w:rPr>
                <w:rFonts w:asciiTheme="minorHAnsi" w:hAnsiTheme="minorHAnsi"/>
                <w:b/>
                <w:sz w:val="20"/>
                <w:szCs w:val="20"/>
              </w:rPr>
              <w:lastRenderedPageBreak/>
              <w:t>Notebook Acer Swift 3/SF314-43/14"</w:t>
            </w:r>
          </w:p>
        </w:tc>
        <w:tc>
          <w:tcPr>
            <w:tcW w:w="1612" w:type="dxa"/>
          </w:tcPr>
          <w:p w:rsidR="005E4CF6" w:rsidRPr="0094246B" w:rsidRDefault="00950FCE" w:rsidP="00947FB2">
            <w:pPr>
              <w:spacing w:line="276" w:lineRule="auto"/>
              <w:jc w:val="center"/>
              <w:rPr>
                <w:rFonts w:ascii="Calibri" w:hAnsi="Calibri" w:cs="Arial"/>
                <w:sz w:val="20"/>
                <w:szCs w:val="20"/>
              </w:rPr>
            </w:pPr>
            <w:r>
              <w:rPr>
                <w:rFonts w:ascii="Calibri" w:hAnsi="Calibri" w:cs="Arial"/>
                <w:sz w:val="20"/>
                <w:szCs w:val="20"/>
              </w:rPr>
              <w:t>13 170</w:t>
            </w:r>
            <w:r w:rsidR="007E5458">
              <w:rPr>
                <w:rFonts w:ascii="Calibri" w:hAnsi="Calibri" w:cs="Arial"/>
                <w:sz w:val="20"/>
                <w:szCs w:val="20"/>
              </w:rPr>
              <w:t>,00</w:t>
            </w:r>
            <w:r w:rsidR="005E4CF6">
              <w:rPr>
                <w:rFonts w:ascii="Calibri" w:hAnsi="Calibri" w:cs="Arial"/>
                <w:sz w:val="20"/>
                <w:szCs w:val="20"/>
              </w:rPr>
              <w:t xml:space="preserve"> Kč</w:t>
            </w:r>
          </w:p>
        </w:tc>
        <w:tc>
          <w:tcPr>
            <w:tcW w:w="1276" w:type="dxa"/>
          </w:tcPr>
          <w:p w:rsidR="005E4CF6" w:rsidRPr="0094246B" w:rsidRDefault="00950FCE" w:rsidP="00947FB2">
            <w:pPr>
              <w:spacing w:line="276" w:lineRule="auto"/>
              <w:jc w:val="center"/>
              <w:rPr>
                <w:rFonts w:ascii="Calibri" w:hAnsi="Calibri" w:cs="Arial"/>
                <w:sz w:val="20"/>
                <w:szCs w:val="20"/>
              </w:rPr>
            </w:pPr>
            <w:r>
              <w:rPr>
                <w:rFonts w:ascii="Calibri" w:hAnsi="Calibri" w:cs="Arial"/>
                <w:sz w:val="20"/>
                <w:szCs w:val="20"/>
              </w:rPr>
              <w:t>15 935,70</w:t>
            </w:r>
            <w:r w:rsidR="00635581">
              <w:rPr>
                <w:rFonts w:ascii="Calibri" w:hAnsi="Calibri" w:cs="Arial"/>
                <w:sz w:val="20"/>
                <w:szCs w:val="20"/>
              </w:rPr>
              <w:t xml:space="preserve"> Kč</w:t>
            </w:r>
          </w:p>
        </w:tc>
        <w:tc>
          <w:tcPr>
            <w:tcW w:w="761" w:type="dxa"/>
          </w:tcPr>
          <w:p w:rsidR="005E4CF6" w:rsidRPr="0094246B" w:rsidRDefault="00950FCE" w:rsidP="005E4CF6">
            <w:pPr>
              <w:spacing w:line="276" w:lineRule="auto"/>
              <w:jc w:val="center"/>
              <w:rPr>
                <w:rFonts w:ascii="Calibri" w:hAnsi="Calibri" w:cs="Arial"/>
                <w:sz w:val="20"/>
                <w:szCs w:val="20"/>
              </w:rPr>
            </w:pPr>
            <w:r>
              <w:rPr>
                <w:rFonts w:ascii="Calibri" w:hAnsi="Calibri" w:cs="Arial"/>
                <w:sz w:val="20"/>
                <w:szCs w:val="20"/>
              </w:rPr>
              <w:t>2</w:t>
            </w:r>
          </w:p>
        </w:tc>
        <w:tc>
          <w:tcPr>
            <w:tcW w:w="1414" w:type="dxa"/>
          </w:tcPr>
          <w:p w:rsidR="005E4CF6" w:rsidRPr="0094246B" w:rsidRDefault="00950FCE" w:rsidP="00947FB2">
            <w:pPr>
              <w:spacing w:line="276" w:lineRule="auto"/>
              <w:jc w:val="center"/>
              <w:rPr>
                <w:rFonts w:ascii="Calibri" w:hAnsi="Calibri" w:cs="Arial"/>
                <w:sz w:val="20"/>
                <w:szCs w:val="20"/>
              </w:rPr>
            </w:pPr>
            <w:r>
              <w:rPr>
                <w:rFonts w:ascii="Calibri" w:hAnsi="Calibri" w:cs="Arial"/>
                <w:sz w:val="20"/>
                <w:szCs w:val="20"/>
              </w:rPr>
              <w:t>26 340,00</w:t>
            </w:r>
            <w:r w:rsidR="005E4CF6">
              <w:rPr>
                <w:rFonts w:ascii="Calibri" w:hAnsi="Calibri" w:cs="Arial"/>
                <w:sz w:val="20"/>
                <w:szCs w:val="20"/>
              </w:rPr>
              <w:t xml:space="preserve"> Kč</w:t>
            </w:r>
          </w:p>
        </w:tc>
        <w:tc>
          <w:tcPr>
            <w:tcW w:w="1443" w:type="dxa"/>
          </w:tcPr>
          <w:p w:rsidR="005E4CF6" w:rsidRPr="0094246B" w:rsidRDefault="00950FCE" w:rsidP="00947FB2">
            <w:pPr>
              <w:spacing w:line="276" w:lineRule="auto"/>
              <w:jc w:val="center"/>
              <w:rPr>
                <w:rFonts w:ascii="Calibri" w:hAnsi="Calibri" w:cs="Arial"/>
                <w:sz w:val="20"/>
                <w:szCs w:val="20"/>
              </w:rPr>
            </w:pPr>
            <w:r>
              <w:rPr>
                <w:rFonts w:ascii="Calibri" w:hAnsi="Calibri" w:cs="Arial"/>
                <w:sz w:val="20"/>
                <w:szCs w:val="20"/>
              </w:rPr>
              <w:t>31 871,40</w:t>
            </w:r>
            <w:r w:rsidR="005E4CF6">
              <w:rPr>
                <w:rFonts w:ascii="Calibri" w:hAnsi="Calibri" w:cs="Arial"/>
                <w:sz w:val="20"/>
                <w:szCs w:val="20"/>
              </w:rPr>
              <w:t xml:space="preserve"> Kč</w:t>
            </w:r>
          </w:p>
        </w:tc>
      </w:tr>
      <w:tr w:rsidR="004B65D8" w:rsidTr="00B37FA7">
        <w:trPr>
          <w:trHeight w:val="158"/>
        </w:trPr>
        <w:tc>
          <w:tcPr>
            <w:tcW w:w="2972" w:type="dxa"/>
            <w:vAlign w:val="center"/>
          </w:tcPr>
          <w:p w:rsidR="004B65D8" w:rsidRDefault="00950FCE" w:rsidP="004B65D8">
            <w:pPr>
              <w:jc w:val="center"/>
              <w:rPr>
                <w:rFonts w:asciiTheme="minorHAnsi" w:hAnsiTheme="minorHAnsi"/>
                <w:b/>
                <w:sz w:val="20"/>
                <w:szCs w:val="20"/>
              </w:rPr>
            </w:pPr>
            <w:r w:rsidRPr="00950FCE">
              <w:rPr>
                <w:rFonts w:asciiTheme="minorHAnsi" w:hAnsiTheme="minorHAnsi"/>
                <w:b/>
                <w:sz w:val="20"/>
                <w:szCs w:val="20"/>
              </w:rPr>
              <w:t>Notebook Acer Aspire 5/ 15"</w:t>
            </w:r>
          </w:p>
        </w:tc>
        <w:tc>
          <w:tcPr>
            <w:tcW w:w="1612" w:type="dxa"/>
          </w:tcPr>
          <w:p w:rsidR="004B65D8" w:rsidRPr="0094246B" w:rsidRDefault="00950FCE" w:rsidP="00947FB2">
            <w:pPr>
              <w:spacing w:line="276" w:lineRule="auto"/>
              <w:jc w:val="center"/>
              <w:rPr>
                <w:rFonts w:ascii="Calibri" w:hAnsi="Calibri" w:cs="Arial"/>
                <w:sz w:val="20"/>
                <w:szCs w:val="20"/>
              </w:rPr>
            </w:pPr>
            <w:r>
              <w:rPr>
                <w:rFonts w:ascii="Calibri" w:hAnsi="Calibri" w:cs="Arial"/>
                <w:sz w:val="20"/>
                <w:szCs w:val="20"/>
              </w:rPr>
              <w:t>15 943</w:t>
            </w:r>
            <w:r w:rsidR="00B37FA7">
              <w:rPr>
                <w:rFonts w:ascii="Calibri" w:hAnsi="Calibri" w:cs="Arial"/>
                <w:sz w:val="20"/>
                <w:szCs w:val="20"/>
              </w:rPr>
              <w:t>,00</w:t>
            </w:r>
            <w:r>
              <w:rPr>
                <w:rFonts w:ascii="Calibri" w:hAnsi="Calibri" w:cs="Arial"/>
                <w:sz w:val="20"/>
                <w:szCs w:val="20"/>
              </w:rPr>
              <w:t xml:space="preserve"> </w:t>
            </w:r>
            <w:r w:rsidR="009A5655">
              <w:rPr>
                <w:rFonts w:ascii="Calibri" w:hAnsi="Calibri" w:cs="Arial"/>
                <w:sz w:val="20"/>
                <w:szCs w:val="20"/>
              </w:rPr>
              <w:t>Kč</w:t>
            </w:r>
          </w:p>
        </w:tc>
        <w:tc>
          <w:tcPr>
            <w:tcW w:w="1276" w:type="dxa"/>
          </w:tcPr>
          <w:p w:rsidR="004B65D8" w:rsidRPr="0094246B" w:rsidRDefault="00950FCE" w:rsidP="00947FB2">
            <w:pPr>
              <w:spacing w:line="276" w:lineRule="auto"/>
              <w:jc w:val="center"/>
              <w:rPr>
                <w:rFonts w:ascii="Calibri" w:hAnsi="Calibri" w:cs="Arial"/>
                <w:sz w:val="20"/>
                <w:szCs w:val="20"/>
              </w:rPr>
            </w:pPr>
            <w:r>
              <w:rPr>
                <w:rFonts w:ascii="Calibri" w:hAnsi="Calibri" w:cs="Arial"/>
                <w:sz w:val="20"/>
                <w:szCs w:val="20"/>
              </w:rPr>
              <w:t>19 291,03</w:t>
            </w:r>
            <w:r w:rsidR="004B65D8">
              <w:rPr>
                <w:rFonts w:ascii="Calibri" w:hAnsi="Calibri" w:cs="Arial"/>
                <w:sz w:val="20"/>
                <w:szCs w:val="20"/>
              </w:rPr>
              <w:t xml:space="preserve"> Kč</w:t>
            </w:r>
          </w:p>
        </w:tc>
        <w:tc>
          <w:tcPr>
            <w:tcW w:w="761" w:type="dxa"/>
          </w:tcPr>
          <w:p w:rsidR="004B65D8" w:rsidRPr="0094246B" w:rsidRDefault="00950FCE" w:rsidP="004B65D8">
            <w:pPr>
              <w:spacing w:line="276" w:lineRule="auto"/>
              <w:jc w:val="center"/>
              <w:rPr>
                <w:rFonts w:ascii="Calibri" w:hAnsi="Calibri" w:cs="Arial"/>
                <w:sz w:val="20"/>
                <w:szCs w:val="20"/>
              </w:rPr>
            </w:pPr>
            <w:r>
              <w:rPr>
                <w:rFonts w:ascii="Calibri" w:hAnsi="Calibri" w:cs="Arial"/>
                <w:sz w:val="20"/>
                <w:szCs w:val="20"/>
              </w:rPr>
              <w:t>8</w:t>
            </w:r>
          </w:p>
        </w:tc>
        <w:tc>
          <w:tcPr>
            <w:tcW w:w="1414" w:type="dxa"/>
          </w:tcPr>
          <w:p w:rsidR="004B65D8" w:rsidRPr="0094246B" w:rsidRDefault="00950FCE" w:rsidP="00947FB2">
            <w:pPr>
              <w:spacing w:line="276" w:lineRule="auto"/>
              <w:jc w:val="center"/>
              <w:rPr>
                <w:rFonts w:ascii="Calibri" w:hAnsi="Calibri" w:cs="Arial"/>
                <w:sz w:val="20"/>
                <w:szCs w:val="20"/>
              </w:rPr>
            </w:pPr>
            <w:r>
              <w:rPr>
                <w:rFonts w:ascii="Calibri" w:hAnsi="Calibri" w:cs="Arial"/>
                <w:sz w:val="20"/>
                <w:szCs w:val="20"/>
              </w:rPr>
              <w:t>127 544,00</w:t>
            </w:r>
            <w:r w:rsidR="009A5655">
              <w:rPr>
                <w:rFonts w:ascii="Calibri" w:hAnsi="Calibri" w:cs="Arial"/>
                <w:sz w:val="20"/>
                <w:szCs w:val="20"/>
              </w:rPr>
              <w:t xml:space="preserve"> Kč</w:t>
            </w:r>
          </w:p>
        </w:tc>
        <w:tc>
          <w:tcPr>
            <w:tcW w:w="1443" w:type="dxa"/>
          </w:tcPr>
          <w:p w:rsidR="004B65D8" w:rsidRPr="0094246B" w:rsidRDefault="00950FCE" w:rsidP="00947FB2">
            <w:pPr>
              <w:spacing w:line="276" w:lineRule="auto"/>
              <w:jc w:val="center"/>
              <w:rPr>
                <w:rFonts w:ascii="Calibri" w:hAnsi="Calibri" w:cs="Arial"/>
                <w:sz w:val="20"/>
                <w:szCs w:val="20"/>
              </w:rPr>
            </w:pPr>
            <w:r>
              <w:rPr>
                <w:rFonts w:ascii="Calibri" w:hAnsi="Calibri" w:cs="Arial"/>
                <w:sz w:val="20"/>
                <w:szCs w:val="20"/>
              </w:rPr>
              <w:t>154 328,24</w:t>
            </w:r>
            <w:r w:rsidR="004B65D8">
              <w:rPr>
                <w:rFonts w:ascii="Calibri" w:hAnsi="Calibri" w:cs="Arial"/>
                <w:sz w:val="20"/>
                <w:szCs w:val="20"/>
              </w:rPr>
              <w:t xml:space="preserve"> Kč</w:t>
            </w:r>
          </w:p>
        </w:tc>
      </w:tr>
      <w:tr w:rsidR="00205DA0" w:rsidTr="00B37FA7">
        <w:trPr>
          <w:trHeight w:val="158"/>
        </w:trPr>
        <w:tc>
          <w:tcPr>
            <w:tcW w:w="2972" w:type="dxa"/>
            <w:vAlign w:val="center"/>
          </w:tcPr>
          <w:p w:rsidR="00205DA0" w:rsidRDefault="00950FCE" w:rsidP="007E5458">
            <w:pPr>
              <w:jc w:val="center"/>
              <w:rPr>
                <w:rFonts w:asciiTheme="minorHAnsi" w:hAnsiTheme="minorHAnsi"/>
                <w:b/>
                <w:sz w:val="20"/>
                <w:szCs w:val="20"/>
              </w:rPr>
            </w:pPr>
            <w:r w:rsidRPr="00950FCE">
              <w:rPr>
                <w:rFonts w:asciiTheme="minorHAnsi" w:hAnsiTheme="minorHAnsi"/>
                <w:b/>
                <w:sz w:val="20"/>
                <w:szCs w:val="20"/>
              </w:rPr>
              <w:t>PC Acer Vertion N4680GT</w:t>
            </w:r>
          </w:p>
        </w:tc>
        <w:tc>
          <w:tcPr>
            <w:tcW w:w="1612" w:type="dxa"/>
          </w:tcPr>
          <w:p w:rsidR="00205DA0" w:rsidRDefault="00950FCE" w:rsidP="007E5458">
            <w:pPr>
              <w:spacing w:line="276" w:lineRule="auto"/>
              <w:jc w:val="center"/>
              <w:rPr>
                <w:rFonts w:ascii="Calibri" w:hAnsi="Calibri" w:cs="Arial"/>
                <w:sz w:val="20"/>
                <w:szCs w:val="20"/>
              </w:rPr>
            </w:pPr>
            <w:r>
              <w:rPr>
                <w:rFonts w:ascii="Calibri" w:hAnsi="Calibri" w:cs="Arial"/>
                <w:sz w:val="20"/>
                <w:szCs w:val="20"/>
              </w:rPr>
              <w:t>15 188</w:t>
            </w:r>
            <w:r w:rsidR="00B37FA7">
              <w:rPr>
                <w:rFonts w:ascii="Calibri" w:hAnsi="Calibri" w:cs="Arial"/>
                <w:sz w:val="20"/>
                <w:szCs w:val="20"/>
              </w:rPr>
              <w:t>,00 Kč</w:t>
            </w:r>
          </w:p>
        </w:tc>
        <w:tc>
          <w:tcPr>
            <w:tcW w:w="1276" w:type="dxa"/>
          </w:tcPr>
          <w:p w:rsidR="00205DA0" w:rsidRDefault="00950FCE" w:rsidP="00947FB2">
            <w:pPr>
              <w:spacing w:line="276" w:lineRule="auto"/>
              <w:jc w:val="center"/>
              <w:rPr>
                <w:rFonts w:ascii="Calibri" w:hAnsi="Calibri" w:cs="Arial"/>
                <w:sz w:val="20"/>
                <w:szCs w:val="20"/>
              </w:rPr>
            </w:pPr>
            <w:r>
              <w:rPr>
                <w:rFonts w:ascii="Calibri" w:hAnsi="Calibri" w:cs="Arial"/>
                <w:sz w:val="20"/>
                <w:szCs w:val="20"/>
              </w:rPr>
              <w:t>18 377,48</w:t>
            </w:r>
            <w:r w:rsidR="00B37FA7">
              <w:rPr>
                <w:rFonts w:ascii="Calibri" w:hAnsi="Calibri" w:cs="Arial"/>
                <w:sz w:val="20"/>
                <w:szCs w:val="20"/>
              </w:rPr>
              <w:t xml:space="preserve"> Kč</w:t>
            </w:r>
          </w:p>
        </w:tc>
        <w:tc>
          <w:tcPr>
            <w:tcW w:w="761" w:type="dxa"/>
          </w:tcPr>
          <w:p w:rsidR="00205DA0" w:rsidRDefault="00950FCE" w:rsidP="004B65D8">
            <w:pPr>
              <w:spacing w:line="276" w:lineRule="auto"/>
              <w:jc w:val="center"/>
              <w:rPr>
                <w:rFonts w:ascii="Calibri" w:hAnsi="Calibri" w:cs="Arial"/>
                <w:sz w:val="20"/>
                <w:szCs w:val="20"/>
              </w:rPr>
            </w:pPr>
            <w:r>
              <w:rPr>
                <w:rFonts w:ascii="Calibri" w:hAnsi="Calibri" w:cs="Arial"/>
                <w:sz w:val="20"/>
                <w:szCs w:val="20"/>
              </w:rPr>
              <w:t>6</w:t>
            </w:r>
          </w:p>
        </w:tc>
        <w:tc>
          <w:tcPr>
            <w:tcW w:w="1414" w:type="dxa"/>
          </w:tcPr>
          <w:p w:rsidR="00205DA0" w:rsidRDefault="00950FCE" w:rsidP="00947FB2">
            <w:pPr>
              <w:spacing w:line="276" w:lineRule="auto"/>
              <w:jc w:val="center"/>
              <w:rPr>
                <w:rFonts w:ascii="Calibri" w:hAnsi="Calibri" w:cs="Arial"/>
                <w:sz w:val="20"/>
                <w:szCs w:val="20"/>
              </w:rPr>
            </w:pPr>
            <w:r>
              <w:rPr>
                <w:rFonts w:ascii="Calibri" w:hAnsi="Calibri" w:cs="Arial"/>
                <w:sz w:val="20"/>
                <w:szCs w:val="20"/>
              </w:rPr>
              <w:t>91 128,00</w:t>
            </w:r>
            <w:r w:rsidR="00B37FA7">
              <w:rPr>
                <w:rFonts w:ascii="Calibri" w:hAnsi="Calibri" w:cs="Arial"/>
                <w:sz w:val="20"/>
                <w:szCs w:val="20"/>
              </w:rPr>
              <w:t xml:space="preserve"> Kč</w:t>
            </w:r>
          </w:p>
        </w:tc>
        <w:tc>
          <w:tcPr>
            <w:tcW w:w="1443" w:type="dxa"/>
          </w:tcPr>
          <w:p w:rsidR="00205DA0" w:rsidRDefault="00950FCE" w:rsidP="00947FB2">
            <w:pPr>
              <w:spacing w:line="276" w:lineRule="auto"/>
              <w:jc w:val="center"/>
              <w:rPr>
                <w:rFonts w:ascii="Calibri" w:hAnsi="Calibri" w:cs="Arial"/>
                <w:sz w:val="20"/>
                <w:szCs w:val="20"/>
              </w:rPr>
            </w:pPr>
            <w:r>
              <w:rPr>
                <w:rFonts w:ascii="Calibri" w:hAnsi="Calibri" w:cs="Arial"/>
                <w:sz w:val="20"/>
                <w:szCs w:val="20"/>
              </w:rPr>
              <w:t>110 264,88</w:t>
            </w:r>
            <w:r w:rsidR="00B37FA7">
              <w:rPr>
                <w:rFonts w:ascii="Calibri" w:hAnsi="Calibri" w:cs="Arial"/>
                <w:sz w:val="20"/>
                <w:szCs w:val="20"/>
              </w:rPr>
              <w:t xml:space="preserve"> Kč</w:t>
            </w:r>
          </w:p>
        </w:tc>
      </w:tr>
      <w:tr w:rsidR="00950FCE" w:rsidTr="00B37FA7">
        <w:trPr>
          <w:trHeight w:val="158"/>
        </w:trPr>
        <w:tc>
          <w:tcPr>
            <w:tcW w:w="2972" w:type="dxa"/>
            <w:vAlign w:val="center"/>
          </w:tcPr>
          <w:p w:rsidR="00950FCE" w:rsidRDefault="00950FCE" w:rsidP="007E5458">
            <w:pPr>
              <w:jc w:val="center"/>
              <w:rPr>
                <w:rFonts w:asciiTheme="minorHAnsi" w:hAnsiTheme="minorHAnsi"/>
                <w:b/>
                <w:sz w:val="20"/>
                <w:szCs w:val="20"/>
              </w:rPr>
            </w:pPr>
            <w:r w:rsidRPr="00950FCE">
              <w:rPr>
                <w:rFonts w:asciiTheme="minorHAnsi" w:hAnsiTheme="minorHAnsi"/>
                <w:b/>
                <w:sz w:val="20"/>
                <w:szCs w:val="20"/>
              </w:rPr>
              <w:t>Monitor  Acer CB242Y 24"</w:t>
            </w:r>
          </w:p>
        </w:tc>
        <w:tc>
          <w:tcPr>
            <w:tcW w:w="1612" w:type="dxa"/>
          </w:tcPr>
          <w:p w:rsidR="00950FCE" w:rsidRDefault="00950FCE" w:rsidP="007E5458">
            <w:pPr>
              <w:spacing w:line="276" w:lineRule="auto"/>
              <w:jc w:val="center"/>
              <w:rPr>
                <w:rFonts w:ascii="Calibri" w:hAnsi="Calibri" w:cs="Arial"/>
                <w:sz w:val="20"/>
                <w:szCs w:val="20"/>
              </w:rPr>
            </w:pPr>
            <w:r>
              <w:rPr>
                <w:rFonts w:ascii="Calibri" w:hAnsi="Calibri" w:cs="Arial"/>
                <w:sz w:val="20"/>
                <w:szCs w:val="20"/>
              </w:rPr>
              <w:t>2 747,00 Kč</w:t>
            </w:r>
          </w:p>
        </w:tc>
        <w:tc>
          <w:tcPr>
            <w:tcW w:w="1276" w:type="dxa"/>
          </w:tcPr>
          <w:p w:rsidR="00950FCE" w:rsidRDefault="00950FCE" w:rsidP="00947FB2">
            <w:pPr>
              <w:spacing w:line="276" w:lineRule="auto"/>
              <w:jc w:val="center"/>
              <w:rPr>
                <w:rFonts w:ascii="Calibri" w:hAnsi="Calibri" w:cs="Arial"/>
                <w:sz w:val="20"/>
                <w:szCs w:val="20"/>
              </w:rPr>
            </w:pPr>
            <w:r>
              <w:rPr>
                <w:rFonts w:ascii="Calibri" w:hAnsi="Calibri" w:cs="Arial"/>
                <w:sz w:val="20"/>
                <w:szCs w:val="20"/>
              </w:rPr>
              <w:t>3 323,87 Kč</w:t>
            </w:r>
          </w:p>
        </w:tc>
        <w:tc>
          <w:tcPr>
            <w:tcW w:w="761" w:type="dxa"/>
          </w:tcPr>
          <w:p w:rsidR="00950FCE" w:rsidRDefault="00950FCE" w:rsidP="004B65D8">
            <w:pPr>
              <w:spacing w:line="276" w:lineRule="auto"/>
              <w:jc w:val="center"/>
              <w:rPr>
                <w:rFonts w:ascii="Calibri" w:hAnsi="Calibri" w:cs="Arial"/>
                <w:sz w:val="20"/>
                <w:szCs w:val="20"/>
              </w:rPr>
            </w:pPr>
            <w:r>
              <w:rPr>
                <w:rFonts w:ascii="Calibri" w:hAnsi="Calibri" w:cs="Arial"/>
                <w:sz w:val="20"/>
                <w:szCs w:val="20"/>
              </w:rPr>
              <w:t>6</w:t>
            </w:r>
          </w:p>
        </w:tc>
        <w:tc>
          <w:tcPr>
            <w:tcW w:w="1414" w:type="dxa"/>
          </w:tcPr>
          <w:p w:rsidR="00950FCE" w:rsidRDefault="00950FCE" w:rsidP="00947FB2">
            <w:pPr>
              <w:spacing w:line="276" w:lineRule="auto"/>
              <w:jc w:val="center"/>
              <w:rPr>
                <w:rFonts w:ascii="Calibri" w:hAnsi="Calibri" w:cs="Arial"/>
                <w:sz w:val="20"/>
                <w:szCs w:val="20"/>
              </w:rPr>
            </w:pPr>
            <w:r>
              <w:rPr>
                <w:rFonts w:ascii="Calibri" w:hAnsi="Calibri" w:cs="Arial"/>
                <w:sz w:val="20"/>
                <w:szCs w:val="20"/>
              </w:rPr>
              <w:t>16 482,00 Kč</w:t>
            </w:r>
          </w:p>
        </w:tc>
        <w:tc>
          <w:tcPr>
            <w:tcW w:w="1443" w:type="dxa"/>
          </w:tcPr>
          <w:p w:rsidR="00950FCE" w:rsidRDefault="00950FCE" w:rsidP="00947FB2">
            <w:pPr>
              <w:spacing w:line="276" w:lineRule="auto"/>
              <w:jc w:val="center"/>
              <w:rPr>
                <w:rFonts w:ascii="Calibri" w:hAnsi="Calibri" w:cs="Arial"/>
                <w:sz w:val="20"/>
                <w:szCs w:val="20"/>
              </w:rPr>
            </w:pPr>
            <w:r>
              <w:rPr>
                <w:rFonts w:ascii="Calibri" w:hAnsi="Calibri" w:cs="Arial"/>
                <w:sz w:val="20"/>
                <w:szCs w:val="20"/>
              </w:rPr>
              <w:t>19 943,22 Kč</w:t>
            </w:r>
          </w:p>
        </w:tc>
      </w:tr>
      <w:tr w:rsidR="004B65D8" w:rsidTr="004F42CB">
        <w:trPr>
          <w:trHeight w:val="158"/>
        </w:trPr>
        <w:tc>
          <w:tcPr>
            <w:tcW w:w="6621" w:type="dxa"/>
            <w:gridSpan w:val="4"/>
            <w:vAlign w:val="center"/>
          </w:tcPr>
          <w:p w:rsidR="004B65D8" w:rsidRDefault="004B65D8" w:rsidP="004B65D8">
            <w:pPr>
              <w:spacing w:line="276" w:lineRule="auto"/>
              <w:jc w:val="right"/>
              <w:rPr>
                <w:rFonts w:ascii="Calibri" w:hAnsi="Calibri" w:cs="Arial"/>
                <w:sz w:val="20"/>
                <w:szCs w:val="20"/>
              </w:rPr>
            </w:pPr>
            <w:r>
              <w:rPr>
                <w:rFonts w:asciiTheme="minorHAnsi" w:hAnsiTheme="minorHAnsi"/>
                <w:b/>
                <w:sz w:val="20"/>
                <w:szCs w:val="20"/>
              </w:rPr>
              <w:t>celkem</w:t>
            </w:r>
          </w:p>
        </w:tc>
        <w:tc>
          <w:tcPr>
            <w:tcW w:w="1414" w:type="dxa"/>
          </w:tcPr>
          <w:p w:rsidR="004B65D8" w:rsidRPr="00B37FA7" w:rsidRDefault="00A83E72" w:rsidP="00AE7C09">
            <w:pPr>
              <w:spacing w:line="276" w:lineRule="auto"/>
              <w:jc w:val="center"/>
              <w:rPr>
                <w:rFonts w:ascii="Calibri" w:hAnsi="Calibri" w:cs="Arial"/>
                <w:b/>
                <w:sz w:val="20"/>
                <w:szCs w:val="20"/>
              </w:rPr>
            </w:pPr>
            <w:r>
              <w:rPr>
                <w:rFonts w:ascii="Calibri" w:hAnsi="Calibri" w:cs="Arial"/>
                <w:b/>
                <w:sz w:val="20"/>
                <w:szCs w:val="20"/>
              </w:rPr>
              <w:t>261 494,00</w:t>
            </w:r>
            <w:r w:rsidR="00B37FA7" w:rsidRPr="00B37FA7">
              <w:rPr>
                <w:rFonts w:ascii="Calibri" w:hAnsi="Calibri" w:cs="Arial"/>
                <w:b/>
                <w:sz w:val="20"/>
                <w:szCs w:val="20"/>
              </w:rPr>
              <w:t xml:space="preserve"> </w:t>
            </w:r>
            <w:r w:rsidR="004B65D8" w:rsidRPr="00B37FA7">
              <w:rPr>
                <w:rFonts w:ascii="Calibri" w:hAnsi="Calibri" w:cs="Arial"/>
                <w:b/>
                <w:sz w:val="20"/>
                <w:szCs w:val="20"/>
              </w:rPr>
              <w:t>Kč</w:t>
            </w:r>
          </w:p>
        </w:tc>
        <w:tc>
          <w:tcPr>
            <w:tcW w:w="1443" w:type="dxa"/>
          </w:tcPr>
          <w:p w:rsidR="004B65D8" w:rsidRPr="00B37FA7" w:rsidRDefault="00A83E72" w:rsidP="00AE7C09">
            <w:pPr>
              <w:spacing w:line="276" w:lineRule="auto"/>
              <w:jc w:val="center"/>
              <w:rPr>
                <w:rFonts w:ascii="Calibri" w:hAnsi="Calibri" w:cs="Arial"/>
                <w:b/>
                <w:sz w:val="20"/>
                <w:szCs w:val="20"/>
              </w:rPr>
            </w:pPr>
            <w:r>
              <w:rPr>
                <w:rFonts w:ascii="Calibri" w:hAnsi="Calibri" w:cs="Arial"/>
                <w:b/>
                <w:sz w:val="20"/>
                <w:szCs w:val="20"/>
              </w:rPr>
              <w:t>316 407,74</w:t>
            </w:r>
            <w:r w:rsidR="004B65D8" w:rsidRPr="00B37FA7">
              <w:rPr>
                <w:rFonts w:ascii="Calibri" w:hAnsi="Calibri" w:cs="Arial"/>
                <w:b/>
                <w:sz w:val="20"/>
                <w:szCs w:val="20"/>
              </w:rPr>
              <w:t xml:space="preserve"> Kč</w:t>
            </w:r>
          </w:p>
        </w:tc>
      </w:tr>
    </w:tbl>
    <w:p w:rsidR="0054764E" w:rsidRDefault="0054764E" w:rsidP="00562906">
      <w:pPr>
        <w:spacing w:line="276" w:lineRule="auto"/>
        <w:ind w:left="284"/>
        <w:jc w:val="both"/>
        <w:rPr>
          <w:rFonts w:ascii="Calibri" w:hAnsi="Calibri" w:cs="Arial"/>
          <w:sz w:val="22"/>
          <w:szCs w:val="22"/>
        </w:rPr>
      </w:pPr>
    </w:p>
    <w:p w:rsidR="00B856E2" w:rsidRPr="00307773" w:rsidRDefault="00D55B5B" w:rsidP="00DA681F">
      <w:pPr>
        <w:spacing w:line="276" w:lineRule="auto"/>
        <w:ind w:firstLine="284"/>
        <w:rPr>
          <w:rFonts w:ascii="Calibri" w:hAnsi="Calibri" w:cs="Arial"/>
          <w:color w:val="000000" w:themeColor="text1"/>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225AAB">
        <w:rPr>
          <w:rFonts w:ascii="Calibri" w:hAnsi="Calibri" w:cs="Arial"/>
          <w:color w:val="000000" w:themeColor="text1"/>
          <w:sz w:val="22"/>
          <w:szCs w:val="22"/>
        </w:rPr>
        <w:t>261 494,00 Kč;</w:t>
      </w:r>
      <w:r w:rsidR="008E6C23" w:rsidRPr="00307773">
        <w:rPr>
          <w:rFonts w:ascii="Calibri" w:hAnsi="Calibri" w:cs="Arial"/>
          <w:color w:val="000000" w:themeColor="text1"/>
          <w:sz w:val="22"/>
          <w:szCs w:val="22"/>
        </w:rPr>
        <w:t xml:space="preserve"> </w:t>
      </w:r>
      <w:r w:rsidR="006654C0" w:rsidRPr="00307773">
        <w:rPr>
          <w:rFonts w:ascii="Calibri" w:hAnsi="Calibri" w:cs="Arial"/>
          <w:color w:val="000000" w:themeColor="text1"/>
          <w:sz w:val="22"/>
          <w:szCs w:val="22"/>
        </w:rPr>
        <w:t xml:space="preserve">DPH 21% </w:t>
      </w:r>
      <w:r w:rsidR="0054764E" w:rsidRPr="00307773">
        <w:rPr>
          <w:rFonts w:ascii="Calibri" w:hAnsi="Calibri" w:cs="Arial"/>
          <w:color w:val="000000" w:themeColor="text1"/>
          <w:sz w:val="22"/>
          <w:szCs w:val="22"/>
        </w:rPr>
        <w:t xml:space="preserve">činí </w:t>
      </w:r>
      <w:r w:rsidR="00225AAB">
        <w:rPr>
          <w:rFonts w:ascii="Calibri" w:hAnsi="Calibri" w:cs="Arial"/>
          <w:color w:val="000000" w:themeColor="text1"/>
          <w:sz w:val="22"/>
          <w:szCs w:val="22"/>
        </w:rPr>
        <w:t>54 913,74</w:t>
      </w:r>
      <w:r w:rsidR="00EE446F" w:rsidRPr="00307773">
        <w:rPr>
          <w:rFonts w:ascii="Calibri" w:hAnsi="Calibri" w:cs="Arial"/>
          <w:color w:val="000000" w:themeColor="text1"/>
          <w:sz w:val="22"/>
          <w:szCs w:val="22"/>
        </w:rPr>
        <w:t xml:space="preserve"> Kč</w:t>
      </w:r>
    </w:p>
    <w:p w:rsidR="00B856E2" w:rsidRPr="00307773" w:rsidRDefault="00B856E2" w:rsidP="00DA681F">
      <w:pPr>
        <w:spacing w:line="276" w:lineRule="auto"/>
        <w:ind w:left="284"/>
        <w:rPr>
          <w:rFonts w:ascii="Calibri" w:hAnsi="Calibri" w:cs="Arial"/>
          <w:color w:val="000000" w:themeColor="text1"/>
          <w:sz w:val="22"/>
          <w:szCs w:val="22"/>
        </w:rPr>
      </w:pPr>
      <w:r w:rsidRPr="00307773">
        <w:rPr>
          <w:rFonts w:ascii="Calibri" w:hAnsi="Calibri" w:cs="Arial"/>
          <w:b/>
          <w:color w:val="000000" w:themeColor="text1"/>
          <w:sz w:val="22"/>
          <w:szCs w:val="22"/>
        </w:rPr>
        <w:t>C</w:t>
      </w:r>
      <w:r w:rsidR="008869B5" w:rsidRPr="00307773">
        <w:rPr>
          <w:rFonts w:ascii="Calibri" w:hAnsi="Calibri" w:cs="Arial"/>
          <w:b/>
          <w:color w:val="000000" w:themeColor="text1"/>
          <w:sz w:val="22"/>
          <w:szCs w:val="22"/>
        </w:rPr>
        <w:t xml:space="preserve">elková cena včetně DPH </w:t>
      </w:r>
      <w:r w:rsidR="0094132E" w:rsidRPr="00307773">
        <w:rPr>
          <w:rFonts w:ascii="Calibri" w:hAnsi="Calibri" w:cs="Arial"/>
          <w:b/>
          <w:color w:val="000000" w:themeColor="text1"/>
          <w:sz w:val="22"/>
          <w:szCs w:val="22"/>
        </w:rPr>
        <w:t>p</w:t>
      </w:r>
      <w:r w:rsidRPr="00307773">
        <w:rPr>
          <w:rFonts w:ascii="Calibri" w:hAnsi="Calibri" w:cs="Arial"/>
          <w:b/>
          <w:color w:val="000000" w:themeColor="text1"/>
          <w:sz w:val="22"/>
          <w:szCs w:val="22"/>
        </w:rPr>
        <w:t xml:space="preserve">ředmětu koupě </w:t>
      </w:r>
      <w:r w:rsidR="0094132E" w:rsidRPr="00307773">
        <w:rPr>
          <w:rFonts w:ascii="Calibri" w:hAnsi="Calibri" w:cs="Arial"/>
          <w:b/>
          <w:color w:val="000000" w:themeColor="text1"/>
          <w:sz w:val="22"/>
          <w:szCs w:val="22"/>
        </w:rPr>
        <w:t>dle čl. II.</w:t>
      </w:r>
      <w:r w:rsidR="00914551" w:rsidRPr="00307773">
        <w:rPr>
          <w:rFonts w:ascii="Calibri" w:hAnsi="Calibri" w:cs="Arial"/>
          <w:b/>
          <w:color w:val="000000" w:themeColor="text1"/>
          <w:sz w:val="22"/>
          <w:szCs w:val="22"/>
        </w:rPr>
        <w:t xml:space="preserve"> smlouvy</w:t>
      </w:r>
      <w:r w:rsidR="0094132E" w:rsidRPr="00307773">
        <w:rPr>
          <w:rFonts w:ascii="Calibri" w:hAnsi="Calibri" w:cs="Arial"/>
          <w:b/>
          <w:color w:val="000000" w:themeColor="text1"/>
          <w:sz w:val="22"/>
          <w:szCs w:val="22"/>
        </w:rPr>
        <w:t xml:space="preserve"> </w:t>
      </w:r>
      <w:r w:rsidR="008869B5" w:rsidRPr="00307773">
        <w:rPr>
          <w:rFonts w:ascii="Calibri" w:hAnsi="Calibri" w:cs="Arial"/>
          <w:b/>
          <w:color w:val="000000" w:themeColor="text1"/>
          <w:sz w:val="22"/>
          <w:szCs w:val="22"/>
        </w:rPr>
        <w:t>je</w:t>
      </w:r>
      <w:r w:rsidR="006654C0" w:rsidRPr="00307773">
        <w:rPr>
          <w:rFonts w:ascii="Calibri" w:hAnsi="Calibri" w:cs="Arial"/>
          <w:b/>
          <w:color w:val="000000" w:themeColor="text1"/>
          <w:sz w:val="22"/>
          <w:szCs w:val="22"/>
        </w:rPr>
        <w:t xml:space="preserve"> </w:t>
      </w:r>
      <w:r w:rsidR="00225AAB">
        <w:rPr>
          <w:rFonts w:ascii="Calibri" w:hAnsi="Calibri" w:cs="Arial"/>
          <w:b/>
          <w:color w:val="000000" w:themeColor="text1"/>
          <w:sz w:val="22"/>
          <w:szCs w:val="22"/>
        </w:rPr>
        <w:t>316 407,74 Kč</w:t>
      </w:r>
      <w:r w:rsidR="00AF259A" w:rsidRPr="00307773">
        <w:rPr>
          <w:rFonts w:ascii="Calibri" w:hAnsi="Calibri" w:cs="Arial"/>
          <w:color w:val="000000" w:themeColor="text1"/>
          <w:sz w:val="22"/>
          <w:szCs w:val="22"/>
        </w:rPr>
        <w:t xml:space="preserve"> </w:t>
      </w:r>
      <w:r w:rsidRPr="00307773">
        <w:rPr>
          <w:rFonts w:ascii="Calibri" w:hAnsi="Calibri" w:cs="Arial"/>
          <w:color w:val="000000" w:themeColor="text1"/>
          <w:sz w:val="22"/>
          <w:szCs w:val="22"/>
        </w:rPr>
        <w:t>(slovy</w:t>
      </w:r>
      <w:r w:rsidR="00EA34BD" w:rsidRPr="00307773">
        <w:rPr>
          <w:rFonts w:ascii="Calibri" w:hAnsi="Calibri" w:cs="Arial"/>
          <w:color w:val="000000" w:themeColor="text1"/>
          <w:sz w:val="22"/>
          <w:szCs w:val="22"/>
        </w:rPr>
        <w:t xml:space="preserve">: </w:t>
      </w:r>
      <w:r w:rsidR="00225AAB">
        <w:rPr>
          <w:rFonts w:ascii="Calibri" w:hAnsi="Calibri" w:cs="Arial"/>
          <w:color w:val="000000" w:themeColor="text1"/>
          <w:sz w:val="22"/>
          <w:szCs w:val="22"/>
        </w:rPr>
        <w:t>tři sta šestnáct tisíc čtyři sta sedm korun českých sedmdesát čtyři haléřů</w:t>
      </w:r>
      <w:r w:rsidRPr="00307773">
        <w:rPr>
          <w:rFonts w:ascii="Calibri" w:hAnsi="Calibri" w:cs="Arial"/>
          <w:color w:val="000000" w:themeColor="text1"/>
          <w:sz w:val="22"/>
          <w:szCs w:val="22"/>
        </w:rPr>
        <w:t>)</w:t>
      </w:r>
      <w:r w:rsidR="006654C0" w:rsidRPr="00307773">
        <w:rPr>
          <w:rFonts w:ascii="Calibri" w:hAnsi="Calibri" w:cs="Arial"/>
          <w:color w:val="000000" w:themeColor="text1"/>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BC5B32">
        <w:rPr>
          <w:rFonts w:ascii="Calibri" w:hAnsi="Calibri" w:cs="Arial"/>
          <w:sz w:val="22"/>
          <w:szCs w:val="22"/>
        </w:rPr>
        <w:t>Tato celková kupní cena za celé plnění</w:t>
      </w:r>
      <w:r w:rsidRPr="00FA5743">
        <w:rPr>
          <w:rFonts w:ascii="Calibri" w:hAnsi="Calibri" w:cs="Arial"/>
          <w:sz w:val="22"/>
          <w:szCs w:val="22"/>
        </w:rPr>
        <w:t xml:space="preserve"> </w:t>
      </w:r>
      <w:r w:rsidRPr="00401323">
        <w:rPr>
          <w:rFonts w:ascii="Calibri" w:hAnsi="Calibri" w:cs="Arial"/>
          <w:sz w:val="22"/>
          <w:szCs w:val="22"/>
        </w:rPr>
        <w:t>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 i</w:t>
      </w:r>
      <w:r w:rsidRPr="00401323">
        <w:rPr>
          <w:rFonts w:ascii="Calibri" w:hAnsi="Calibri" w:cs="Arial"/>
          <w:sz w:val="22"/>
          <w:szCs w:val="22"/>
        </w:rPr>
        <w:t xml:space="preserve"> poplatků</w:t>
      </w:r>
      <w:r w:rsidR="005C7609" w:rsidRPr="00401323">
        <w:rPr>
          <w:rFonts w:ascii="Calibri" w:hAnsi="Calibri" w:cs="Arial"/>
          <w:sz w:val="22"/>
          <w:szCs w:val="22"/>
        </w:rPr>
        <w:t xml:space="preserve"> za elektro odpad</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008F46A2">
        <w:rPr>
          <w:rFonts w:ascii="Calibri" w:hAnsi="Calibri" w:cs="Arial"/>
          <w:sz w:val="22"/>
          <w:szCs w:val="22"/>
        </w:rPr>
        <w:t>21</w:t>
      </w:r>
      <w:r w:rsidR="00D55B5B" w:rsidRPr="00401323">
        <w:rPr>
          <w:rFonts w:ascii="Calibri" w:hAnsi="Calibri" w:cs="Arial"/>
          <w:sz w:val="22"/>
          <w:szCs w:val="22"/>
        </w:rPr>
        <w:t xml:space="preserve"> dnů ode </w:t>
      </w:r>
      <w:r w:rsidR="00B37FA7">
        <w:rPr>
          <w:rFonts w:ascii="Calibri" w:hAnsi="Calibri" w:cs="Arial"/>
          <w:sz w:val="22"/>
          <w:szCs w:val="22"/>
        </w:rPr>
        <w:t xml:space="preserve">dne doručení faktury na email: </w:t>
      </w:r>
      <w:hyperlink r:id="rId8" w:history="1">
        <w:r w:rsidR="00EB47AA">
          <w:rPr>
            <w:rStyle w:val="Hypertextovodkaz"/>
            <w:rFonts w:ascii="Calibri" w:hAnsi="Calibri" w:cs="Arial"/>
            <w:sz w:val="22"/>
            <w:szCs w:val="22"/>
          </w:rPr>
          <w:t>xxxxxxxxxxxxxxx</w:t>
        </w:r>
      </w:hyperlink>
      <w:r w:rsidR="00B37FA7">
        <w:rPr>
          <w:rFonts w:ascii="Calibri" w:hAnsi="Calibri" w:cs="Arial"/>
          <w:sz w:val="22"/>
          <w:szCs w:val="22"/>
        </w:rPr>
        <w:t xml:space="preserve"> </w:t>
      </w:r>
    </w:p>
    <w:p w:rsidR="008C71AC" w:rsidRPr="00401323" w:rsidRDefault="00EB47AA"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9193530</wp:posOffset>
                </wp:positionV>
                <wp:extent cx="6018530" cy="174625"/>
                <wp:effectExtent l="0" t="0" r="0" b="0"/>
                <wp:wrapThrough wrapText="bothSides">
                  <wp:wrapPolygon edited="0">
                    <wp:start x="0" y="0"/>
                    <wp:lineTo x="0" y="21207"/>
                    <wp:lineTo x="21536" y="21207"/>
                    <wp:lineTo x="21536"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2"/>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mc:Fallback>
        </mc:AlternateConten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w:t>
      </w:r>
      <w:r w:rsidR="00E421C5">
        <w:rPr>
          <w:rFonts w:ascii="Calibri" w:hAnsi="Calibri" w:cs="Arial"/>
          <w:sz w:val="22"/>
          <w:szCs w:val="22"/>
        </w:rPr>
        <w:t>novené náležitosti, jinak je NPÚ</w:t>
      </w:r>
      <w:r w:rsidR="00D55B5B" w:rsidRPr="00401323">
        <w:rPr>
          <w:rFonts w:ascii="Calibri" w:hAnsi="Calibri" w:cs="Arial"/>
          <w:sz w:val="22"/>
          <w:szCs w:val="22"/>
        </w:rPr>
        <w:t xml:space="preserve"> oprávněn jej do data splatnosti vrátit s tím, že prodávající je poté povinen vystavit nový s novým termínem splatn</w:t>
      </w:r>
      <w:r w:rsidR="00E421C5">
        <w:rPr>
          <w:rFonts w:ascii="Calibri" w:hAnsi="Calibri" w:cs="Arial"/>
          <w:sz w:val="22"/>
          <w:szCs w:val="22"/>
        </w:rPr>
        <w:t>osti. V takovém případě není NPÚ</w:t>
      </w:r>
      <w:r w:rsidR="00D55B5B" w:rsidRPr="00401323">
        <w:rPr>
          <w:rFonts w:ascii="Calibri" w:hAnsi="Calibri" w:cs="Arial"/>
          <w:sz w:val="22"/>
          <w:szCs w:val="22"/>
        </w:rPr>
        <w:t xml:space="preserve">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F822FF" w:rsidRDefault="00A64AA9" w:rsidP="002F2A52">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9" w:history="1">
        <w:r w:rsidR="0091020A" w:rsidRPr="00353757">
          <w:rPr>
            <w:rStyle w:val="Hypertextovodkaz"/>
            <w:rFonts w:ascii="Calibri" w:hAnsi="Calibri" w:cs="Arial"/>
            <w:color w:val="auto"/>
            <w:sz w:val="22"/>
            <w:szCs w:val="22"/>
            <w:u w:val="none"/>
          </w:rPr>
          <w:t>suchanek.radek</w:t>
        </w:r>
        <w:r w:rsidR="0091020A" w:rsidRPr="00353757">
          <w:rPr>
            <w:rStyle w:val="Hypertextovodkaz"/>
            <w:rFonts w:ascii="Tahoma" w:hAnsi="Tahoma" w:cs="Tahoma"/>
            <w:color w:val="auto"/>
            <w:sz w:val="20"/>
            <w:szCs w:val="20"/>
            <w:u w:val="none"/>
          </w:rPr>
          <w:t>@npu.cz</w:t>
        </w:r>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8F46A2" w:rsidRDefault="008F46A2" w:rsidP="00F822FF">
      <w:pPr>
        <w:spacing w:line="276" w:lineRule="auto"/>
        <w:jc w:val="both"/>
        <w:rPr>
          <w:rFonts w:ascii="Calibri" w:hAnsi="Calibri" w:cs="Arial"/>
          <w:sz w:val="22"/>
          <w:szCs w:val="22"/>
        </w:rPr>
      </w:pPr>
    </w:p>
    <w:p w:rsidR="003D226C" w:rsidRPr="00401323" w:rsidRDefault="003D226C" w:rsidP="00F822FF">
      <w:pPr>
        <w:spacing w:line="276" w:lineRule="auto"/>
        <w:jc w:val="both"/>
        <w:rPr>
          <w:rFonts w:ascii="Calibri" w:hAnsi="Calibri" w:cs="Arial"/>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r>
      <w:r w:rsidR="00E421C5" w:rsidRPr="00E421C5">
        <w:rPr>
          <w:rFonts w:cs="Arial"/>
        </w:rPr>
        <w:t xml:space="preserve">Prodávající je povinen dodat předmět </w:t>
      </w:r>
      <w:r w:rsidR="00E421C5">
        <w:rPr>
          <w:rFonts w:cs="Arial"/>
        </w:rPr>
        <w:t xml:space="preserve">koupě kupujícímu nejpozději do </w:t>
      </w:r>
      <w:r w:rsidR="001D3E02">
        <w:rPr>
          <w:rFonts w:cs="Arial"/>
          <w:b/>
        </w:rPr>
        <w:t>15</w:t>
      </w:r>
      <w:r w:rsidR="002F2A52">
        <w:rPr>
          <w:rFonts w:cs="Arial"/>
          <w:b/>
        </w:rPr>
        <w:t>. 11</w:t>
      </w:r>
      <w:r w:rsidR="008F46A2">
        <w:rPr>
          <w:rFonts w:cs="Arial"/>
          <w:b/>
        </w:rPr>
        <w:t>. 2023</w:t>
      </w:r>
      <w:r w:rsidR="00E421C5" w:rsidRPr="00E421C5">
        <w:rPr>
          <w:rFonts w:cs="Arial"/>
          <w:b/>
        </w:rPr>
        <w:t>.</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lastRenderedPageBreak/>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1245C6" w:rsidRDefault="005C7609" w:rsidP="001245C6">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8F46A2" w:rsidRDefault="008F46A2" w:rsidP="00F822FF">
      <w:pPr>
        <w:pStyle w:val="Odstavecseseznamem1"/>
        <w:widowControl w:val="0"/>
        <w:tabs>
          <w:tab w:val="left" w:pos="284"/>
        </w:tabs>
        <w:autoSpaceDE w:val="0"/>
        <w:autoSpaceDN w:val="0"/>
        <w:adjustRightInd w:val="0"/>
        <w:spacing w:after="0"/>
        <w:ind w:left="0"/>
        <w:jc w:val="both"/>
        <w:rPr>
          <w:rFonts w:cs="Arial"/>
        </w:rPr>
      </w:pPr>
    </w:p>
    <w:p w:rsidR="003D226C" w:rsidRPr="001245C6" w:rsidRDefault="003D226C" w:rsidP="00F822FF">
      <w:pPr>
        <w:pStyle w:val="Odstavecseseznamem1"/>
        <w:widowControl w:val="0"/>
        <w:tabs>
          <w:tab w:val="left" w:pos="284"/>
        </w:tabs>
        <w:autoSpaceDE w:val="0"/>
        <w:autoSpaceDN w:val="0"/>
        <w:adjustRightInd w:val="0"/>
        <w:spacing w:after="0"/>
        <w:ind w:left="0"/>
        <w:jc w:val="both"/>
        <w:rPr>
          <w:rFonts w:cs="Arial"/>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w:t>
      </w:r>
      <w:r w:rsidR="00403D51" w:rsidRPr="00754B2F">
        <w:rPr>
          <w:rFonts w:ascii="Calibri" w:hAnsi="Calibri" w:cs="Arial"/>
          <w:sz w:val="22"/>
          <w:szCs w:val="22"/>
        </w:rPr>
        <w:t xml:space="preserve">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této</w:t>
      </w:r>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1245C6" w:rsidP="00D9402D">
      <w:pPr>
        <w:pStyle w:val="Style2"/>
        <w:numPr>
          <w:ilvl w:val="0"/>
          <w:numId w:val="10"/>
        </w:numPr>
        <w:spacing w:line="276" w:lineRule="auto"/>
        <w:ind w:right="72"/>
        <w:jc w:val="both"/>
        <w:rPr>
          <w:rFonts w:ascii="Calibri" w:hAnsi="Calibri" w:cs="Arial"/>
          <w:b/>
          <w:sz w:val="22"/>
          <w:szCs w:val="22"/>
        </w:rPr>
      </w:pPr>
      <w:r>
        <w:rPr>
          <w:rFonts w:ascii="Calibri" w:hAnsi="Calibri" w:cs="Arial"/>
          <w:b/>
          <w:sz w:val="22"/>
          <w:szCs w:val="22"/>
        </w:rPr>
        <w:t>NPÚ</w:t>
      </w:r>
      <w:r w:rsidR="0094132E" w:rsidRPr="0094132E">
        <w:rPr>
          <w:rFonts w:ascii="Calibri" w:hAnsi="Calibri" w:cs="Arial"/>
          <w:b/>
          <w:sz w:val="22"/>
          <w:szCs w:val="22"/>
        </w:rPr>
        <w:t xml:space="preserve">, </w:t>
      </w:r>
      <w:r w:rsidR="00D9402D"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Pr>
          <w:rFonts w:ascii="Calibri" w:hAnsi="Calibri" w:cs="Arial"/>
          <w:b/>
          <w:sz w:val="22"/>
          <w:szCs w:val="22"/>
        </w:rPr>
        <w:t>, Sněmovní nám.</w:t>
      </w:r>
      <w:r w:rsidR="00D9402D" w:rsidRPr="0094132E">
        <w:rPr>
          <w:rFonts w:ascii="Calibri" w:hAnsi="Calibri" w:cs="Arial"/>
          <w:b/>
          <w:sz w:val="22"/>
          <w:szCs w:val="22"/>
        </w:rPr>
        <w:t xml:space="preserve">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602809">
        <w:rPr>
          <w:rFonts w:ascii="Calibri" w:hAnsi="Calibri" w:cs="Arial"/>
          <w:sz w:val="22"/>
          <w:szCs w:val="22"/>
        </w:rPr>
        <w:t>uveden v záhlaví</w:t>
      </w:r>
      <w:r w:rsidR="00914551">
        <w:rPr>
          <w:rFonts w:ascii="Calibri" w:hAnsi="Calibri" w:cs="Arial"/>
          <w:sz w:val="22"/>
          <w:szCs w:val="22"/>
        </w:rPr>
        <w:t xml:space="preserve"> této smlouvy</w:t>
      </w:r>
      <w:r w:rsidR="003E0E26" w:rsidRPr="00401323">
        <w:rPr>
          <w:rFonts w:ascii="Calibri" w:hAnsi="Calibri" w:cs="Arial"/>
          <w:sz w:val="22"/>
          <w:szCs w:val="22"/>
        </w:rPr>
        <w:t>.</w:t>
      </w:r>
    </w:p>
    <w:p w:rsidR="001245C6" w:rsidRDefault="008C71AC" w:rsidP="001245C6">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8F46A2" w:rsidRDefault="008F46A2" w:rsidP="00BB4E1E">
      <w:pPr>
        <w:pStyle w:val="Style2"/>
        <w:spacing w:line="276" w:lineRule="auto"/>
        <w:ind w:left="0" w:right="72" w:firstLine="0"/>
        <w:jc w:val="both"/>
        <w:rPr>
          <w:rFonts w:ascii="Calibri" w:hAnsi="Calibri" w:cs="Arial"/>
          <w:sz w:val="22"/>
          <w:szCs w:val="22"/>
        </w:rPr>
      </w:pPr>
    </w:p>
    <w:p w:rsidR="003D226C" w:rsidRPr="001245C6" w:rsidRDefault="003D226C" w:rsidP="00BB4E1E">
      <w:pPr>
        <w:pStyle w:val="Style2"/>
        <w:spacing w:line="276" w:lineRule="auto"/>
        <w:ind w:left="0" w:right="72" w:firstLine="0"/>
        <w:jc w:val="both"/>
        <w:rPr>
          <w:rFonts w:ascii="Calibri" w:hAnsi="Calibri" w:cs="Arial"/>
          <w:sz w:val="22"/>
          <w:szCs w:val="22"/>
        </w:rPr>
      </w:pP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8E3646" w:rsidRDefault="00D55B5B" w:rsidP="00035F6E">
      <w:pPr>
        <w:numPr>
          <w:ilvl w:val="0"/>
          <w:numId w:val="8"/>
        </w:numPr>
        <w:spacing w:line="276" w:lineRule="auto"/>
        <w:ind w:left="284" w:hanging="284"/>
        <w:jc w:val="both"/>
        <w:rPr>
          <w:rFonts w:ascii="Calibri" w:hAnsi="Calibri" w:cs="Arial"/>
          <w:sz w:val="22"/>
          <w:szCs w:val="22"/>
        </w:rPr>
      </w:pPr>
      <w:r w:rsidRPr="008E3646">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8E3646">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w:t>
      </w:r>
      <w:r w:rsidR="008E3646">
        <w:rPr>
          <w:rFonts w:ascii="Calibri" w:hAnsi="Calibri" w:cs="Arial"/>
          <w:sz w:val="22"/>
          <w:szCs w:val="22"/>
        </w:rPr>
        <w:t xml:space="preserve"> </w:t>
      </w:r>
      <w:r w:rsidRPr="008E3646">
        <w:rPr>
          <w:rFonts w:ascii="Calibri" w:hAnsi="Calibri" w:cs="Arial"/>
          <w:sz w:val="22"/>
          <w:szCs w:val="22"/>
        </w:rPr>
        <w:t>Prodávající prohlašuje, že dodané zboží nemá právní vady, tedy že není zatíženo právem třetích osob.</w:t>
      </w:r>
    </w:p>
    <w:p w:rsidR="005D1AE1" w:rsidRDefault="00D55B5B" w:rsidP="005D1AE1">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e-mailem na adresu:</w:t>
      </w:r>
      <w:r w:rsidR="00754B2F">
        <w:rPr>
          <w:rFonts w:ascii="Calibri" w:hAnsi="Calibri" w:cs="Arial"/>
          <w:sz w:val="22"/>
          <w:szCs w:val="22"/>
        </w:rPr>
        <w:t xml:space="preserve"> </w:t>
      </w:r>
      <w:r w:rsidR="00EB47AA">
        <w:t>xxxxxxxxxx</w:t>
      </w:r>
      <w:bookmarkStart w:id="0" w:name="_GoBack"/>
      <w:bookmarkEnd w:id="0"/>
    </w:p>
    <w:p w:rsidR="00155B38" w:rsidRPr="00F822FF" w:rsidRDefault="006E7096" w:rsidP="00155B38">
      <w:pPr>
        <w:numPr>
          <w:ilvl w:val="0"/>
          <w:numId w:val="8"/>
        </w:numPr>
        <w:spacing w:line="276" w:lineRule="auto"/>
        <w:ind w:left="284" w:hanging="284"/>
        <w:jc w:val="both"/>
        <w:rPr>
          <w:rFonts w:ascii="Calibri" w:hAnsi="Calibri" w:cs="Arial"/>
          <w:sz w:val="22"/>
          <w:szCs w:val="22"/>
        </w:rPr>
      </w:pPr>
      <w:r w:rsidRPr="00F822FF">
        <w:rPr>
          <w:rFonts w:ascii="Calibri" w:hAnsi="Calibri" w:cs="Arial"/>
          <w:sz w:val="22"/>
          <w:szCs w:val="22"/>
        </w:rPr>
        <w:t>Předmět koupě podléhá standardním záručním podmínkám</w:t>
      </w:r>
      <w:r w:rsidR="00FB4308" w:rsidRPr="00F822FF">
        <w:rPr>
          <w:rFonts w:ascii="Calibri" w:hAnsi="Calibri" w:cs="Arial"/>
          <w:sz w:val="22"/>
          <w:szCs w:val="22"/>
        </w:rPr>
        <w:t>, které jsou</w:t>
      </w:r>
      <w:r w:rsidR="00F85A1C" w:rsidRPr="00F822FF">
        <w:rPr>
          <w:rFonts w:ascii="Calibri" w:hAnsi="Calibri" w:cs="Arial"/>
          <w:sz w:val="22"/>
          <w:szCs w:val="22"/>
        </w:rPr>
        <w:t xml:space="preserve"> </w:t>
      </w:r>
      <w:r w:rsidR="0074606A" w:rsidRPr="00F822FF">
        <w:rPr>
          <w:rFonts w:ascii="Calibri" w:hAnsi="Calibri" w:cs="Arial"/>
          <w:sz w:val="22"/>
          <w:szCs w:val="22"/>
        </w:rPr>
        <w:t>stanoveny</w:t>
      </w:r>
      <w:r w:rsidR="00FB4308" w:rsidRPr="00F822FF">
        <w:rPr>
          <w:rFonts w:ascii="Calibri" w:hAnsi="Calibri" w:cs="Arial"/>
          <w:sz w:val="22"/>
          <w:szCs w:val="22"/>
        </w:rPr>
        <w:t xml:space="preserve"> </w:t>
      </w:r>
      <w:r w:rsidR="00F85A1C" w:rsidRPr="00F822FF">
        <w:rPr>
          <w:rFonts w:ascii="Calibri" w:hAnsi="Calibri" w:cs="Arial"/>
          <w:sz w:val="22"/>
          <w:szCs w:val="22"/>
        </w:rPr>
        <w:t>výrobcem</w:t>
      </w:r>
      <w:r w:rsidR="00FB4308" w:rsidRPr="00F822FF">
        <w:rPr>
          <w:rFonts w:ascii="Calibri" w:hAnsi="Calibri" w:cs="Arial"/>
          <w:sz w:val="22"/>
          <w:szCs w:val="22"/>
        </w:rPr>
        <w:t xml:space="preserve"> a příslušnou legislativou</w:t>
      </w:r>
      <w:r w:rsidR="00F85A1C" w:rsidRPr="00F822FF">
        <w:rPr>
          <w:rFonts w:ascii="Calibri" w:hAnsi="Calibri" w:cs="Arial"/>
          <w:sz w:val="22"/>
          <w:szCs w:val="22"/>
        </w:rPr>
        <w:t>.</w:t>
      </w:r>
      <w:r w:rsidR="00585E76" w:rsidRPr="00F822FF">
        <w:rPr>
          <w:rFonts w:ascii="Calibri" w:hAnsi="Calibri" w:cs="Arial"/>
          <w:sz w:val="22"/>
          <w:szCs w:val="22"/>
        </w:rPr>
        <w:t xml:space="preserve"> Záruční doba od data převzetí kupujícím je:</w:t>
      </w:r>
    </w:p>
    <w:p w:rsidR="00585E76" w:rsidRPr="00F822FF" w:rsidRDefault="00BB4E1E" w:rsidP="00BB4E1E">
      <w:pPr>
        <w:pStyle w:val="Odstavecseseznamem"/>
        <w:numPr>
          <w:ilvl w:val="0"/>
          <w:numId w:val="10"/>
        </w:numPr>
        <w:spacing w:line="276" w:lineRule="auto"/>
        <w:jc w:val="both"/>
        <w:rPr>
          <w:rFonts w:ascii="Calibri" w:hAnsi="Calibri" w:cs="Arial"/>
          <w:sz w:val="22"/>
          <w:szCs w:val="22"/>
        </w:rPr>
      </w:pPr>
      <w:r w:rsidRPr="00BB4E1E">
        <w:rPr>
          <w:rFonts w:ascii="Calibri" w:hAnsi="Calibri" w:cs="Arial"/>
          <w:sz w:val="22"/>
          <w:szCs w:val="22"/>
        </w:rPr>
        <w:t>Notebook Acer Swift 3/SF314-43/14"</w:t>
      </w:r>
      <w:r w:rsidR="00585E76" w:rsidRPr="00F822FF">
        <w:rPr>
          <w:rFonts w:ascii="Calibri" w:hAnsi="Calibri" w:cs="Arial"/>
          <w:sz w:val="22"/>
          <w:szCs w:val="22"/>
        </w:rPr>
        <w:t>: 36 měsíců;</w:t>
      </w:r>
    </w:p>
    <w:p w:rsidR="00585E76" w:rsidRPr="00F822FF" w:rsidRDefault="00BB4E1E" w:rsidP="00BB4E1E">
      <w:pPr>
        <w:pStyle w:val="Odstavecseseznamem"/>
        <w:numPr>
          <w:ilvl w:val="0"/>
          <w:numId w:val="10"/>
        </w:numPr>
        <w:spacing w:line="276" w:lineRule="auto"/>
        <w:jc w:val="both"/>
        <w:rPr>
          <w:rFonts w:ascii="Calibri" w:hAnsi="Calibri" w:cs="Arial"/>
          <w:sz w:val="22"/>
          <w:szCs w:val="22"/>
        </w:rPr>
      </w:pPr>
      <w:r w:rsidRPr="00BB4E1E">
        <w:rPr>
          <w:rFonts w:ascii="Calibri" w:hAnsi="Calibri" w:cs="Arial"/>
          <w:sz w:val="22"/>
          <w:szCs w:val="22"/>
        </w:rPr>
        <w:t>Notebook Acer Aspire 5/ 15"</w:t>
      </w:r>
      <w:r w:rsidR="00585E76" w:rsidRPr="00F822FF">
        <w:rPr>
          <w:rFonts w:ascii="Calibri" w:hAnsi="Calibri" w:cs="Arial"/>
          <w:sz w:val="22"/>
          <w:szCs w:val="22"/>
        </w:rPr>
        <w:t>: 36 měsíců;</w:t>
      </w:r>
    </w:p>
    <w:p w:rsidR="00585E76" w:rsidRDefault="00BB4E1E" w:rsidP="00BB4E1E">
      <w:pPr>
        <w:pStyle w:val="Odstavecseseznamem"/>
        <w:numPr>
          <w:ilvl w:val="0"/>
          <w:numId w:val="10"/>
        </w:numPr>
        <w:spacing w:line="276" w:lineRule="auto"/>
        <w:jc w:val="both"/>
        <w:rPr>
          <w:rFonts w:ascii="Calibri" w:hAnsi="Calibri" w:cs="Arial"/>
          <w:sz w:val="22"/>
          <w:szCs w:val="22"/>
        </w:rPr>
      </w:pPr>
      <w:r w:rsidRPr="00BB4E1E">
        <w:rPr>
          <w:rFonts w:ascii="Calibri" w:hAnsi="Calibri" w:cs="Arial"/>
          <w:sz w:val="22"/>
          <w:szCs w:val="22"/>
        </w:rPr>
        <w:t>PC Acer Vertion N4680GT</w:t>
      </w:r>
      <w:r w:rsidR="00585E76" w:rsidRPr="00F822FF">
        <w:rPr>
          <w:rFonts w:ascii="Calibri" w:hAnsi="Calibri" w:cs="Arial"/>
          <w:sz w:val="22"/>
          <w:szCs w:val="22"/>
        </w:rPr>
        <w:t>: 36 měsíců;</w:t>
      </w:r>
    </w:p>
    <w:p w:rsidR="00BB4E1E" w:rsidRPr="00F822FF" w:rsidRDefault="00BB4E1E" w:rsidP="00BB4E1E">
      <w:pPr>
        <w:pStyle w:val="Odstavecseseznamem"/>
        <w:numPr>
          <w:ilvl w:val="0"/>
          <w:numId w:val="10"/>
        </w:numPr>
        <w:spacing w:line="276" w:lineRule="auto"/>
        <w:jc w:val="both"/>
        <w:rPr>
          <w:rFonts w:ascii="Calibri" w:hAnsi="Calibri" w:cs="Arial"/>
          <w:sz w:val="22"/>
          <w:szCs w:val="22"/>
        </w:rPr>
      </w:pPr>
      <w:r w:rsidRPr="00BB4E1E">
        <w:rPr>
          <w:rFonts w:ascii="Calibri" w:hAnsi="Calibri" w:cs="Arial"/>
          <w:sz w:val="22"/>
          <w:szCs w:val="22"/>
        </w:rPr>
        <w:t>Monitor  Acer CB242Y 24"</w:t>
      </w:r>
      <w:r>
        <w:rPr>
          <w:rFonts w:ascii="Calibri" w:hAnsi="Calibri" w:cs="Arial"/>
          <w:sz w:val="22"/>
          <w:szCs w:val="22"/>
        </w:rPr>
        <w:t>: 36 měsíců.</w:t>
      </w:r>
    </w:p>
    <w:p w:rsidR="00155B38" w:rsidRPr="00F822FF" w:rsidRDefault="006E7096" w:rsidP="00CA4019">
      <w:pPr>
        <w:numPr>
          <w:ilvl w:val="0"/>
          <w:numId w:val="8"/>
        </w:numPr>
        <w:spacing w:line="276" w:lineRule="auto"/>
        <w:ind w:left="284" w:hanging="284"/>
        <w:jc w:val="both"/>
        <w:rPr>
          <w:rFonts w:ascii="Calibri" w:hAnsi="Calibri" w:cs="Arial"/>
          <w:sz w:val="22"/>
          <w:szCs w:val="22"/>
        </w:rPr>
      </w:pPr>
      <w:r w:rsidRPr="00F822FF">
        <w:rPr>
          <w:rFonts w:ascii="Calibri" w:hAnsi="Calibri" w:cs="Arial"/>
          <w:sz w:val="22"/>
          <w:szCs w:val="22"/>
        </w:rPr>
        <w:t xml:space="preserve">Záruční servis </w:t>
      </w:r>
      <w:r w:rsidR="00347176" w:rsidRPr="00F822FF">
        <w:rPr>
          <w:rFonts w:ascii="Calibri" w:hAnsi="Calibri" w:cs="Arial"/>
          <w:sz w:val="22"/>
          <w:szCs w:val="22"/>
        </w:rPr>
        <w:t>je zajišťován</w:t>
      </w:r>
      <w:r w:rsidR="00F27FE0" w:rsidRPr="00F822FF">
        <w:rPr>
          <w:rFonts w:ascii="Calibri" w:hAnsi="Calibri" w:cs="Arial"/>
          <w:sz w:val="22"/>
          <w:szCs w:val="22"/>
        </w:rPr>
        <w:t xml:space="preserve"> prodávajícím prostřednictvím výrobce</w:t>
      </w:r>
      <w:r w:rsidRPr="00F822FF">
        <w:rPr>
          <w:rFonts w:ascii="Calibri" w:hAnsi="Calibri" w:cs="Arial"/>
          <w:sz w:val="22"/>
          <w:szCs w:val="22"/>
        </w:rPr>
        <w:t xml:space="preserve"> </w:t>
      </w:r>
      <w:r w:rsidR="00347176" w:rsidRPr="00F822FF">
        <w:rPr>
          <w:rFonts w:ascii="Calibri" w:hAnsi="Calibri" w:cs="Arial"/>
          <w:sz w:val="22"/>
          <w:szCs w:val="22"/>
        </w:rPr>
        <w:t xml:space="preserve">a jeho autorizovanými </w:t>
      </w:r>
      <w:r w:rsidR="00155B38" w:rsidRPr="00F822FF">
        <w:rPr>
          <w:rFonts w:ascii="Calibri" w:hAnsi="Calibri" w:cs="Arial"/>
          <w:sz w:val="22"/>
          <w:szCs w:val="22"/>
        </w:rPr>
        <w:t>smluvní</w:t>
      </w:r>
      <w:r w:rsidR="00347176" w:rsidRPr="00F822FF">
        <w:rPr>
          <w:rFonts w:ascii="Calibri" w:hAnsi="Calibri" w:cs="Arial"/>
          <w:sz w:val="22"/>
          <w:szCs w:val="22"/>
        </w:rPr>
        <w:t>mi partnery</w:t>
      </w:r>
      <w:r w:rsidR="00155B38" w:rsidRPr="00F822FF">
        <w:rPr>
          <w:rFonts w:ascii="Calibri" w:hAnsi="Calibri" w:cs="Arial"/>
          <w:sz w:val="22"/>
          <w:szCs w:val="22"/>
        </w:rPr>
        <w:t>.</w:t>
      </w:r>
    </w:p>
    <w:p w:rsidR="00DB2FC9" w:rsidRPr="00155B38" w:rsidRDefault="00155B38" w:rsidP="00CA4019">
      <w:pPr>
        <w:numPr>
          <w:ilvl w:val="0"/>
          <w:numId w:val="8"/>
        </w:numPr>
        <w:spacing w:line="276" w:lineRule="auto"/>
        <w:ind w:left="284" w:hanging="284"/>
        <w:jc w:val="both"/>
        <w:rPr>
          <w:rFonts w:ascii="Calibri" w:hAnsi="Calibri" w:cs="Arial"/>
          <w:sz w:val="22"/>
          <w:szCs w:val="22"/>
        </w:rPr>
      </w:pPr>
      <w:r w:rsidRPr="00155B38">
        <w:rPr>
          <w:rFonts w:ascii="Calibri" w:hAnsi="Calibri" w:cs="Arial"/>
          <w:sz w:val="22"/>
          <w:szCs w:val="22"/>
        </w:rPr>
        <w:lastRenderedPageBreak/>
        <w:t xml:space="preserve"> </w:t>
      </w:r>
      <w:r w:rsidR="00DB2FC9" w:rsidRPr="00155B38">
        <w:rPr>
          <w:rFonts w:ascii="Calibri" w:hAnsi="Calibri" w:cs="Arial"/>
          <w:sz w:val="22"/>
          <w:szCs w:val="22"/>
        </w:rPr>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6A0832" w:rsidRDefault="00DB2FC9" w:rsidP="001245C6">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naistalovat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8F46A2" w:rsidRDefault="008F46A2" w:rsidP="00BB4E1E">
      <w:pPr>
        <w:pStyle w:val="Style2"/>
        <w:spacing w:line="276" w:lineRule="auto"/>
        <w:ind w:left="0" w:firstLine="0"/>
        <w:jc w:val="both"/>
        <w:rPr>
          <w:rFonts w:ascii="Calibri" w:hAnsi="Calibri" w:cs="Arial"/>
          <w:sz w:val="22"/>
          <w:szCs w:val="22"/>
        </w:rPr>
      </w:pPr>
    </w:p>
    <w:p w:rsidR="003D226C" w:rsidRPr="001245C6" w:rsidRDefault="003D226C" w:rsidP="00BB4E1E">
      <w:pPr>
        <w:pStyle w:val="Style2"/>
        <w:spacing w:line="276" w:lineRule="auto"/>
        <w:ind w:left="0" w:firstLine="0"/>
        <w:jc w:val="both"/>
        <w:rPr>
          <w:rFonts w:ascii="Calibri" w:hAnsi="Calibri" w:cs="Arial"/>
          <w:sz w:val="22"/>
          <w:szCs w:val="22"/>
        </w:rPr>
      </w:pPr>
    </w:p>
    <w:p w:rsidR="00D55B5B" w:rsidRPr="00401323" w:rsidRDefault="003D226C" w:rsidP="0020324D">
      <w:pPr>
        <w:spacing w:line="276" w:lineRule="auto"/>
        <w:jc w:val="center"/>
        <w:rPr>
          <w:rFonts w:ascii="Calibri" w:hAnsi="Calibri" w:cs="Arial"/>
          <w:b/>
          <w:bCs/>
          <w:sz w:val="22"/>
          <w:szCs w:val="22"/>
        </w:rPr>
      </w:pPr>
      <w:r>
        <w:rPr>
          <w:rFonts w:ascii="Calibri" w:hAnsi="Calibri" w:cs="Arial"/>
          <w:b/>
          <w:bCs/>
          <w:sz w:val="22"/>
          <w:szCs w:val="22"/>
        </w:rPr>
        <w:t>V</w:t>
      </w:r>
      <w:r w:rsidR="00D55B5B" w:rsidRPr="00401323">
        <w:rPr>
          <w:rFonts w:ascii="Calibri" w:hAnsi="Calibri" w:cs="Arial"/>
          <w:b/>
          <w:bCs/>
          <w:sz w:val="22"/>
          <w:szCs w:val="22"/>
        </w:rPr>
        <w:t>II.</w:t>
      </w:r>
      <w:r w:rsidR="00D55B5B"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EB47AA">
        <w:rPr>
          <w:rFonts w:ascii="Calibri" w:hAnsi="Calibri" w:cs="Arial"/>
          <w:noProof/>
          <w:sz w:val="22"/>
          <w:szCs w:val="22"/>
        </w:rPr>
        <mc:AlternateContent>
          <mc:Choice Requires="wps">
            <w:drawing>
              <wp:anchor distT="0" distB="0" distL="0" distR="0" simplePos="0" relativeHeight="251658752"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8"/>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mc:Fallback>
        </mc:AlternateConten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D55B5B" w:rsidRPr="00401323" w:rsidRDefault="00E421C5" w:rsidP="001245C6">
      <w:pPr>
        <w:spacing w:line="276" w:lineRule="auto"/>
        <w:ind w:left="284" w:hanging="284"/>
        <w:jc w:val="both"/>
        <w:rPr>
          <w:rFonts w:ascii="Calibri" w:hAnsi="Calibri" w:cs="Arial"/>
          <w:sz w:val="22"/>
          <w:szCs w:val="22"/>
        </w:rPr>
      </w:pPr>
      <w:r>
        <w:rPr>
          <w:rFonts w:ascii="Calibri" w:hAnsi="Calibri" w:cs="Arial"/>
          <w:sz w:val="22"/>
          <w:szCs w:val="22"/>
        </w:rPr>
        <w:t>7.</w:t>
      </w:r>
      <w:r>
        <w:rPr>
          <w:rFonts w:ascii="Calibri" w:hAnsi="Calibri" w:cs="Arial"/>
          <w:sz w:val="22"/>
          <w:szCs w:val="22"/>
        </w:rPr>
        <w:tab/>
      </w:r>
      <w:r w:rsidR="00A64AA9" w:rsidRPr="00401323">
        <w:rPr>
          <w:rFonts w:ascii="Calibri" w:hAnsi="Calibri" w:cs="Arial"/>
          <w:sz w:val="22"/>
          <w:szCs w:val="22"/>
        </w:rPr>
        <w:t>Smluvní strany na sebe převzaly nebezpečí změny okolností. Před uzavřen</w:t>
      </w:r>
      <w:r w:rsidR="008A0F32" w:rsidRPr="00401323">
        <w:rPr>
          <w:rFonts w:ascii="Calibri" w:hAnsi="Calibri" w:cs="Arial"/>
          <w:sz w:val="22"/>
          <w:szCs w:val="22"/>
        </w:rPr>
        <w:t>í</w:t>
      </w:r>
      <w:r w:rsidR="00A64AA9"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E421C5" w:rsidRDefault="008A0F32" w:rsidP="00E421C5">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E421C5">
        <w:rPr>
          <w:rFonts w:ascii="Calibri" w:hAnsi="Calibri" w:cs="Arial"/>
          <w:sz w:val="22"/>
          <w:szCs w:val="22"/>
        </w:rPr>
        <w:tab/>
      </w:r>
      <w:r w:rsidR="00D55B5B" w:rsidRPr="00401323">
        <w:rPr>
          <w:rFonts w:ascii="Calibri" w:hAnsi="Calibri" w:cs="Arial"/>
          <w:sz w:val="22"/>
          <w:szCs w:val="22"/>
        </w:rPr>
        <w:t xml:space="preserve">Tuto smlouvu je možno měnit pouze formou písemných dodatků oboustranně </w:t>
      </w:r>
      <w:r w:rsidR="00533BA8">
        <w:rPr>
          <w:rFonts w:ascii="Calibri" w:hAnsi="Calibri" w:cs="Arial"/>
          <w:sz w:val="22"/>
          <w:szCs w:val="22"/>
        </w:rPr>
        <w:t>potvrzených smluvními stranami</w:t>
      </w:r>
      <w:r w:rsidR="00DB79E2">
        <w:rPr>
          <w:rFonts w:ascii="Calibri" w:hAnsi="Calibri" w:cs="Arial"/>
          <w:sz w:val="22"/>
          <w:szCs w:val="22"/>
        </w:rPr>
        <w:t>.</w:t>
      </w:r>
    </w:p>
    <w:p w:rsidR="00E421C5" w:rsidRDefault="00E421C5" w:rsidP="00E421C5">
      <w:pPr>
        <w:pStyle w:val="Style3"/>
        <w:spacing w:line="276" w:lineRule="auto"/>
        <w:ind w:left="284" w:hanging="284"/>
        <w:rPr>
          <w:rFonts w:ascii="Calibri" w:hAnsi="Calibri" w:cs="Arial"/>
          <w:sz w:val="22"/>
          <w:szCs w:val="22"/>
        </w:rPr>
      </w:pPr>
      <w:r>
        <w:rPr>
          <w:rFonts w:ascii="Calibri" w:hAnsi="Calibri" w:cs="Arial"/>
          <w:sz w:val="22"/>
          <w:szCs w:val="22"/>
        </w:rPr>
        <w:t>10.</w:t>
      </w:r>
      <w:r>
        <w:rPr>
          <w:rFonts w:ascii="Calibri" w:hAnsi="Calibri" w:cs="Arial"/>
          <w:sz w:val="22"/>
          <w:szCs w:val="22"/>
        </w:rPr>
        <w:tab/>
        <w:t xml:space="preserve"> </w:t>
      </w:r>
      <w:r w:rsidRPr="00E421C5">
        <w:rPr>
          <w:rFonts w:ascii="Calibri" w:hAnsi="Calibri" w:cs="Arial"/>
          <w:sz w:val="22"/>
          <w:szCs w:val="22"/>
        </w:rPr>
        <w:t>Tato smlouva nabývá platnosti a účinnosti dnem podpisu oběma smluvními stranami. Pokud tato smlouva</w:t>
      </w:r>
      <w:r>
        <w:rPr>
          <w:rFonts w:ascii="Calibri" w:hAnsi="Calibri" w:cs="Arial"/>
          <w:sz w:val="22"/>
          <w:szCs w:val="22"/>
        </w:rPr>
        <w:t xml:space="preserve"> </w:t>
      </w:r>
      <w:r w:rsidRPr="00E421C5">
        <w:rPr>
          <w:rFonts w:ascii="Calibri" w:hAnsi="Calibri" w:cs="Arial"/>
          <w:sz w:val="22"/>
          <w:szCs w:val="22"/>
        </w:rPr>
        <w:t xml:space="preserve">podléhá povinnosti uveřejnění dle zákona č. 340/2015 Sb., o zvláštních podmínkách </w:t>
      </w:r>
      <w:r w:rsidRPr="00E421C5">
        <w:rPr>
          <w:rFonts w:ascii="Calibri" w:hAnsi="Calibri" w:cs="Arial"/>
          <w:sz w:val="22"/>
          <w:szCs w:val="22"/>
        </w:rPr>
        <w:lastRenderedPageBreak/>
        <w:t>účinnosti některých</w:t>
      </w:r>
      <w:r>
        <w:rPr>
          <w:rFonts w:ascii="Calibri" w:hAnsi="Calibri" w:cs="Arial"/>
          <w:sz w:val="22"/>
          <w:szCs w:val="22"/>
        </w:rPr>
        <w:t xml:space="preserve"> </w:t>
      </w:r>
      <w:r w:rsidRPr="00E421C5">
        <w:rPr>
          <w:rFonts w:ascii="Calibri" w:hAnsi="Calibri" w:cs="Arial"/>
          <w:sz w:val="22"/>
          <w:szCs w:val="22"/>
        </w:rPr>
        <w:t>smluv, uveřejňování těchto smluv a o registru smluv (zákon o registru smluv), nabude účinnosti dnem</w:t>
      </w:r>
      <w:r>
        <w:rPr>
          <w:rFonts w:ascii="Calibri" w:hAnsi="Calibri" w:cs="Arial"/>
          <w:sz w:val="22"/>
          <w:szCs w:val="22"/>
        </w:rPr>
        <w:t xml:space="preserve"> </w:t>
      </w:r>
      <w:r w:rsidRPr="00E421C5">
        <w:rPr>
          <w:rFonts w:ascii="Calibri" w:hAnsi="Calibri" w:cs="Arial"/>
          <w:sz w:val="22"/>
          <w:szCs w:val="22"/>
        </w:rPr>
        <w:t>uveřejnění a její uveřejnění zajistí kupující. Smluvní strany berou na vědomí, že tato smlouva může být</w:t>
      </w:r>
      <w:r>
        <w:rPr>
          <w:rFonts w:ascii="Calibri" w:hAnsi="Calibri" w:cs="Arial"/>
          <w:sz w:val="22"/>
          <w:szCs w:val="22"/>
        </w:rPr>
        <w:t xml:space="preserve"> </w:t>
      </w:r>
      <w:r w:rsidRPr="00E421C5">
        <w:rPr>
          <w:rFonts w:ascii="Calibri" w:hAnsi="Calibri" w:cs="Arial"/>
          <w:sz w:val="22"/>
          <w:szCs w:val="22"/>
        </w:rPr>
        <w:t xml:space="preserve">předmětem zveřejnění i dle jiných právních předpisů </w:t>
      </w:r>
    </w:p>
    <w:p w:rsidR="00D55B5B" w:rsidRPr="00401323" w:rsidRDefault="00E421C5" w:rsidP="00E421C5">
      <w:pPr>
        <w:pStyle w:val="Style3"/>
        <w:spacing w:line="276" w:lineRule="auto"/>
        <w:ind w:left="284" w:hanging="284"/>
        <w:rPr>
          <w:rFonts w:ascii="Calibri" w:hAnsi="Calibri" w:cs="Arial"/>
          <w:sz w:val="22"/>
          <w:szCs w:val="22"/>
        </w:rPr>
      </w:pPr>
      <w:r>
        <w:rPr>
          <w:rFonts w:ascii="Calibri" w:hAnsi="Calibri" w:cs="Arial"/>
          <w:sz w:val="22"/>
          <w:szCs w:val="22"/>
        </w:rPr>
        <w:t>11</w:t>
      </w:r>
      <w:r w:rsidR="00D55B5B" w:rsidRPr="00401323">
        <w:rPr>
          <w:rFonts w:ascii="Calibri" w:hAnsi="Calibri" w:cs="Arial"/>
          <w:sz w:val="22"/>
          <w:szCs w:val="22"/>
        </w:rPr>
        <w:t>.</w:t>
      </w:r>
      <w:r>
        <w:rPr>
          <w:rFonts w:ascii="Calibri" w:hAnsi="Calibri" w:cs="Arial"/>
          <w:sz w:val="22"/>
          <w:szCs w:val="22"/>
        </w:rPr>
        <w:tab/>
      </w:r>
      <w:r w:rsidR="00D85113">
        <w:rPr>
          <w:rFonts w:ascii="Calibri" w:hAnsi="Calibri" w:cs="Arial"/>
          <w:sz w:val="22"/>
          <w:szCs w:val="22"/>
        </w:rPr>
        <w:t xml:space="preserve"> </w:t>
      </w:r>
      <w:r w:rsidR="00D55B5B" w:rsidRPr="00401323">
        <w:rPr>
          <w:rFonts w:ascii="Calibri" w:hAnsi="Calibri" w:cs="Arial"/>
          <w:sz w:val="22"/>
          <w:szCs w:val="22"/>
        </w:rPr>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Default="006A0832" w:rsidP="001245C6">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E421C5">
        <w:rPr>
          <w:rFonts w:ascii="Calibri" w:hAnsi="Calibri" w:cs="Arial"/>
          <w:sz w:val="22"/>
          <w:szCs w:val="22"/>
        </w:rPr>
        <w:t>2.</w:t>
      </w:r>
      <w:r w:rsidR="00D85113">
        <w:rPr>
          <w:rFonts w:ascii="Calibri" w:hAnsi="Calibri" w:cs="Arial"/>
          <w:sz w:val="22"/>
          <w:szCs w:val="22"/>
        </w:rPr>
        <w:t xml:space="preserve"> </w:t>
      </w:r>
      <w:r w:rsidR="00D55B5B" w:rsidRPr="00401323">
        <w:rPr>
          <w:rFonts w:ascii="Calibri" w:hAnsi="Calibri" w:cs="Arial"/>
          <w:sz w:val="22"/>
          <w:szCs w:val="22"/>
        </w:rPr>
        <w:t xml:space="preserve">Tato smlouva je vyhotovena ve </w:t>
      </w:r>
      <w:r w:rsidR="00DB59F7">
        <w:rPr>
          <w:rFonts w:ascii="Calibri" w:hAnsi="Calibri" w:cs="Arial"/>
          <w:sz w:val="22"/>
          <w:szCs w:val="22"/>
        </w:rPr>
        <w:t>dvou</w:t>
      </w:r>
      <w:r w:rsidR="00D55B5B" w:rsidRPr="00401323">
        <w:rPr>
          <w:rFonts w:ascii="Calibri" w:hAnsi="Calibri" w:cs="Arial"/>
          <w:sz w:val="22"/>
          <w:szCs w:val="22"/>
        </w:rPr>
        <w:t xml:space="preserve"> stejnopisech, </w:t>
      </w:r>
      <w:r w:rsidR="00DB59F7">
        <w:rPr>
          <w:rFonts w:ascii="Calibri" w:hAnsi="Calibri" w:cs="Arial"/>
          <w:sz w:val="22"/>
          <w:szCs w:val="22"/>
        </w:rPr>
        <w:t>každá ze smluvních stran obdrží jeden (1) stejnopis.</w:t>
      </w:r>
    </w:p>
    <w:p w:rsidR="00F822FF" w:rsidRPr="00401323" w:rsidRDefault="00F822FF" w:rsidP="001245C6">
      <w:pPr>
        <w:spacing w:line="276" w:lineRule="auto"/>
        <w:ind w:left="284" w:hanging="284"/>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D85113">
        <w:rPr>
          <w:rFonts w:ascii="Calibri" w:hAnsi="Calibri" w:cs="Arial"/>
          <w:sz w:val="22"/>
          <w:szCs w:val="22"/>
        </w:rPr>
        <w:t xml:space="preserve"> </w:t>
      </w:r>
      <w:r w:rsidRPr="006D68B5">
        <w:rPr>
          <w:rFonts w:ascii="Calibri" w:hAnsi="Calibri" w:cs="Arial"/>
          <w:sz w:val="22"/>
          <w:szCs w:val="22"/>
        </w:rPr>
        <w:t>Informace k ochraně o</w:t>
      </w:r>
      <w:r>
        <w:rPr>
          <w:rFonts w:ascii="Calibri" w:hAnsi="Calibri" w:cs="Arial"/>
          <w:sz w:val="22"/>
          <w:szCs w:val="22"/>
        </w:rPr>
        <w:t>sobních údajů jsou ze strany kupujícího</w:t>
      </w:r>
      <w:r w:rsidRPr="006D68B5">
        <w:rPr>
          <w:rFonts w:ascii="Calibri" w:hAnsi="Calibri" w:cs="Arial"/>
          <w:sz w:val="22"/>
          <w:szCs w:val="22"/>
        </w:rPr>
        <w:t xml:space="preserve"> uveřejněny na webových stránkách www.npu.cz v sekci „Ochrana osobních údajů“.</w:t>
      </w:r>
    </w:p>
    <w:p w:rsidR="00D55B5B" w:rsidRPr="00401323" w:rsidRDefault="00D55B5B" w:rsidP="0020324D">
      <w:pPr>
        <w:pStyle w:val="Style3"/>
        <w:spacing w:line="276" w:lineRule="auto"/>
        <w:ind w:left="0" w:firstLine="0"/>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V</w:t>
      </w:r>
      <w:r w:rsidR="008C50CB">
        <w:rPr>
          <w:rFonts w:ascii="Calibri" w:hAnsi="Calibri" w:cs="Arial"/>
          <w:sz w:val="22"/>
          <w:szCs w:val="22"/>
        </w:rPr>
        <w:t> </w:t>
      </w:r>
      <w:r w:rsidR="009617F5">
        <w:rPr>
          <w:rFonts w:ascii="Calibri" w:hAnsi="Calibri" w:cs="Arial"/>
          <w:sz w:val="22"/>
          <w:szCs w:val="22"/>
        </w:rPr>
        <w:t>Kroměříži</w:t>
      </w:r>
      <w:r w:rsidR="008C50CB">
        <w:rPr>
          <w:rFonts w:ascii="Calibri" w:hAnsi="Calibri" w:cs="Arial"/>
          <w:sz w:val="22"/>
          <w:szCs w:val="22"/>
        </w:rPr>
        <w:t xml:space="preserve"> dne</w:t>
      </w:r>
      <w:r w:rsidR="00EB47AA">
        <w:rPr>
          <w:rFonts w:ascii="Calibri" w:hAnsi="Calibri" w:cs="Arial"/>
          <w:sz w:val="22"/>
          <w:szCs w:val="22"/>
        </w:rPr>
        <w:t xml:space="preserve"> 11. 10. 2023</w:t>
      </w:r>
      <w:r w:rsidR="008C50CB">
        <w:rPr>
          <w:rFonts w:ascii="Calibri" w:hAnsi="Calibri" w:cs="Arial"/>
          <w:sz w:val="22"/>
          <w:szCs w:val="22"/>
        </w:rPr>
        <w:tab/>
      </w:r>
      <w:r w:rsidR="008C50CB">
        <w:rPr>
          <w:rFonts w:ascii="Calibri" w:hAnsi="Calibri" w:cs="Arial"/>
          <w:sz w:val="22"/>
          <w:szCs w:val="22"/>
        </w:rPr>
        <w:tab/>
      </w:r>
      <w:r w:rsidRPr="00401323">
        <w:rPr>
          <w:rFonts w:ascii="Calibri" w:hAnsi="Calibri" w:cs="Arial"/>
          <w:sz w:val="22"/>
          <w:szCs w:val="22"/>
        </w:rPr>
        <w:tab/>
      </w:r>
      <w:r w:rsidR="003B5F23" w:rsidRPr="00401323">
        <w:rPr>
          <w:rFonts w:ascii="Calibri" w:hAnsi="Calibri" w:cs="Arial"/>
          <w:sz w:val="22"/>
          <w:szCs w:val="22"/>
        </w:rPr>
        <w:tab/>
        <w:t xml:space="preserve"> </w:t>
      </w:r>
      <w:r w:rsidR="008C50CB">
        <w:rPr>
          <w:rFonts w:ascii="Calibri" w:hAnsi="Calibri" w:cs="Arial"/>
          <w:sz w:val="22"/>
          <w:szCs w:val="22"/>
        </w:rPr>
        <w:tab/>
      </w:r>
      <w:r w:rsidR="003B5F23" w:rsidRPr="00401323">
        <w:rPr>
          <w:rFonts w:ascii="Calibri" w:hAnsi="Calibri" w:cs="Arial"/>
          <w:sz w:val="22"/>
          <w:szCs w:val="22"/>
        </w:rPr>
        <w:t xml:space="preserve">  </w:t>
      </w:r>
      <w:r w:rsidRPr="00401323">
        <w:rPr>
          <w:rFonts w:ascii="Calibri" w:hAnsi="Calibri" w:cs="Arial"/>
          <w:sz w:val="22"/>
          <w:szCs w:val="22"/>
        </w:rPr>
        <w:t xml:space="preserve">V Kroměříži dne </w:t>
      </w:r>
      <w:r w:rsidR="00EB47AA">
        <w:rPr>
          <w:rFonts w:ascii="Calibri" w:hAnsi="Calibri" w:cs="Arial"/>
          <w:sz w:val="22"/>
          <w:szCs w:val="22"/>
        </w:rPr>
        <w:t>9. 10. 2023</w:t>
      </w:r>
    </w:p>
    <w:p w:rsidR="00A85332" w:rsidRPr="00401323" w:rsidRDefault="00A85332"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00E421C5">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EB47AA" w:rsidP="00E421C5">
      <w:pPr>
        <w:spacing w:line="276" w:lineRule="auto"/>
        <w:ind w:firstLine="708"/>
        <w:jc w:val="both"/>
        <w:rPr>
          <w:rFonts w:ascii="Calibri" w:hAnsi="Calibri" w:cs="Arial"/>
          <w:sz w:val="22"/>
          <w:szCs w:val="22"/>
        </w:rPr>
      </w:pPr>
      <w:r>
        <w:rPr>
          <w:rFonts w:ascii="Calibri" w:hAnsi="Calibri" w:cs="Arial"/>
          <w:sz w:val="22"/>
          <w:szCs w:val="22"/>
        </w:rPr>
        <w:t>Xxxxxxxxxxxxxx</w:t>
      </w:r>
      <w:r>
        <w:rPr>
          <w:rFonts w:ascii="Calibri" w:hAnsi="Calibri" w:cs="Arial"/>
          <w:sz w:val="22"/>
          <w:szCs w:val="22"/>
        </w:rPr>
        <w:tab/>
      </w:r>
      <w:r>
        <w:rPr>
          <w:rFonts w:ascii="Calibri" w:hAnsi="Calibri" w:cs="Arial"/>
          <w:sz w:val="22"/>
          <w:szCs w:val="22"/>
        </w:rPr>
        <w:tab/>
      </w:r>
      <w:r w:rsidR="00E90141">
        <w:rPr>
          <w:rFonts w:ascii="Calibri" w:hAnsi="Calibri" w:cs="Arial"/>
          <w:sz w:val="22"/>
          <w:szCs w:val="22"/>
        </w:rPr>
        <w:tab/>
      </w:r>
      <w:r w:rsidR="00AE7C09">
        <w:rPr>
          <w:rFonts w:ascii="Calibri" w:hAnsi="Calibri" w:cs="Arial"/>
          <w:sz w:val="22"/>
          <w:szCs w:val="22"/>
        </w:rPr>
        <w:tab/>
      </w:r>
      <w:r w:rsidR="00AE7C09">
        <w:rPr>
          <w:rFonts w:ascii="Calibri" w:hAnsi="Calibri" w:cs="Arial"/>
          <w:sz w:val="22"/>
          <w:szCs w:val="22"/>
        </w:rPr>
        <w:tab/>
      </w:r>
      <w:r w:rsidR="00E421C5">
        <w:rPr>
          <w:rFonts w:ascii="Calibri" w:hAnsi="Calibri" w:cs="Arial"/>
          <w:sz w:val="22"/>
          <w:szCs w:val="22"/>
        </w:rPr>
        <w:tab/>
      </w:r>
      <w:r w:rsidR="00E421C5">
        <w:rPr>
          <w:rFonts w:ascii="Calibri" w:hAnsi="Calibri" w:cs="Arial"/>
          <w:sz w:val="22"/>
          <w:szCs w:val="22"/>
        </w:rPr>
        <w:tab/>
      </w:r>
      <w:r w:rsidR="008A0F32" w:rsidRPr="00401323">
        <w:rPr>
          <w:rFonts w:ascii="Calibri" w:hAnsi="Calibri" w:cs="Arial"/>
          <w:sz w:val="22"/>
          <w:szCs w:val="22"/>
        </w:rPr>
        <w:t xml:space="preserve">Ing. </w:t>
      </w:r>
      <w:r w:rsidR="001F10C0">
        <w:rPr>
          <w:rFonts w:ascii="Calibri" w:hAnsi="Calibri" w:cs="Arial"/>
          <w:sz w:val="22"/>
          <w:szCs w:val="22"/>
        </w:rPr>
        <w:t>Petr Šubík</w:t>
      </w:r>
      <w:r w:rsidR="00646868">
        <w:rPr>
          <w:rFonts w:ascii="Calibri" w:hAnsi="Calibri" w:cs="Arial"/>
          <w:sz w:val="22"/>
          <w:szCs w:val="22"/>
        </w:rPr>
        <w:t>, ředitel</w:t>
      </w:r>
    </w:p>
    <w:sectPr w:rsidR="003E0E26" w:rsidRPr="00401323" w:rsidSect="00D53E94">
      <w:headerReference w:type="even" r:id="rId10"/>
      <w:headerReference w:type="default" r:id="rId11"/>
      <w:footerReference w:type="even" r:id="rId12"/>
      <w:footerReference w:type="default" r:id="rId13"/>
      <w:headerReference w:type="first" r:id="rId14"/>
      <w:footerReference w:type="first" r:id="rId15"/>
      <w:pgSz w:w="11904" w:h="16843"/>
      <w:pgMar w:top="709" w:right="1418" w:bottom="1560"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D3" w:rsidRDefault="00561AD3" w:rsidP="0020324D">
      <w:r>
        <w:separator/>
      </w:r>
    </w:p>
  </w:endnote>
  <w:endnote w:type="continuationSeparator" w:id="0">
    <w:p w:rsidR="00561AD3" w:rsidRDefault="00561AD3" w:rsidP="002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DD" w:rsidRDefault="00962B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54"/>
      <w:docPartObj>
        <w:docPartGallery w:val="Page Numbers (Bottom of Page)"/>
        <w:docPartUnique/>
      </w:docPartObj>
    </w:sdtPr>
    <w:sdtEndPr/>
    <w:sdtContent>
      <w:p w:rsidR="00821037" w:rsidRDefault="00713EA7">
        <w:pPr>
          <w:pStyle w:val="Zpat"/>
          <w:jc w:val="center"/>
        </w:pPr>
        <w:r>
          <w:fldChar w:fldCharType="begin"/>
        </w:r>
        <w:r w:rsidR="00821037">
          <w:instrText>PAGE   \* MERGEFORMAT</w:instrText>
        </w:r>
        <w:r>
          <w:fldChar w:fldCharType="separate"/>
        </w:r>
        <w:r w:rsidR="00EB47AA">
          <w:rPr>
            <w:noProof/>
          </w:rPr>
          <w:t>2</w:t>
        </w:r>
        <w:r>
          <w:fldChar w:fldCharType="end"/>
        </w:r>
      </w:p>
    </w:sdtContent>
  </w:sdt>
  <w:p w:rsidR="00821037" w:rsidRDefault="008210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2940"/>
      <w:docPartObj>
        <w:docPartGallery w:val="Page Numbers (Bottom of Page)"/>
        <w:docPartUnique/>
      </w:docPartObj>
    </w:sdtPr>
    <w:sdtEndPr/>
    <w:sdtContent>
      <w:p w:rsidR="00821037" w:rsidRDefault="00713EA7">
        <w:pPr>
          <w:pStyle w:val="Zpat"/>
          <w:jc w:val="center"/>
        </w:pPr>
        <w:r>
          <w:fldChar w:fldCharType="begin"/>
        </w:r>
        <w:r w:rsidR="00821037">
          <w:instrText>PAGE   \* MERGEFORMAT</w:instrText>
        </w:r>
        <w:r>
          <w:fldChar w:fldCharType="separate"/>
        </w:r>
        <w:r w:rsidR="00EB47AA">
          <w:rPr>
            <w:noProof/>
          </w:rPr>
          <w:t>1</w:t>
        </w:r>
        <w:r>
          <w:fldChar w:fldCharType="end"/>
        </w:r>
      </w:p>
    </w:sdtContent>
  </w:sdt>
  <w:p w:rsidR="00821037" w:rsidRDefault="00821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D3" w:rsidRDefault="00561AD3" w:rsidP="0020324D">
      <w:r>
        <w:separator/>
      </w:r>
    </w:p>
  </w:footnote>
  <w:footnote w:type="continuationSeparator" w:id="0">
    <w:p w:rsidR="00561AD3" w:rsidRDefault="00561AD3" w:rsidP="0020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DD" w:rsidRDefault="00962B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4D" w:rsidRPr="0020324D" w:rsidRDefault="0020324D" w:rsidP="0020324D">
    <w:pPr>
      <w:pStyle w:val="Zhlav"/>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B7" w:rsidRDefault="00DE63B7" w:rsidP="009617F5">
    <w:pPr>
      <w:pStyle w:val="Zhlav"/>
      <w:jc w:val="right"/>
      <w:rPr>
        <w:rFonts w:asciiTheme="minorHAnsi" w:hAnsiTheme="minorHAnsi" w:cstheme="minorHAnsi"/>
        <w:sz w:val="22"/>
        <w:szCs w:val="22"/>
      </w:rPr>
    </w:pPr>
    <w:r>
      <w:rPr>
        <w:rFonts w:asciiTheme="minorHAnsi" w:hAnsiTheme="minorHAnsi" w:cstheme="minorHAnsi"/>
        <w:sz w:val="22"/>
        <w:szCs w:val="22"/>
      </w:rPr>
      <w:t>Č.</w:t>
    </w:r>
    <w:r w:rsidR="00950FCE">
      <w:rPr>
        <w:rFonts w:asciiTheme="minorHAnsi" w:hAnsiTheme="minorHAnsi" w:cstheme="minorHAnsi"/>
        <w:sz w:val="22"/>
        <w:szCs w:val="22"/>
      </w:rPr>
      <w:t xml:space="preserve"> krycího listu: KLVZ/NPU-450/120</w:t>
    </w:r>
    <w:r w:rsidR="007E5458">
      <w:rPr>
        <w:rFonts w:asciiTheme="minorHAnsi" w:hAnsiTheme="minorHAnsi" w:cstheme="minorHAnsi"/>
        <w:sz w:val="22"/>
        <w:szCs w:val="22"/>
      </w:rPr>
      <w:t>/2023</w:t>
    </w:r>
  </w:p>
  <w:p w:rsidR="008A0FCE" w:rsidRPr="00D018AA" w:rsidRDefault="00D53E94" w:rsidP="00DE63B7">
    <w:pPr>
      <w:pStyle w:val="Zhlav"/>
      <w:jc w:val="right"/>
      <w:rPr>
        <w:rFonts w:asciiTheme="minorHAnsi" w:hAnsiTheme="minorHAnsi" w:cstheme="minorHAnsi"/>
        <w:sz w:val="22"/>
        <w:szCs w:val="22"/>
      </w:rPr>
    </w:pPr>
    <w:r w:rsidRPr="00D018AA">
      <w:rPr>
        <w:rFonts w:asciiTheme="minorHAnsi" w:hAnsiTheme="minorHAnsi" w:cstheme="minorHAnsi"/>
        <w:sz w:val="22"/>
        <w:szCs w:val="22"/>
      </w:rPr>
      <w:t xml:space="preserve">čj. </w:t>
    </w:r>
    <w:hyperlink r:id="rId1" w:history="1">
      <w:r w:rsidR="00244EEB" w:rsidRPr="00D018AA">
        <w:rPr>
          <w:rStyle w:val="Hypertextovodkaz"/>
          <w:rFonts w:asciiTheme="minorHAnsi" w:hAnsiTheme="minorHAnsi" w:cstheme="minorHAnsi"/>
          <w:bCs/>
          <w:color w:val="auto"/>
          <w:sz w:val="22"/>
          <w:szCs w:val="22"/>
          <w:u w:val="none"/>
        </w:rPr>
        <w:t>NPU-450/</w:t>
      </w:r>
      <w:r w:rsidR="00962BDD">
        <w:rPr>
          <w:rStyle w:val="Hypertextovodkaz"/>
          <w:rFonts w:asciiTheme="minorHAnsi" w:hAnsiTheme="minorHAnsi" w:cstheme="minorHAnsi"/>
          <w:bCs/>
          <w:color w:val="auto"/>
          <w:sz w:val="22"/>
          <w:szCs w:val="22"/>
          <w:u w:val="none"/>
        </w:rPr>
        <w:t>85292</w:t>
      </w:r>
      <w:r w:rsidR="00244EEB" w:rsidRPr="00D018AA">
        <w:rPr>
          <w:rStyle w:val="Hypertextovodkaz"/>
          <w:rFonts w:asciiTheme="minorHAnsi" w:hAnsiTheme="minorHAnsi" w:cstheme="minorHAnsi"/>
          <w:bCs/>
          <w:color w:val="auto"/>
          <w:sz w:val="22"/>
          <w:szCs w:val="22"/>
          <w:u w:val="none"/>
        </w:rPr>
        <w:t>/202</w:t>
      </w:r>
    </w:hyperlink>
    <w:r w:rsidR="007E5458">
      <w:rPr>
        <w:rStyle w:val="Hypertextovodkaz"/>
        <w:rFonts w:asciiTheme="minorHAnsi" w:hAnsiTheme="minorHAnsi" w:cstheme="minorHAnsi"/>
        <w:bCs/>
        <w:color w:val="auto"/>
        <w:sz w:val="22"/>
        <w:szCs w:val="22"/>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15:restartNumberingAfterBreak="0">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15:restartNumberingAfterBreak="0">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15:restartNumberingAfterBreak="0">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001FEA"/>
    <w:rsid w:val="00002A72"/>
    <w:rsid w:val="00014766"/>
    <w:rsid w:val="000250EB"/>
    <w:rsid w:val="0004120A"/>
    <w:rsid w:val="00081E88"/>
    <w:rsid w:val="00084296"/>
    <w:rsid w:val="00090166"/>
    <w:rsid w:val="0009753D"/>
    <w:rsid w:val="000B23F1"/>
    <w:rsid w:val="000B72B1"/>
    <w:rsid w:val="000C7701"/>
    <w:rsid w:val="000D21BA"/>
    <w:rsid w:val="000D2D3A"/>
    <w:rsid w:val="000E65CF"/>
    <w:rsid w:val="000E7ADA"/>
    <w:rsid w:val="001043A9"/>
    <w:rsid w:val="00107EF9"/>
    <w:rsid w:val="00114F18"/>
    <w:rsid w:val="00117553"/>
    <w:rsid w:val="00120E9B"/>
    <w:rsid w:val="001245C6"/>
    <w:rsid w:val="00127207"/>
    <w:rsid w:val="001434FE"/>
    <w:rsid w:val="001501BB"/>
    <w:rsid w:val="0015130B"/>
    <w:rsid w:val="00155B38"/>
    <w:rsid w:val="00182E5A"/>
    <w:rsid w:val="0018512D"/>
    <w:rsid w:val="001A132D"/>
    <w:rsid w:val="001C34DE"/>
    <w:rsid w:val="001D3E02"/>
    <w:rsid w:val="001E2A73"/>
    <w:rsid w:val="001E72C5"/>
    <w:rsid w:val="001F10C0"/>
    <w:rsid w:val="001F45FD"/>
    <w:rsid w:val="0020045C"/>
    <w:rsid w:val="0020324D"/>
    <w:rsid w:val="00205DA0"/>
    <w:rsid w:val="00205E7C"/>
    <w:rsid w:val="00225AAB"/>
    <w:rsid w:val="0024272F"/>
    <w:rsid w:val="00244EEB"/>
    <w:rsid w:val="00271CA7"/>
    <w:rsid w:val="00280F69"/>
    <w:rsid w:val="00287FE5"/>
    <w:rsid w:val="002B65DE"/>
    <w:rsid w:val="002F2A52"/>
    <w:rsid w:val="00302BDC"/>
    <w:rsid w:val="003072ED"/>
    <w:rsid w:val="00307773"/>
    <w:rsid w:val="00320902"/>
    <w:rsid w:val="00347176"/>
    <w:rsid w:val="00347D3D"/>
    <w:rsid w:val="00353757"/>
    <w:rsid w:val="00357386"/>
    <w:rsid w:val="00362B19"/>
    <w:rsid w:val="00385125"/>
    <w:rsid w:val="003A4052"/>
    <w:rsid w:val="003B5F23"/>
    <w:rsid w:val="003D0FBC"/>
    <w:rsid w:val="003D226C"/>
    <w:rsid w:val="003E0E26"/>
    <w:rsid w:val="00401323"/>
    <w:rsid w:val="00403D51"/>
    <w:rsid w:val="00404BF1"/>
    <w:rsid w:val="0046405C"/>
    <w:rsid w:val="00464D96"/>
    <w:rsid w:val="00474717"/>
    <w:rsid w:val="004757D6"/>
    <w:rsid w:val="004920DF"/>
    <w:rsid w:val="004B5038"/>
    <w:rsid w:val="004B65D8"/>
    <w:rsid w:val="004D0E98"/>
    <w:rsid w:val="004D74BD"/>
    <w:rsid w:val="004F42CB"/>
    <w:rsid w:val="0051153A"/>
    <w:rsid w:val="005152B1"/>
    <w:rsid w:val="0052265B"/>
    <w:rsid w:val="005316C8"/>
    <w:rsid w:val="00533BA8"/>
    <w:rsid w:val="00541296"/>
    <w:rsid w:val="005417C0"/>
    <w:rsid w:val="0054764E"/>
    <w:rsid w:val="00561AD3"/>
    <w:rsid w:val="00562906"/>
    <w:rsid w:val="00585E76"/>
    <w:rsid w:val="005B7F77"/>
    <w:rsid w:val="005C7609"/>
    <w:rsid w:val="005D1AE1"/>
    <w:rsid w:val="005E1CBF"/>
    <w:rsid w:val="005E4CF6"/>
    <w:rsid w:val="00601521"/>
    <w:rsid w:val="00602809"/>
    <w:rsid w:val="00621D8C"/>
    <w:rsid w:val="00633FD5"/>
    <w:rsid w:val="00635581"/>
    <w:rsid w:val="00642D97"/>
    <w:rsid w:val="00646868"/>
    <w:rsid w:val="00653391"/>
    <w:rsid w:val="006654C0"/>
    <w:rsid w:val="00693570"/>
    <w:rsid w:val="00694209"/>
    <w:rsid w:val="006A0832"/>
    <w:rsid w:val="006D274D"/>
    <w:rsid w:val="006D54FB"/>
    <w:rsid w:val="006E7096"/>
    <w:rsid w:val="00713EA7"/>
    <w:rsid w:val="00726A80"/>
    <w:rsid w:val="007326BB"/>
    <w:rsid w:val="00744A8F"/>
    <w:rsid w:val="0074606A"/>
    <w:rsid w:val="00754B2F"/>
    <w:rsid w:val="00795EE2"/>
    <w:rsid w:val="007B1E12"/>
    <w:rsid w:val="007B4964"/>
    <w:rsid w:val="007B525E"/>
    <w:rsid w:val="007C3332"/>
    <w:rsid w:val="007D748C"/>
    <w:rsid w:val="007D7F98"/>
    <w:rsid w:val="007E5458"/>
    <w:rsid w:val="008035B4"/>
    <w:rsid w:val="00821037"/>
    <w:rsid w:val="00827F1A"/>
    <w:rsid w:val="00844EA1"/>
    <w:rsid w:val="00856B51"/>
    <w:rsid w:val="00880087"/>
    <w:rsid w:val="00886476"/>
    <w:rsid w:val="008869B5"/>
    <w:rsid w:val="008A0F32"/>
    <w:rsid w:val="008A0FCE"/>
    <w:rsid w:val="008A1444"/>
    <w:rsid w:val="008A510B"/>
    <w:rsid w:val="008C2978"/>
    <w:rsid w:val="008C50CB"/>
    <w:rsid w:val="008C71AC"/>
    <w:rsid w:val="008E3646"/>
    <w:rsid w:val="008E6C23"/>
    <w:rsid w:val="008F1538"/>
    <w:rsid w:val="008F2A33"/>
    <w:rsid w:val="008F46A2"/>
    <w:rsid w:val="0091020A"/>
    <w:rsid w:val="00914551"/>
    <w:rsid w:val="00920849"/>
    <w:rsid w:val="00925794"/>
    <w:rsid w:val="0094132E"/>
    <w:rsid w:val="0094246B"/>
    <w:rsid w:val="0094414A"/>
    <w:rsid w:val="00947FB2"/>
    <w:rsid w:val="00950FCE"/>
    <w:rsid w:val="009617F5"/>
    <w:rsid w:val="00962BDD"/>
    <w:rsid w:val="00962CC0"/>
    <w:rsid w:val="00971A3B"/>
    <w:rsid w:val="009944CE"/>
    <w:rsid w:val="009958EF"/>
    <w:rsid w:val="009A5655"/>
    <w:rsid w:val="009B6484"/>
    <w:rsid w:val="009C1AB1"/>
    <w:rsid w:val="009D6360"/>
    <w:rsid w:val="009D7016"/>
    <w:rsid w:val="009E300E"/>
    <w:rsid w:val="009F7F8C"/>
    <w:rsid w:val="00A06852"/>
    <w:rsid w:val="00A1224A"/>
    <w:rsid w:val="00A26224"/>
    <w:rsid w:val="00A50DC1"/>
    <w:rsid w:val="00A517C6"/>
    <w:rsid w:val="00A55323"/>
    <w:rsid w:val="00A56F58"/>
    <w:rsid w:val="00A608DB"/>
    <w:rsid w:val="00A64AA9"/>
    <w:rsid w:val="00A70DC8"/>
    <w:rsid w:val="00A82A3C"/>
    <w:rsid w:val="00A83E72"/>
    <w:rsid w:val="00A83F21"/>
    <w:rsid w:val="00A85332"/>
    <w:rsid w:val="00A85E48"/>
    <w:rsid w:val="00A94EAB"/>
    <w:rsid w:val="00AE7C09"/>
    <w:rsid w:val="00AF259A"/>
    <w:rsid w:val="00AF33FB"/>
    <w:rsid w:val="00AF3FC8"/>
    <w:rsid w:val="00B041D3"/>
    <w:rsid w:val="00B06101"/>
    <w:rsid w:val="00B163E2"/>
    <w:rsid w:val="00B17C2A"/>
    <w:rsid w:val="00B37FA7"/>
    <w:rsid w:val="00B52B54"/>
    <w:rsid w:val="00B64640"/>
    <w:rsid w:val="00B70574"/>
    <w:rsid w:val="00B755BB"/>
    <w:rsid w:val="00B81C64"/>
    <w:rsid w:val="00B83A75"/>
    <w:rsid w:val="00B856E2"/>
    <w:rsid w:val="00B95E16"/>
    <w:rsid w:val="00BB4E1E"/>
    <w:rsid w:val="00BC1F6C"/>
    <w:rsid w:val="00BC25A1"/>
    <w:rsid w:val="00BC5B32"/>
    <w:rsid w:val="00BE0502"/>
    <w:rsid w:val="00BF1B50"/>
    <w:rsid w:val="00BF2D6E"/>
    <w:rsid w:val="00BF4091"/>
    <w:rsid w:val="00BF5FAF"/>
    <w:rsid w:val="00C07987"/>
    <w:rsid w:val="00C42801"/>
    <w:rsid w:val="00C55420"/>
    <w:rsid w:val="00C63E99"/>
    <w:rsid w:val="00C67AF2"/>
    <w:rsid w:val="00C816A3"/>
    <w:rsid w:val="00C9256E"/>
    <w:rsid w:val="00CB62B9"/>
    <w:rsid w:val="00CD0F16"/>
    <w:rsid w:val="00CD468D"/>
    <w:rsid w:val="00CE2969"/>
    <w:rsid w:val="00CF1C0F"/>
    <w:rsid w:val="00D018AA"/>
    <w:rsid w:val="00D047A5"/>
    <w:rsid w:val="00D21DF1"/>
    <w:rsid w:val="00D53E94"/>
    <w:rsid w:val="00D55B5B"/>
    <w:rsid w:val="00D5717F"/>
    <w:rsid w:val="00D8197F"/>
    <w:rsid w:val="00D85113"/>
    <w:rsid w:val="00D93A45"/>
    <w:rsid w:val="00D9402D"/>
    <w:rsid w:val="00DA681F"/>
    <w:rsid w:val="00DB2FC9"/>
    <w:rsid w:val="00DB59F7"/>
    <w:rsid w:val="00DB79E2"/>
    <w:rsid w:val="00DC0C67"/>
    <w:rsid w:val="00DD6FEA"/>
    <w:rsid w:val="00DE63B7"/>
    <w:rsid w:val="00DE702E"/>
    <w:rsid w:val="00DF1C41"/>
    <w:rsid w:val="00E421C5"/>
    <w:rsid w:val="00E61B02"/>
    <w:rsid w:val="00E67F27"/>
    <w:rsid w:val="00E874AA"/>
    <w:rsid w:val="00E90141"/>
    <w:rsid w:val="00EA34BD"/>
    <w:rsid w:val="00EA3756"/>
    <w:rsid w:val="00EB47AA"/>
    <w:rsid w:val="00EB52DD"/>
    <w:rsid w:val="00EC40AE"/>
    <w:rsid w:val="00ED1633"/>
    <w:rsid w:val="00ED4260"/>
    <w:rsid w:val="00EE446F"/>
    <w:rsid w:val="00EF6257"/>
    <w:rsid w:val="00F0382D"/>
    <w:rsid w:val="00F0513D"/>
    <w:rsid w:val="00F27FE0"/>
    <w:rsid w:val="00F5397C"/>
    <w:rsid w:val="00F76B19"/>
    <w:rsid w:val="00F822D1"/>
    <w:rsid w:val="00F822FF"/>
    <w:rsid w:val="00F85A1C"/>
    <w:rsid w:val="00F864A1"/>
    <w:rsid w:val="00FA2B4A"/>
    <w:rsid w:val="00FA5743"/>
    <w:rsid w:val="00FB32AD"/>
    <w:rsid w:val="00FB3856"/>
    <w:rsid w:val="00FB4308"/>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59164"/>
  <w15:docId w15:val="{DF1C433C-6B2F-4EA7-BCDF-09882AF3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B5B"/>
    <w:rPr>
      <w:sz w:val="24"/>
      <w:szCs w:val="24"/>
    </w:rPr>
  </w:style>
  <w:style w:type="paragraph" w:styleId="Nadpis1">
    <w:name w:val="heading 1"/>
    <w:basedOn w:val="Normln"/>
    <w:link w:val="Nadpis1Char"/>
    <w:uiPriority w:val="9"/>
    <w:qFormat/>
    <w:rsid w:val="00A50DC1"/>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 w:type="character" w:styleId="Sledovanodkaz">
    <w:name w:val="FollowedHyperlink"/>
    <w:basedOn w:val="Standardnpsmoodstavce"/>
    <w:semiHidden/>
    <w:unhideWhenUsed/>
    <w:rsid w:val="00856B51"/>
    <w:rPr>
      <w:color w:val="954F72" w:themeColor="followedHyperlink"/>
      <w:u w:val="single"/>
    </w:rPr>
  </w:style>
  <w:style w:type="character" w:customStyle="1" w:styleId="gheiplaceholder">
    <w:name w:val="ghei_placeholder"/>
    <w:basedOn w:val="Standardnpsmoodstavce"/>
    <w:rsid w:val="00205E7C"/>
  </w:style>
  <w:style w:type="character" w:customStyle="1" w:styleId="Nadpis1Char">
    <w:name w:val="Nadpis 1 Char"/>
    <w:basedOn w:val="Standardnpsmoodstavce"/>
    <w:link w:val="Nadpis1"/>
    <w:uiPriority w:val="9"/>
    <w:rsid w:val="00A50DC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 w:id="18490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omeriz@cs21group.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chanek.radek@npu.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ess.npu.cz/ost/posta/brow_spis.php?cislo_spisu1=76783&amp;cislo_spisu2=2020&amp;doc_id=100158754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10622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cp:lastModifiedBy>
  <cp:revision>2</cp:revision>
  <cp:lastPrinted>2020-10-02T06:12:00Z</cp:lastPrinted>
  <dcterms:created xsi:type="dcterms:W3CDTF">2023-10-13T05:16:00Z</dcterms:created>
  <dcterms:modified xsi:type="dcterms:W3CDTF">2023-10-13T05:16:00Z</dcterms:modified>
</cp:coreProperties>
</file>