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612775</wp:posOffset>
            </wp:positionH>
            <wp:positionV relativeFrom="margin">
              <wp:posOffset>0</wp:posOffset>
            </wp:positionV>
            <wp:extent cx="6443345" cy="114617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443345" cy="11461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22" w:left="965" w:right="792" w:bottom="512" w:header="0" w:footer="84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22" w:left="0" w:right="0" w:bottom="51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387350</wp:posOffset>
            </wp:positionV>
            <wp:extent cx="1017905" cy="73152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17905" cy="7315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5297805</wp:posOffset>
                </wp:positionH>
                <wp:positionV relativeFrom="paragraph">
                  <wp:posOffset>527050</wp:posOffset>
                </wp:positionV>
                <wp:extent cx="676910" cy="25590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Objednací číslo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AL337564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17.14999999999998pt;margin-top:41.5pt;width:53.299999999999997pt;height:20.1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Objednací číslo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AL337564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6352540</wp:posOffset>
            </wp:positionH>
            <wp:positionV relativeFrom="paragraph">
              <wp:posOffset>347345</wp:posOffset>
            </wp:positionV>
            <wp:extent cx="694690" cy="920750"/>
            <wp:wrapSquare wrapText="bothSides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94690" cy="9207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Seznam položek ve vašem poptávkovém listu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Lysercell WDF (5 L)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Lysercell WDF 5L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22" w:left="2943" w:right="4181" w:bottom="51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Lyzační roztok pro WDF kanál analyzátorů XN a XN-L</w:t>
      </w: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22" w:left="0" w:right="0" w:bottom="512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4258" w:h="691" w:wrap="none" w:vAnchor="text" w:hAnchor="page" w:x="3165" w:y="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Sulfolyser (5 L)</w:t>
      </w:r>
    </w:p>
    <w:p>
      <w:pPr>
        <w:pStyle w:val="Style2"/>
        <w:keepNext w:val="0"/>
        <w:keepLines w:val="0"/>
        <w:framePr w:w="4258" w:h="691" w:wrap="none" w:vAnchor="text" w:hAnchor="page" w:x="3165" w:y="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Sulfolyser 5L</w:t>
      </w:r>
    </w:p>
    <w:p>
      <w:pPr>
        <w:pStyle w:val="Style2"/>
        <w:keepNext w:val="0"/>
        <w:keepLines w:val="0"/>
        <w:framePr w:w="4258" w:h="691" w:wrap="none" w:vAnchor="text" w:hAnchor="page" w:x="3165" w:y="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Reagencie Sulfolyser pro vyšetření základního krevního obrazu</w:t>
      </w:r>
    </w:p>
    <w:p>
      <w:pPr>
        <w:pStyle w:val="Style2"/>
        <w:keepNext w:val="0"/>
        <w:keepLines w:val="0"/>
        <w:framePr w:w="1066" w:h="403" w:wrap="none" w:vAnchor="text" w:hAnchor="page" w:x="8339" w:y="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Objednací číslo</w:t>
      </w:r>
    </w:p>
    <w:p>
      <w:pPr>
        <w:pStyle w:val="Style2"/>
        <w:keepNext w:val="0"/>
        <w:keepLines w:val="0"/>
        <w:framePr w:w="1066" w:h="403" w:wrap="none" w:vAnchor="text" w:hAnchor="page" w:x="8339" w:y="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90411414</w:t>
      </w:r>
    </w:p>
    <w:p>
      <w:pPr>
        <w:pStyle w:val="Style9"/>
        <w:keepNext w:val="0"/>
        <w:keepLines w:val="0"/>
        <w:framePr w:w="2875" w:h="706" w:wrap="none" w:vAnchor="text" w:hAnchor="page" w:x="3141" w:y="19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Kit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RAL StainBox MCDh</w:t>
      </w:r>
    </w:p>
    <w:p>
      <w:pPr>
        <w:pStyle w:val="Style9"/>
        <w:keepNext w:val="0"/>
        <w:keepLines w:val="0"/>
        <w:framePr w:w="2875" w:h="706" w:wrap="none" w:vAnchor="text" w:hAnchor="page" w:x="3141" w:y="19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Kit RAL StainBox MCDh</w:t>
      </w:r>
    </w:p>
    <w:p>
      <w:pPr>
        <w:pStyle w:val="Style9"/>
        <w:keepNext w:val="0"/>
        <w:keepLines w:val="0"/>
        <w:framePr w:w="2875" w:h="706" w:wrap="none" w:vAnchor="text" w:hAnchor="page" w:x="3141" w:y="19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Kit RAL StainBox MCDh pro periferní krev</w:t>
      </w:r>
    </w:p>
    <w:p>
      <w:pPr>
        <w:pStyle w:val="Style2"/>
        <w:keepNext w:val="0"/>
        <w:keepLines w:val="0"/>
        <w:framePr w:w="1066" w:h="408" w:wrap="none" w:vAnchor="text" w:hAnchor="page" w:x="8339" w:y="21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Objednací číslo</w:t>
      </w:r>
    </w:p>
    <w:p>
      <w:pPr>
        <w:pStyle w:val="Style2"/>
        <w:keepNext w:val="0"/>
        <w:keepLines w:val="0"/>
        <w:framePr w:w="1066" w:h="408" w:wrap="none" w:vAnchor="text" w:hAnchor="page" w:x="8339" w:y="21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360300-0000</w:t>
      </w:r>
    </w:p>
    <w:p>
      <w:pPr>
        <w:pStyle w:val="Style9"/>
        <w:keepNext w:val="0"/>
        <w:keepLines w:val="0"/>
        <w:framePr w:w="3115" w:h="696" w:wrap="none" w:vAnchor="text" w:hAnchor="page" w:x="3170" w:y="38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Lysercell WNR (5 L)</w:t>
      </w:r>
    </w:p>
    <w:p>
      <w:pPr>
        <w:pStyle w:val="Style9"/>
        <w:keepNext w:val="0"/>
        <w:keepLines w:val="0"/>
        <w:framePr w:w="3115" w:h="696" w:wrap="none" w:vAnchor="text" w:hAnchor="page" w:x="3170" w:y="38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Lysercell WNR 5L</w:t>
      </w:r>
    </w:p>
    <w:p>
      <w:pPr>
        <w:pStyle w:val="Style9"/>
        <w:keepNext w:val="0"/>
        <w:keepLines w:val="0"/>
        <w:framePr w:w="3115" w:h="696" w:wrap="none" w:vAnchor="text" w:hAnchor="page" w:x="3170" w:y="38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Lyzační roztok pro WNR kanál analyzátorů XN</w:t>
      </w:r>
    </w:p>
    <w:p>
      <w:pPr>
        <w:pStyle w:val="Style2"/>
        <w:keepNext w:val="0"/>
        <w:keepLines w:val="0"/>
        <w:framePr w:w="1061" w:h="408" w:wrap="none" w:vAnchor="text" w:hAnchor="page" w:x="8334" w:y="40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Objednací číslo</w:t>
      </w:r>
    </w:p>
    <w:p>
      <w:pPr>
        <w:pStyle w:val="Style2"/>
        <w:keepNext w:val="0"/>
        <w:keepLines w:val="0"/>
        <w:framePr w:w="1061" w:h="408" w:wrap="none" w:vAnchor="text" w:hAnchor="page" w:x="8334" w:y="40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BL121531</w:t>
      </w:r>
    </w:p>
    <w:p>
      <w:pPr>
        <w:pStyle w:val="Style7"/>
        <w:keepNext w:val="0"/>
        <w:keepLines w:val="0"/>
        <w:framePr w:w="4344" w:h="888" w:wrap="none" w:vAnchor="text" w:hAnchor="page" w:x="3155" w:y="56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CelIPack DCL (20 L)</w:t>
      </w:r>
    </w:p>
    <w:p>
      <w:pPr>
        <w:pStyle w:val="Style2"/>
        <w:keepNext w:val="0"/>
        <w:keepLines w:val="0"/>
        <w:framePr w:w="4344" w:h="888" w:wrap="none" w:vAnchor="text" w:hAnchor="page" w:x="3155" w:y="5694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CelIPack DCL (20 L)</w:t>
      </w:r>
    </w:p>
    <w:p>
      <w:pPr>
        <w:pStyle w:val="Style2"/>
        <w:keepNext w:val="0"/>
        <w:keepLines w:val="0"/>
        <w:framePr w:w="4344" w:h="888" w:wrap="none" w:vAnchor="text" w:hAnchor="page" w:x="3155" w:y="56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Diluční reagencie pro hematologické analyzátory řady XN, XN-L, nátěrové automaty SP.</w:t>
      </w:r>
    </w:p>
    <w:tbl>
      <w:tblPr>
        <w:tblOverlap w:val="never"/>
        <w:jc w:val="left"/>
        <w:tblLayout w:type="fixed"/>
      </w:tblPr>
      <w:tblGrid>
        <w:gridCol w:w="1382"/>
        <w:gridCol w:w="686"/>
        <w:gridCol w:w="346"/>
      </w:tblGrid>
      <w:tr>
        <w:trPr>
          <w:trHeight w:val="202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414" w:h="384" w:wrap="none" w:vAnchor="text" w:hAnchor="page" w:x="8334" w:y="5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Objednací číslo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2414" w:h="384" w:wrap="none" w:vAnchor="text" w:hAnchor="page" w:x="8334" w:y="5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CT661628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2414" w:h="384" w:wrap="none" w:vAnchor="text" w:hAnchor="page" w:x="8334" w:y="5915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2414" w:h="384" w:wrap="none" w:vAnchor="text" w:hAnchor="page" w:x="8334" w:y="5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</w:tr>
    </w:tbl>
    <w:p>
      <w:pPr>
        <w:framePr w:w="2414" w:h="384" w:wrap="none" w:vAnchor="text" w:hAnchor="page" w:x="8334" w:y="5915"/>
        <w:widowControl w:val="0"/>
        <w:spacing w:line="1" w:lineRule="exact"/>
      </w:pPr>
    </w:p>
    <w:p>
      <w:pPr>
        <w:pStyle w:val="Style7"/>
        <w:keepNext w:val="0"/>
        <w:keepLines w:val="0"/>
        <w:framePr w:w="4555" w:h="888" w:wrap="none" w:vAnchor="text" w:hAnchor="page" w:x="3150" w:y="7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CelIClean (50 mL)</w:t>
      </w:r>
    </w:p>
    <w:p>
      <w:pPr>
        <w:pStyle w:val="Style2"/>
        <w:keepNext w:val="0"/>
        <w:keepLines w:val="0"/>
        <w:framePr w:w="4555" w:h="888" w:wrap="none" w:vAnchor="text" w:hAnchor="page" w:x="3150" w:y="7556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CelIClean 50ml</w:t>
      </w:r>
    </w:p>
    <w:p>
      <w:pPr>
        <w:pStyle w:val="Style2"/>
        <w:keepNext w:val="0"/>
        <w:keepLines w:val="0"/>
        <w:framePr w:w="4555" w:h="888" w:wrap="none" w:vAnchor="text" w:hAnchor="page" w:x="3150" w:y="7556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Čisticí prostředek pro analyzátory krevního obrazu, koagulometry a nátěrové a barvicí automaty</w:t>
      </w:r>
    </w:p>
    <w:p>
      <w:pPr>
        <w:pStyle w:val="Style2"/>
        <w:keepNext w:val="0"/>
        <w:keepLines w:val="0"/>
        <w:framePr w:w="1066" w:h="403" w:wrap="none" w:vAnchor="text" w:hAnchor="page" w:x="8329" w:y="77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Objednací číslo</w:t>
      </w:r>
    </w:p>
    <w:p>
      <w:pPr>
        <w:pStyle w:val="Style2"/>
        <w:keepNext w:val="0"/>
        <w:keepLines w:val="0"/>
        <w:framePr w:w="1066" w:h="403" w:wrap="none" w:vAnchor="text" w:hAnchor="page" w:x="8329" w:y="77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83401621</w:t>
      </w:r>
    </w:p>
    <w:p>
      <w:pPr>
        <w:pStyle w:val="Style2"/>
        <w:keepNext w:val="0"/>
        <w:keepLines w:val="0"/>
        <w:framePr w:w="5770" w:h="432" w:wrap="none" w:vAnchor="text" w:hAnchor="page" w:x="1197" w:y="9313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Objednávku odešlete pomocí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on-line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formuláře viz tlačítko níže 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objednat položky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Doporučujeme se 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přihlásit!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(Pokud ještě nejste registrovaní,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zaregistrujte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výše).</w:t>
      </w:r>
    </w:p>
    <w:p>
      <w:pPr>
        <w:pStyle w:val="Style18"/>
        <w:keepNext w:val="0"/>
        <w:keepLines w:val="0"/>
        <w:framePr w:w="3379" w:h="317" w:wrap="none" w:vAnchor="text" w:hAnchor="page" w:x="7667" w:y="10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© Všechna práva vyhrazena společnosti</w:t>
      </w:r>
    </w:p>
    <w:p>
      <w:pPr>
        <w:pStyle w:val="Style18"/>
        <w:keepNext w:val="0"/>
        <w:keepLines w:val="0"/>
        <w:framePr w:w="3379" w:h="317" w:wrap="none" w:vAnchor="text" w:hAnchor="page" w:x="7667" w:y="10441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vytvořeno 12.10.2023 09:12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54610</wp:posOffset>
            </wp:positionV>
            <wp:extent cx="999490" cy="47561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999490" cy="4756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530225</wp:posOffset>
            </wp:positionV>
            <wp:extent cx="737870" cy="25590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37870" cy="2559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6718300</wp:posOffset>
            </wp:positionH>
            <wp:positionV relativeFrom="paragraph">
              <wp:posOffset>12700</wp:posOffset>
            </wp:positionV>
            <wp:extent cx="328930" cy="91440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328930" cy="9144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350" distB="0" distL="0" distR="1957070" simplePos="0" relativeHeight="62914694" behindDoc="1" locked="0" layoutInCell="1" allowOverlap="1">
            <wp:simplePos x="0" y="0"/>
            <wp:positionH relativeFrom="page">
              <wp:posOffset>832485</wp:posOffset>
            </wp:positionH>
            <wp:positionV relativeFrom="paragraph">
              <wp:posOffset>1231900</wp:posOffset>
            </wp:positionV>
            <wp:extent cx="1029970" cy="68262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029970" cy="6826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6715125</wp:posOffset>
            </wp:positionH>
            <wp:positionV relativeFrom="paragraph">
              <wp:posOffset>1188720</wp:posOffset>
            </wp:positionV>
            <wp:extent cx="328930" cy="920750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328930" cy="9207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2130425" simplePos="0" relativeHeight="62914696" behindDoc="1" locked="0" layoutInCell="1" allowOverlap="1">
            <wp:simplePos x="0" y="0"/>
            <wp:positionH relativeFrom="page">
              <wp:posOffset>832485</wp:posOffset>
            </wp:positionH>
            <wp:positionV relativeFrom="paragraph">
              <wp:posOffset>2419985</wp:posOffset>
            </wp:positionV>
            <wp:extent cx="1029970" cy="743585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029970" cy="7435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6358255</wp:posOffset>
            </wp:positionH>
            <wp:positionV relativeFrom="paragraph">
              <wp:posOffset>2380615</wp:posOffset>
            </wp:positionV>
            <wp:extent cx="682625" cy="902335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682625" cy="9023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3611880</wp:posOffset>
            </wp:positionV>
            <wp:extent cx="1024255" cy="762000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024255" cy="7620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835660</wp:posOffset>
            </wp:positionH>
            <wp:positionV relativeFrom="paragraph">
              <wp:posOffset>4800600</wp:posOffset>
            </wp:positionV>
            <wp:extent cx="1024255" cy="719455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024255" cy="7194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6276340</wp:posOffset>
            </wp:positionH>
            <wp:positionV relativeFrom="paragraph">
              <wp:posOffset>4751705</wp:posOffset>
            </wp:positionV>
            <wp:extent cx="762000" cy="920750"/>
            <wp:wrapNone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762000" cy="9207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22" w:left="965" w:right="792" w:bottom="51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/>
        <w:keepLines/>
        <w:framePr w:w="3216" w:h="979" w:wrap="none" w:hAnchor="page" w:x="1077" w:y="1"/>
        <w:widowControl w:val="0"/>
        <w:shd w:val="clear" w:color="auto" w:fill="auto"/>
        <w:bidi w:val="0"/>
        <w:spacing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^sysmex</w:t>
      </w:r>
      <w:bookmarkEnd w:id="2"/>
      <w:bookmarkEnd w:id="3"/>
    </w:p>
    <w:p>
      <w:pPr>
        <w:pStyle w:val="Style22"/>
        <w:keepNext/>
        <w:keepLines/>
        <w:framePr w:w="1709" w:h="504" w:wrap="none" w:hAnchor="page" w:x="4360" w:y="3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[ </w:t>
      </w:r>
      <w:r>
        <w:rPr>
          <w:color w:val="000000"/>
          <w:spacing w:val="0"/>
          <w:w w:val="100"/>
          <w:position w:val="0"/>
          <w:shd w:val="clear" w:color="auto" w:fill="auto"/>
        </w:rPr>
        <w:t>Lighting the way</w:t>
      </w:r>
      <w:bookmarkEnd w:id="4"/>
      <w:bookmarkEnd w:id="5"/>
    </w:p>
    <w:p>
      <w:pPr>
        <w:pStyle w:val="Style22"/>
        <w:keepNext/>
        <w:keepLines/>
        <w:framePr w:w="1709" w:h="504" w:wrap="none" w:hAnchor="page" w:x="4360" w:y="3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</w:rPr>
        <w:t>I with diagnostics</w:t>
      </w:r>
      <w:bookmarkEnd w:id="6"/>
      <w:bookmarkEnd w:id="7"/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42" w:left="1076" w:right="1014" w:bottom="1160" w:header="0" w:footer="732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30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42" w:left="0" w:right="0" w:bottom="34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5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Registrovaní uživatelé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mají tyto výhody: automatické vyplňování položek formuláře, evidenci starších objednávek, možnost reobjednání předchozí objednávky, předvyplňování dodací adresy apod.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7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Neregistrovaní uživatelé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mohou objednat zboží zadáním svého zákaznického čísla, viz 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objednat položky,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formulář pak automaticky vyplní vaše iniciály.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520" w:val="left"/>
        </w:tabs>
        <w:bidi w:val="0"/>
        <w:spacing w:before="0" w:after="1176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Případně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(pokud se nechcete registrovat)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vytiskněte objednávku tlačítkem tisknout objednávku a zašlete ji společně s vašimi údaji pro fakturaci a doručení na</w:t>
        <w:tab/>
        <w:t xml:space="preserve">nebo zašlete na adresu: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Sysmex CZ s.r.o., Plynárenská 499/1, 602 00 Brno,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Czech Republic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© Všechna práva vyhrazena společnosti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vytvořeno 12.10.2023 09:12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342" w:left="1076" w:right="1014" w:bottom="34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">
    <w:name w:val="Nadpis #2_"/>
    <w:basedOn w:val="DefaultParagraphFont"/>
    <w:link w:val="Style5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Titulek obrázku_"/>
    <w:basedOn w:val="DefaultParagraphFont"/>
    <w:link w:val="Style9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">
    <w:name w:val="Jiné_"/>
    <w:basedOn w:val="DefaultParagraphFont"/>
    <w:link w:val="Style13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9">
    <w:name w:val="Základní text (2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1">
    <w:name w:val="Nadpis #1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CharStyle23">
    <w:name w:val="Nadpis #3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47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spacing w:after="280"/>
      <w:ind w:hanging="1720"/>
      <w:outlineLvl w:val="1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Titulek obrázku"/>
    <w:basedOn w:val="Normal"/>
    <w:link w:val="CharStyle10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line="247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FFFFFF"/>
      <w:spacing w:before="8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paragraph" w:customStyle="1" w:styleId="Style22">
    <w:name w:val="Nadpis #3"/>
    <w:basedOn w:val="Normal"/>
    <w:link w:val="CharStyle23"/>
    <w:pPr>
      <w:widowControl w:val="0"/>
      <w:shd w:val="clear" w:color="auto" w:fill="FFFFFF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/Relationships>
</file>