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0C" w:rsidRDefault="00BE41B4">
      <w:pPr>
        <w:spacing w:after="0"/>
        <w:ind w:left="106" w:right="0"/>
        <w:jc w:val="left"/>
      </w:pPr>
      <w:r>
        <w:rPr>
          <w:sz w:val="34"/>
        </w:rPr>
        <w:t>Rámcová smlouva o podmínkách dodávek zboží</w:t>
      </w:r>
    </w:p>
    <w:p w:rsidR="00A2170C" w:rsidRDefault="00BE41B4">
      <w:pPr>
        <w:ind w:left="706" w:right="0"/>
        <w:jc w:val="left"/>
      </w:pPr>
      <w:r>
        <w:rPr>
          <w:noProof/>
        </w:rPr>
        <w:drawing>
          <wp:inline distT="0" distB="0" distL="0" distR="0">
            <wp:extent cx="1243584" cy="3049"/>
            <wp:effectExtent l="0" t="0" r="0" b="0"/>
            <wp:docPr id="1437" name="Picture 1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" name="Picture 14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70C" w:rsidRDefault="00BE41B4">
      <w:pPr>
        <w:spacing w:after="639"/>
        <w:ind w:left="5323" w:right="0"/>
        <w:jc w:val="left"/>
      </w:pPr>
      <w:r>
        <w:rPr>
          <w:noProof/>
        </w:rPr>
        <w:drawing>
          <wp:inline distT="0" distB="0" distL="0" distR="0">
            <wp:extent cx="356616" cy="3049"/>
            <wp:effectExtent l="0" t="0" r="0" b="0"/>
            <wp:docPr id="1438" name="Picture 1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Picture 14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70C" w:rsidRDefault="00BE41B4">
      <w:pPr>
        <w:spacing w:after="269"/>
        <w:ind w:left="100" w:right="916" w:firstLine="355"/>
      </w:pPr>
      <w:r>
        <w:t xml:space="preserve">uzavřená podle </w:t>
      </w:r>
      <w:proofErr w:type="spellStart"/>
      <w:r>
        <w:t>ust</w:t>
      </w:r>
      <w:proofErr w:type="spellEnd"/>
      <w:r>
        <w:t>. Š 269 odst. 2 Obchodního zákoníku č. 513/1991 Sb., ve znění pozdějších předpisů (dále jen Smlouva)</w:t>
      </w:r>
    </w:p>
    <w:p w:rsidR="00A2170C" w:rsidRDefault="00806131">
      <w:pPr>
        <w:spacing w:after="0"/>
        <w:ind w:left="10" w:right="509" w:hanging="10"/>
        <w:jc w:val="center"/>
      </w:pPr>
      <w:r>
        <w:rPr>
          <w:sz w:val="26"/>
        </w:rPr>
        <w:t>Č</w:t>
      </w:r>
      <w:r w:rsidR="00BE41B4">
        <w:rPr>
          <w:sz w:val="26"/>
        </w:rPr>
        <w:t>lánek 1</w:t>
      </w:r>
    </w:p>
    <w:p w:rsidR="00A2170C" w:rsidRDefault="00BE41B4">
      <w:pPr>
        <w:spacing w:after="235"/>
        <w:ind w:left="10" w:right="490" w:hanging="10"/>
        <w:jc w:val="center"/>
      </w:pPr>
      <w:r>
        <w:rPr>
          <w:sz w:val="26"/>
        </w:rPr>
        <w:t>Smluvní strany</w:t>
      </w:r>
    </w:p>
    <w:p w:rsidR="00A2170C" w:rsidRDefault="00BE41B4">
      <w:pPr>
        <w:spacing w:after="213"/>
        <w:ind w:left="1498" w:right="2098"/>
      </w:pPr>
      <w:r>
        <w:t xml:space="preserve">ODBYTOVÉ A HOSPODÁŘSKÉ DRUŽSTVO PARDUBICE se </w:t>
      </w:r>
      <w:proofErr w:type="gramStart"/>
      <w:r>
        <w:t>sídlem : B.</w:t>
      </w:r>
      <w:proofErr w:type="gramEnd"/>
      <w:r>
        <w:t xml:space="preserve"> Němcové 2625, 530 02 Pardubice jednající : Ing. Vítězslav Novák, ředitel IČ 25 94 15 OO DIČ : CZ 25941500 bankovní spojení : Komerční banka, a.s., pobočka Pardubice 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1285" name="Picture 1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Picture 12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číslo </w:t>
      </w:r>
      <w:proofErr w:type="gramStart"/>
      <w:r>
        <w:t>účtu : 19</w:t>
      </w:r>
      <w:proofErr w:type="gramEnd"/>
      <w:r>
        <w:t>-2386260217 / 0100</w:t>
      </w:r>
    </w:p>
    <w:p w:rsidR="00A2170C" w:rsidRDefault="00BE41B4">
      <w:pPr>
        <w:spacing w:after="252"/>
        <w:ind w:left="1512" w:right="916"/>
      </w:pPr>
      <w:r>
        <w:t>zapsané v obchodním rejstříku vedeném Krajským soudem v Hradci Králové, oddíl Dr, vložka 874</w:t>
      </w:r>
    </w:p>
    <w:p w:rsidR="00A2170C" w:rsidRDefault="00BE41B4">
      <w:pPr>
        <w:spacing w:after="286"/>
        <w:ind w:left="1517" w:right="916"/>
      </w:pPr>
      <w:r>
        <w:t>(dále jen OHD)</w:t>
      </w:r>
    </w:p>
    <w:p w:rsidR="00A2170C" w:rsidRDefault="00BE41B4">
      <w:pPr>
        <w:ind w:left="1483" w:right="1330"/>
      </w:pPr>
      <w:r>
        <w:t xml:space="preserve">STŘEDNÍ ŠKOLA ZEMĚDĚLSKÁ A vyšší ODBORNÁ ŠKOLA CHRUDIM se </w:t>
      </w:r>
      <w:proofErr w:type="gramStart"/>
      <w:r>
        <w:t>sídlem : Poděbradova</w:t>
      </w:r>
      <w:proofErr w:type="gramEnd"/>
      <w:r>
        <w:t xml:space="preserve"> 842, 537 60 Chrudim jednající : Ing. Stanislav Valášek, ředitel IČ :</w:t>
      </w:r>
      <w:r>
        <w:t xml:space="preserve"> 75075920 DIČ: CZ75075920 bankovní spojení: Komerční banka, a.s. pobočka Chrudim číslo účtu : 35-6492120267 / 0100 příspěvková organizace Pardubického kraje, zřízena Zřizovací listinou </w:t>
      </w:r>
      <w:proofErr w:type="spellStart"/>
      <w:proofErr w:type="gramStart"/>
      <w:r>
        <w:t>č.j</w:t>
      </w:r>
      <w:proofErr w:type="spellEnd"/>
      <w:r>
        <w:t xml:space="preserve"> .</w:t>
      </w:r>
      <w:proofErr w:type="gramEnd"/>
    </w:p>
    <w:p w:rsidR="00A2170C" w:rsidRDefault="00BE41B4">
      <w:pPr>
        <w:spacing w:after="483"/>
        <w:ind w:left="1502" w:right="916"/>
      </w:pPr>
      <w:proofErr w:type="spellStart"/>
      <w:r>
        <w:t>KrÚ</w:t>
      </w:r>
      <w:proofErr w:type="spellEnd"/>
      <w:r>
        <w:t xml:space="preserve"> 12332/2006 </w:t>
      </w:r>
      <w:r w:rsidR="00806131">
        <w:t>OŠ</w:t>
      </w:r>
      <w:r>
        <w:t>MS</w:t>
      </w:r>
    </w:p>
    <w:p w:rsidR="00A2170C" w:rsidRDefault="00BE41B4">
      <w:pPr>
        <w:spacing w:after="821"/>
        <w:ind w:left="1502" w:right="916"/>
      </w:pPr>
      <w:r>
        <w:t>dále jen člen)</w:t>
      </w:r>
    </w:p>
    <w:p w:rsidR="00A2170C" w:rsidRDefault="00BE41B4">
      <w:pPr>
        <w:spacing w:after="0"/>
        <w:ind w:left="10" w:right="893" w:hanging="10"/>
        <w:jc w:val="center"/>
      </w:pPr>
      <w:r>
        <w:rPr>
          <w:sz w:val="26"/>
        </w:rPr>
        <w:t>Článek 2</w:t>
      </w:r>
    </w:p>
    <w:p w:rsidR="00A2170C" w:rsidRDefault="00BE41B4">
      <w:pPr>
        <w:spacing w:after="231"/>
        <w:ind w:left="10" w:right="902" w:hanging="10"/>
        <w:jc w:val="center"/>
      </w:pPr>
      <w:r>
        <w:t>Dodávky OHI)</w:t>
      </w:r>
    </w:p>
    <w:p w:rsidR="00A2170C" w:rsidRDefault="00BE41B4">
      <w:pPr>
        <w:numPr>
          <w:ilvl w:val="0"/>
          <w:numId w:val="1"/>
        </w:numPr>
        <w:ind w:right="916" w:hanging="288"/>
      </w:pPr>
      <w:r>
        <w:t xml:space="preserve">Předmětem této Smlouvy je sjednání podmínek dodávek zboží od OFID ke členovi, a to osiv, průmyslových hnojiv, přípravků na ochranu rostlin, motorové nafty, bionafty, LTO, motorových olejů, tuků, mazadel, technických plynů, autobaterií, motouzů do vázacích </w:t>
      </w:r>
      <w:r>
        <w:t>lisů, konzervačních přípravků, krmných směsí, surovin pro výrobu krmných směsí, sortimentu náhradních dílů pro zemědělské stroje, pneumatik a jejich příslušenství. Ohledně tohoto zboží je 01-II) v postavení prodávajícího a člen v postavení kupujícího.</w:t>
      </w:r>
    </w:p>
    <w:p w:rsidR="00A2170C" w:rsidRDefault="00BE41B4">
      <w:pPr>
        <w:numPr>
          <w:ilvl w:val="0"/>
          <w:numId w:val="1"/>
        </w:numPr>
        <w:ind w:right="916" w:hanging="288"/>
      </w:pPr>
      <w:r>
        <w:t>Spec</w:t>
      </w:r>
      <w:r>
        <w:t>ifikace druhu a množství zboží bude určena vždy dílčími objednávkami člena.</w:t>
      </w:r>
    </w:p>
    <w:p w:rsidR="00A2170C" w:rsidRDefault="00BE41B4">
      <w:pPr>
        <w:spacing w:after="0"/>
        <w:ind w:left="10" w:right="854" w:hanging="10"/>
        <w:jc w:val="center"/>
      </w:pPr>
      <w:r>
        <w:rPr>
          <w:sz w:val="26"/>
        </w:rPr>
        <w:t>Článek 3</w:t>
      </w:r>
    </w:p>
    <w:p w:rsidR="00A2170C" w:rsidRDefault="00BE41B4">
      <w:pPr>
        <w:spacing w:after="437"/>
        <w:ind w:left="10" w:right="859" w:hanging="10"/>
        <w:jc w:val="center"/>
      </w:pPr>
      <w:r>
        <w:lastRenderedPageBreak/>
        <w:t>Dodávky člena</w:t>
      </w:r>
    </w:p>
    <w:p w:rsidR="00A2170C" w:rsidRDefault="00BE41B4">
      <w:pPr>
        <w:tabs>
          <w:tab w:val="center" w:pos="5071"/>
        </w:tabs>
        <w:ind w:left="0" w:right="0"/>
        <w:jc w:val="left"/>
      </w:pPr>
      <w:proofErr w:type="gramStart"/>
      <w:r>
        <w:t>l . Předmětem</w:t>
      </w:r>
      <w:proofErr w:type="gramEnd"/>
      <w:r>
        <w:t xml:space="preserve"> této Smlouvy je dále </w:t>
      </w:r>
      <w:r>
        <w:tab/>
        <w:t>podmínek :</w:t>
      </w:r>
    </w:p>
    <w:p w:rsidR="00A2170C" w:rsidRDefault="00BE41B4">
      <w:pPr>
        <w:numPr>
          <w:ilvl w:val="0"/>
          <w:numId w:val="2"/>
        </w:numPr>
        <w:ind w:right="916" w:hanging="365"/>
      </w:pPr>
      <w:r>
        <w:t>dodávek zemědělských produktů (dále jen zboží) od člena k O</w:t>
      </w:r>
      <w:r w:rsidR="00806131">
        <w:t>H</w:t>
      </w:r>
      <w:r>
        <w:t>D a</w:t>
      </w:r>
    </w:p>
    <w:p w:rsidR="00A2170C" w:rsidRDefault="00BE41B4">
      <w:pPr>
        <w:numPr>
          <w:ilvl w:val="0"/>
          <w:numId w:val="2"/>
        </w:numPr>
        <w:ind w:right="916" w:hanging="365"/>
      </w:pPr>
      <w:r>
        <w:t>služeb poskytovaných členem OH</w:t>
      </w:r>
      <w:r w:rsidR="00806131">
        <w:t>D</w:t>
      </w:r>
      <w:r>
        <w:t xml:space="preserve"> v souvislost</w:t>
      </w:r>
      <w:r>
        <w:t>i s dodávkami</w:t>
      </w:r>
    </w:p>
    <w:p w:rsidR="00A2170C" w:rsidRDefault="00BE41B4">
      <w:pPr>
        <w:spacing w:after="320"/>
        <w:ind w:left="1517" w:right="916" w:hanging="355"/>
      </w:pPr>
      <w:r>
        <w:t>Ohledně tohoto zboží je člen v postavení prodáv</w:t>
      </w:r>
      <w:r w:rsidR="00806131">
        <w:t>aj</w:t>
      </w:r>
      <w:r>
        <w:t>ícího a OHD v postavení kupujícího.</w:t>
      </w:r>
    </w:p>
    <w:p w:rsidR="00A2170C" w:rsidRDefault="00BE41B4">
      <w:pPr>
        <w:numPr>
          <w:ilvl w:val="0"/>
          <w:numId w:val="3"/>
        </w:numPr>
        <w:ind w:left="426" w:right="916" w:hanging="326"/>
      </w:pPr>
      <w:r>
        <w:t>Člen bude poskytovat O</w:t>
      </w:r>
      <w:r w:rsidR="00806131">
        <w:t>HD</w:t>
      </w:r>
      <w:r>
        <w:t xml:space="preserve"> služby, související s dodaným zbožím, v následujícím 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3624" name="Picture 3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" name="Picture 36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rozsahu:</w:t>
      </w:r>
    </w:p>
    <w:p w:rsidR="00A2170C" w:rsidRDefault="00BE41B4">
      <w:pPr>
        <w:numPr>
          <w:ilvl w:val="1"/>
          <w:numId w:val="3"/>
        </w:numPr>
        <w:ind w:right="916" w:hanging="365"/>
      </w:pPr>
      <w:r>
        <w:t>skladování zboží</w:t>
      </w:r>
    </w:p>
    <w:p w:rsidR="00A2170C" w:rsidRDefault="00BE41B4">
      <w:pPr>
        <w:numPr>
          <w:ilvl w:val="1"/>
          <w:numId w:val="3"/>
        </w:numPr>
        <w:ind w:right="916" w:hanging="365"/>
      </w:pPr>
      <w:r>
        <w:t>čištění zboží</w:t>
      </w:r>
    </w:p>
    <w:p w:rsidR="00A2170C" w:rsidRDefault="00BE41B4">
      <w:pPr>
        <w:ind w:left="1114" w:right="916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625" name="Picture 3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" name="Picture 36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c) sušení zboží</w:t>
      </w:r>
    </w:p>
    <w:p w:rsidR="00A2170C" w:rsidRDefault="00BE41B4">
      <w:pPr>
        <w:numPr>
          <w:ilvl w:val="1"/>
          <w:numId w:val="4"/>
        </w:numPr>
        <w:ind w:right="916" w:hanging="360"/>
      </w:pPr>
      <w:r>
        <w:t>nakládání a vykládání zboží včetně případné ostatní manipulace</w:t>
      </w:r>
    </w:p>
    <w:p w:rsidR="00A2170C" w:rsidRDefault="00BE41B4">
      <w:pPr>
        <w:numPr>
          <w:ilvl w:val="1"/>
          <w:numId w:val="4"/>
        </w:numPr>
        <w:ind w:right="916" w:hanging="360"/>
      </w:pPr>
      <w:r>
        <w:t>ostatní mechanizované polní práce prováděné prostřednictvím třetích osob</w:t>
      </w:r>
    </w:p>
    <w:p w:rsidR="00A2170C" w:rsidRDefault="00BE41B4">
      <w:pPr>
        <w:spacing w:after="299"/>
        <w:ind w:left="355" w:right="916"/>
      </w:pPr>
      <w:r>
        <w:t>Konkrétní rozsah služeb bude upřesněn u jednotlivých druhů zboží v Dodatku k této Smlouvě, Smluvní strany se dohodly, že</w:t>
      </w:r>
      <w:r>
        <w:t xml:space="preserve"> člen může poskytovat tyto služby i prostřednictvím třetích osob.</w:t>
      </w:r>
    </w:p>
    <w:p w:rsidR="00A2170C" w:rsidRDefault="00BE41B4">
      <w:pPr>
        <w:numPr>
          <w:ilvl w:val="0"/>
          <w:numId w:val="3"/>
        </w:numPr>
        <w:spacing w:after="547"/>
        <w:ind w:left="426" w:right="916" w:hanging="326"/>
      </w:pPr>
      <w:r>
        <w:t xml:space="preserve">Specifikace druhu a množství zboží, které je člen povinen na základě realizačních smluv dodávat </w:t>
      </w:r>
      <w:r w:rsidR="00806131">
        <w:t>OHD</w:t>
      </w:r>
      <w:r>
        <w:t>, je sjednána v příloze č. 1 této Smlouvy. Smluvní strany se dohodly, že člen je oprávně</w:t>
      </w:r>
      <w:r>
        <w:t xml:space="preserve">n se odchýlit od sjednaného množství zboží v rozsahu </w:t>
      </w:r>
      <w:r w:rsidR="00806131">
        <w:t>+/- 10 %</w:t>
      </w:r>
      <w:r>
        <w:t>, a to u jednotlivých druhů zboží a z celkového sjednaného množství u jednotlivých druhů zboží. Člen je oprávněn se odchýlit od sjednaného množství zboží ve větším rozsahu než 10 % pouze v příp</w:t>
      </w:r>
      <w:r>
        <w:t>adě neúrody a písemného nahlášení této skutečnosti před ukončením sklizně OHD, přičemž v takovém případě je člen oprávněn se odchýlit od sjednaného množství pouze v rozsahu průměrné odchylky, stanovené státními statistickými úřady, prokázané řádnými výkazy</w:t>
      </w:r>
      <w:r>
        <w:t xml:space="preserve"> či dokladem pojišťovny. Dodá-li člen větší množství zboží, než je stanoveno v této Smlouvě, může O</w:t>
      </w:r>
      <w:r w:rsidR="00806131">
        <w:t>H</w:t>
      </w:r>
      <w:r>
        <w:t>ID dodávku přijmout nebo může odmítnout přijetí přebytečného množství zboží.</w:t>
      </w:r>
    </w:p>
    <w:p w:rsidR="00A2170C" w:rsidRDefault="00BE41B4">
      <w:pPr>
        <w:spacing w:after="0"/>
        <w:ind w:left="10" w:right="907" w:hanging="10"/>
        <w:jc w:val="center"/>
      </w:pPr>
      <w:r>
        <w:rPr>
          <w:sz w:val="26"/>
        </w:rPr>
        <w:t>Článek 4</w:t>
      </w:r>
    </w:p>
    <w:p w:rsidR="00A2170C" w:rsidRDefault="00BE41B4">
      <w:pPr>
        <w:spacing w:after="245"/>
        <w:ind w:left="10" w:right="907" w:hanging="10"/>
        <w:jc w:val="center"/>
      </w:pPr>
      <w:r>
        <w:rPr>
          <w:sz w:val="26"/>
        </w:rPr>
        <w:t>Společné ustanovení pro dodávky</w:t>
      </w:r>
    </w:p>
    <w:p w:rsidR="00A2170C" w:rsidRDefault="00BE41B4">
      <w:pPr>
        <w:spacing w:after="294"/>
        <w:ind w:left="422" w:right="916" w:hanging="322"/>
      </w:pPr>
      <w:r>
        <w:t>l. Tato Smlouva obsahuje smluvních uje</w:t>
      </w:r>
      <w:r>
        <w:t xml:space="preserve">dnání, jež se stanou nedílnou součástí budoucích realizačních kupních smluv (dále jen realizační kupní smlouvy), uzavíraných mezi stranami této smlouvy dle </w:t>
      </w:r>
      <w:proofErr w:type="spellStart"/>
      <w:r>
        <w:t>ust</w:t>
      </w:r>
      <w:proofErr w:type="spellEnd"/>
      <w:r>
        <w:t xml:space="preserve">. 409 a násl. Obch. </w:t>
      </w:r>
      <w:proofErr w:type="gramStart"/>
      <w:r>
        <w:t>zák.</w:t>
      </w:r>
      <w:proofErr w:type="gramEnd"/>
      <w:r>
        <w:t xml:space="preserve"> na základě dílčích objednávek zboží a potvrzení těchto objednávek.</w:t>
      </w:r>
    </w:p>
    <w:p w:rsidR="00A2170C" w:rsidRDefault="00BE41B4">
      <w:pPr>
        <w:numPr>
          <w:ilvl w:val="0"/>
          <w:numId w:val="5"/>
        </w:numPr>
        <w:spacing w:after="299"/>
        <w:ind w:right="916" w:hanging="283"/>
      </w:pPr>
      <w:r>
        <w:t>Zboží bude dodáváno v termínech sjednaných v realizačních kupních smlouvách.</w:t>
      </w:r>
    </w:p>
    <w:p w:rsidR="00A2170C" w:rsidRDefault="00BE41B4">
      <w:pPr>
        <w:numPr>
          <w:ilvl w:val="0"/>
          <w:numId w:val="5"/>
        </w:numPr>
        <w:ind w:right="916" w:hanging="283"/>
      </w:pPr>
      <w:r>
        <w:t xml:space="preserve">Zboží dle čl. 2 a 3 této smlouvy bude dodáváno dle příslušných norem </w:t>
      </w:r>
      <w:proofErr w:type="gramStart"/>
      <w:r>
        <w:t xml:space="preserve">ČSN, </w:t>
      </w:r>
      <w:r>
        <w:t xml:space="preserve"> přičemž</w:t>
      </w:r>
      <w:proofErr w:type="gramEnd"/>
      <w:r>
        <w:t xml:space="preserve"> tyto normy jsou pro obě smluvní strany závazné. Případné odchylky od ČSN budou řešeny Dodatkem </w:t>
      </w:r>
      <w:r>
        <w:t>k této Smlouvě. Nafta bude dodávána dle ČSN EN 590.</w:t>
      </w:r>
    </w:p>
    <w:p w:rsidR="00A2170C" w:rsidRDefault="00BE41B4">
      <w:pPr>
        <w:spacing w:after="0"/>
        <w:ind w:left="10" w:right="854" w:hanging="10"/>
        <w:jc w:val="center"/>
      </w:pPr>
      <w:r>
        <w:rPr>
          <w:sz w:val="26"/>
        </w:rPr>
        <w:t>Článek 5</w:t>
      </w:r>
    </w:p>
    <w:p w:rsidR="00A2170C" w:rsidRDefault="00BE41B4">
      <w:pPr>
        <w:spacing w:after="231"/>
        <w:ind w:left="10" w:right="854" w:hanging="10"/>
        <w:jc w:val="center"/>
      </w:pPr>
      <w:r>
        <w:lastRenderedPageBreak/>
        <w:t>Kupní cena zboží</w:t>
      </w:r>
    </w:p>
    <w:p w:rsidR="00A2170C" w:rsidRDefault="00BE41B4">
      <w:pPr>
        <w:spacing w:after="263"/>
        <w:ind w:left="230" w:right="916" w:hanging="130"/>
      </w:pPr>
      <w:proofErr w:type="gramStart"/>
      <w:r>
        <w:t>l . Kupní</w:t>
      </w:r>
      <w:proofErr w:type="gramEnd"/>
      <w:r>
        <w:t xml:space="preserve"> ceny zboží uvedeného v čl. 2 dodávaného OHD budou smluvními stranami sjednány vždy při uzavření jednotlivé realizační kupní smlouvy za každou dodávku.</w:t>
      </w:r>
    </w:p>
    <w:p w:rsidR="00A2170C" w:rsidRDefault="00BE41B4">
      <w:pPr>
        <w:numPr>
          <w:ilvl w:val="0"/>
          <w:numId w:val="6"/>
        </w:numPr>
        <w:spacing w:after="284"/>
        <w:ind w:right="916" w:hanging="139"/>
      </w:pPr>
      <w:r>
        <w:t xml:space="preserve">Kupní ceny zboží </w:t>
      </w:r>
      <w:r>
        <w:t>a ceny služeb dle čl. 3 této smlouvy poskytovaných členem, budou smluvními stranami sjednány v Dodatku k této Smlouvě, přičemž uzavřením tohoto Dodatku je uzavřena realizační smlouva. Výše kupní ceny bude odvislá vždy od tržních cen zboží v běžném roce a o</w:t>
      </w:r>
      <w:r>
        <w:t xml:space="preserve">d termínu uskutečnění dodávky zboží. Kupní cena bude stanovena v paritě „A" - FCA naložený dopravní prostředek a v paritě „B” — kupní cena bez nákladů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6049" name="Picture 6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9" name="Picture 60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dopravy, jež hradí OHL).</w:t>
      </w:r>
    </w:p>
    <w:p w:rsidR="00A2170C" w:rsidRDefault="00BE41B4">
      <w:pPr>
        <w:numPr>
          <w:ilvl w:val="0"/>
          <w:numId w:val="6"/>
        </w:numPr>
        <w:spacing w:after="276"/>
        <w:ind w:right="916" w:hanging="139"/>
      </w:pPr>
      <w:r>
        <w:t>Sjednané kupní ceny a ceny zboží jsou stanoveny pro základní jakostní a dodací podmínky zboží dle ČSN. Cenové srážky a přirážky budou stanoveny vždy dle norem, platných pro zboží.</w:t>
      </w:r>
    </w:p>
    <w:p w:rsidR="00A2170C" w:rsidRDefault="00BE41B4">
      <w:pPr>
        <w:numPr>
          <w:ilvl w:val="0"/>
          <w:numId w:val="6"/>
        </w:numPr>
        <w:spacing w:after="282"/>
        <w:ind w:right="916" w:hanging="139"/>
      </w:pPr>
      <w:r>
        <w:t>Kupní ceny budou vždy uváděny bez DPH v příslušné sazbě dle zákona č. 235/20</w:t>
      </w:r>
      <w:r>
        <w:t>04 Sb. v platném znění.</w:t>
      </w:r>
    </w:p>
    <w:p w:rsidR="00A2170C" w:rsidRDefault="00BE41B4">
      <w:pPr>
        <w:spacing w:after="0"/>
        <w:ind w:left="10" w:right="874" w:hanging="10"/>
        <w:jc w:val="center"/>
      </w:pPr>
      <w:r>
        <w:rPr>
          <w:sz w:val="26"/>
        </w:rPr>
        <w:t>Článek 6</w:t>
      </w:r>
    </w:p>
    <w:p w:rsidR="00A2170C" w:rsidRDefault="00BE41B4">
      <w:pPr>
        <w:spacing w:after="248"/>
        <w:ind w:left="10" w:right="878" w:hanging="10"/>
        <w:jc w:val="center"/>
      </w:pPr>
      <w:r>
        <w:rPr>
          <w:sz w:val="26"/>
        </w:rPr>
        <w:t xml:space="preserve">Podmínky dodávek zboží dle čl. 2 </w:t>
      </w:r>
      <w:proofErr w:type="gramStart"/>
      <w:r>
        <w:rPr>
          <w:sz w:val="26"/>
        </w:rPr>
        <w:t>této</w:t>
      </w:r>
      <w:proofErr w:type="gramEnd"/>
      <w:r>
        <w:rPr>
          <w:sz w:val="26"/>
        </w:rPr>
        <w:t xml:space="preserve"> smlouvy</w:t>
      </w:r>
    </w:p>
    <w:p w:rsidR="00A2170C" w:rsidRDefault="00BE41B4">
      <w:pPr>
        <w:ind w:left="210" w:right="916" w:hanging="110"/>
      </w:pPr>
      <w:proofErr w:type="gramStart"/>
      <w:r>
        <w:t>l . Jednotlivé</w:t>
      </w:r>
      <w:proofErr w:type="gramEnd"/>
      <w:r>
        <w:t xml:space="preserve"> dodávky budou realizovány vždy na základě dílčí objednávky člena, která je návrhem na uzavření realizační kupní smlouvy, přičemž objednávka může být učiněna písemnou formou (za písemnou formu objednávky se považuje i objednávka učiněná faxem</w:t>
      </w:r>
      <w:r>
        <w:t xml:space="preserve"> či e-mailem) nebo ve vybraných případech telefonicky.</w:t>
      </w:r>
    </w:p>
    <w:p w:rsidR="00A2170C" w:rsidRDefault="00BE41B4">
      <w:pPr>
        <w:ind w:left="432" w:right="916"/>
      </w:pPr>
      <w:r>
        <w:t xml:space="preserve">Každá objednávka člena musí obsahovat nejméně tyto </w:t>
      </w:r>
      <w:proofErr w:type="gramStart"/>
      <w:r>
        <w:t>náležitosti :</w:t>
      </w:r>
      <w:proofErr w:type="gramEnd"/>
    </w:p>
    <w:p w:rsidR="00A2170C" w:rsidRDefault="00BE41B4">
      <w:pPr>
        <w:numPr>
          <w:ilvl w:val="0"/>
          <w:numId w:val="7"/>
        </w:numPr>
        <w:ind w:left="1497" w:right="916" w:hanging="355"/>
      </w:pPr>
      <w:r>
        <w:t>požadovaný druh a množství zboží včetně požadavku na speciální zařízení typu čerpadel, savice apod.,</w:t>
      </w:r>
    </w:p>
    <w:p w:rsidR="00A2170C" w:rsidRDefault="00BE41B4">
      <w:pPr>
        <w:numPr>
          <w:ilvl w:val="0"/>
          <w:numId w:val="7"/>
        </w:numPr>
        <w:ind w:left="1497" w:right="916" w:hanging="355"/>
      </w:pPr>
      <w:r>
        <w:t>kupní cenu,</w:t>
      </w:r>
    </w:p>
    <w:p w:rsidR="00A2170C" w:rsidRDefault="00BE41B4">
      <w:pPr>
        <w:numPr>
          <w:ilvl w:val="0"/>
          <w:numId w:val="7"/>
        </w:numPr>
        <w:ind w:left="1497" w:right="916" w:hanging="355"/>
      </w:pPr>
      <w:r>
        <w:t>termín dodávky,</w:t>
      </w:r>
    </w:p>
    <w:p w:rsidR="00A2170C" w:rsidRDefault="00BE41B4">
      <w:pPr>
        <w:numPr>
          <w:ilvl w:val="0"/>
          <w:numId w:val="7"/>
        </w:numPr>
        <w:ind w:left="1497" w:right="916" w:hanging="355"/>
      </w:pPr>
      <w:r>
        <w:t>místo p</w:t>
      </w:r>
      <w:r>
        <w:t>lnění v případě, kdy člen požaduje dodávku do jiného místa plnění, než je sjednáno v článku 5 odst. I Smlouvy,</w:t>
      </w:r>
    </w:p>
    <w:p w:rsidR="00A2170C" w:rsidRDefault="00BE41B4">
      <w:pPr>
        <w:numPr>
          <w:ilvl w:val="0"/>
          <w:numId w:val="7"/>
        </w:numPr>
        <w:spacing w:after="261"/>
        <w:ind w:left="1497" w:right="916" w:hanging="355"/>
      </w:pPr>
      <w:r>
        <w:t xml:space="preserve">odpovědnou </w:t>
      </w:r>
      <w:proofErr w:type="gramStart"/>
      <w:r>
        <w:t>osobu</w:t>
      </w:r>
      <w:proofErr w:type="gramEnd"/>
      <w:r>
        <w:t xml:space="preserve"> a telefonické spojení, jinak se k objednávce nepřihlíží.</w:t>
      </w:r>
    </w:p>
    <w:p w:rsidR="00A2170C" w:rsidRDefault="00BE41B4">
      <w:pPr>
        <w:numPr>
          <w:ilvl w:val="0"/>
          <w:numId w:val="8"/>
        </w:numPr>
        <w:spacing w:after="291"/>
        <w:ind w:right="916" w:hanging="341"/>
      </w:pPr>
      <w:r>
        <w:t>V případě akceptace návrhu realizační kupní smlouvy OHD je tento povine</w:t>
      </w:r>
      <w:r>
        <w:t>n neprodleně tuto skutečnost oznámit členovi, a to ve formě sjednané výše pro objednávku člena nebo samotným dodáním zboží kupujícímu.</w:t>
      </w:r>
    </w:p>
    <w:p w:rsidR="00A2170C" w:rsidRDefault="00BE41B4">
      <w:pPr>
        <w:numPr>
          <w:ilvl w:val="0"/>
          <w:numId w:val="8"/>
        </w:numPr>
        <w:spacing w:after="294"/>
        <w:ind w:right="916" w:hanging="341"/>
      </w:pPr>
      <w:r>
        <w:t>Smluvní strany se dohodly, že při akceptaci návrhu realizační kupní smlouvy OH</w:t>
      </w:r>
      <w:r w:rsidR="00806131">
        <w:t>D</w:t>
      </w:r>
      <w:r>
        <w:t>) bude zboží prodávajícím dodáno členovi v</w:t>
      </w:r>
      <w:r>
        <w:t xml:space="preserve"> termínech uvedených na objednávce.</w:t>
      </w:r>
    </w:p>
    <w:p w:rsidR="00A2170C" w:rsidRDefault="00BE41B4">
      <w:pPr>
        <w:numPr>
          <w:ilvl w:val="0"/>
          <w:numId w:val="8"/>
        </w:numPr>
        <w:ind w:right="916" w:hanging="341"/>
      </w:pPr>
      <w:r>
        <w:t xml:space="preserve">Zboží bude dodáváno OHD vždy s dodacími listy, jež musí obsahovat zejména tyto </w:t>
      </w:r>
      <w:proofErr w:type="gramStart"/>
      <w:r>
        <w:t>náležitosti :</w:t>
      </w:r>
      <w:proofErr w:type="gramEnd"/>
    </w:p>
    <w:p w:rsidR="00A2170C" w:rsidRDefault="00BE41B4">
      <w:pPr>
        <w:numPr>
          <w:ilvl w:val="1"/>
          <w:numId w:val="8"/>
        </w:numPr>
        <w:ind w:right="916" w:hanging="370"/>
      </w:pPr>
      <w:r>
        <w:t>druh zboží,</w:t>
      </w:r>
    </w:p>
    <w:p w:rsidR="00A2170C" w:rsidRDefault="00BE41B4">
      <w:pPr>
        <w:numPr>
          <w:ilvl w:val="1"/>
          <w:numId w:val="8"/>
        </w:numPr>
        <w:spacing w:after="55"/>
        <w:ind w:right="916" w:hanging="370"/>
      </w:pPr>
      <w:r>
        <w:t>množství zboží,</w:t>
      </w:r>
    </w:p>
    <w:p w:rsidR="00A2170C" w:rsidRDefault="00BE41B4">
      <w:pPr>
        <w:numPr>
          <w:ilvl w:val="1"/>
          <w:numId w:val="8"/>
        </w:numPr>
        <w:ind w:right="916" w:hanging="370"/>
      </w:pPr>
      <w:r>
        <w:lastRenderedPageBreak/>
        <w:t>potvrzení člena o převzetí množství a kvality zboží, deklarovaných OHD</w:t>
      </w:r>
      <w:r>
        <w:t>),</w:t>
      </w:r>
    </w:p>
    <w:p w:rsidR="00A2170C" w:rsidRDefault="00BE41B4">
      <w:pPr>
        <w:numPr>
          <w:ilvl w:val="1"/>
          <w:numId w:val="8"/>
        </w:numPr>
        <w:ind w:right="916" w:hanging="370"/>
      </w:pPr>
      <w:r>
        <w:t>datum dodání zboží.</w:t>
      </w:r>
    </w:p>
    <w:p w:rsidR="00A2170C" w:rsidRDefault="00BE41B4">
      <w:pPr>
        <w:numPr>
          <w:ilvl w:val="0"/>
          <w:numId w:val="8"/>
        </w:numPr>
        <w:ind w:right="916" w:hanging="341"/>
      </w:pPr>
      <w:r>
        <w:t xml:space="preserve">Místem plnění dodávek je sklad zboží člena s následujícím </w:t>
      </w:r>
      <w:proofErr w:type="gramStart"/>
      <w:r>
        <w:t>určením :</w:t>
      </w:r>
      <w:proofErr w:type="gramEnd"/>
    </w:p>
    <w:p w:rsidR="00A2170C" w:rsidRDefault="00BE41B4">
      <w:pPr>
        <w:numPr>
          <w:ilvl w:val="1"/>
          <w:numId w:val="8"/>
        </w:numPr>
        <w:spacing w:after="297"/>
        <w:ind w:right="916" w:hanging="370"/>
      </w:pPr>
      <w:r>
        <w:t xml:space="preserve">motorová nafta, bionafta, LTO — místo </w:t>
      </w:r>
      <w:proofErr w:type="gramStart"/>
      <w:r>
        <w:t>plnění :</w:t>
      </w:r>
      <w:proofErr w:type="gramEnd"/>
    </w:p>
    <w:p w:rsidR="00A2170C" w:rsidRDefault="00BE41B4">
      <w:pPr>
        <w:ind w:left="821" w:right="2909"/>
      </w:pPr>
      <w:r>
        <w:t>středisko</w:t>
      </w:r>
      <w:r>
        <w:tab/>
        <w:t>odpovědná</w:t>
      </w:r>
      <w:r>
        <w:tab/>
        <w:t>telefon :</w:t>
      </w:r>
      <w:r>
        <w:tab/>
        <w:t xml:space="preserve">místo </w:t>
      </w:r>
      <w:proofErr w:type="spellStart"/>
      <w:proofErr w:type="gramStart"/>
      <w:r>
        <w:t>místo</w:t>
      </w:r>
      <w:proofErr w:type="spellEnd"/>
      <w:r>
        <w:t xml:space="preserve"> : Vestec</w:t>
      </w:r>
      <w:proofErr w:type="gramEnd"/>
      <w:r>
        <w:tab/>
        <w:t xml:space="preserve">osoba : </w:t>
      </w:r>
      <w:proofErr w:type="spellStart"/>
      <w:r w:rsidR="00806131">
        <w:t>xxxxxxxxxxxxxxxxxxx</w:t>
      </w:r>
      <w:proofErr w:type="spellEnd"/>
      <w:r>
        <w:tab/>
        <w:t>bez čerpadla</w:t>
      </w:r>
    </w:p>
    <w:p w:rsidR="00A2170C" w:rsidRDefault="00806131">
      <w:pPr>
        <w:ind w:left="3466" w:right="916"/>
      </w:pPr>
      <w:proofErr w:type="spellStart"/>
      <w:r>
        <w:t>xxxxxxxxxxxxxxxx</w:t>
      </w:r>
      <w:proofErr w:type="spellEnd"/>
    </w:p>
    <w:p w:rsidR="00A2170C" w:rsidRDefault="00806131">
      <w:pPr>
        <w:ind w:left="3490" w:right="916"/>
      </w:pPr>
      <w:proofErr w:type="spellStart"/>
      <w:r>
        <w:t>xxxxxxxxxxxxxxxxx</w:t>
      </w:r>
      <w:proofErr w:type="spellEnd"/>
    </w:p>
    <w:p w:rsidR="00A2170C" w:rsidRDefault="00BE41B4">
      <w:pPr>
        <w:spacing w:after="100"/>
        <w:ind w:left="547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294376" cy="3049"/>
                <wp:effectExtent l="0" t="0" r="0" b="0"/>
                <wp:docPr id="29408" name="Group 29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4376" cy="3049"/>
                          <a:chOff x="0" y="0"/>
                          <a:chExt cx="5294376" cy="3049"/>
                        </a:xfrm>
                      </wpg:grpSpPr>
                      <wps:wsp>
                        <wps:cNvPr id="29407" name="Shape 29407"/>
                        <wps:cNvSpPr/>
                        <wps:spPr>
                          <a:xfrm>
                            <a:off x="0" y="0"/>
                            <a:ext cx="529437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4376" h="3049">
                                <a:moveTo>
                                  <a:pt x="0" y="1524"/>
                                </a:moveTo>
                                <a:lnTo>
                                  <a:pt x="529437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08" style="width:416.88pt;height:0.240067pt;mso-position-horizontal-relative:char;mso-position-vertical-relative:line" coordsize="52943,30">
                <v:shape id="Shape 29407" style="position:absolute;width:52943;height:30;left:0;top:0;" coordsize="5294376,3049" path="m0,1524l5294376,1524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2170C" w:rsidRDefault="00BE41B4">
      <w:pPr>
        <w:spacing w:after="161"/>
        <w:ind w:left="826" w:right="916"/>
      </w:pPr>
      <w:r>
        <w:t>středisko</w:t>
      </w:r>
      <w:r>
        <w:tab/>
        <w:t>odpovědná</w:t>
      </w:r>
      <w:r>
        <w:tab/>
      </w:r>
      <w:proofErr w:type="gramStart"/>
      <w:r>
        <w:t>telefon :</w:t>
      </w:r>
      <w:r>
        <w:tab/>
        <w:t>m</w:t>
      </w:r>
      <w:r>
        <w:t>ísto</w:t>
      </w:r>
      <w:proofErr w:type="gramEnd"/>
      <w:r>
        <w:t xml:space="preserve"> </w:t>
      </w:r>
      <w:proofErr w:type="spellStart"/>
      <w:r>
        <w:t>místo</w:t>
      </w:r>
      <w:proofErr w:type="spellEnd"/>
      <w:r>
        <w:t xml:space="preserve"> :</w:t>
      </w:r>
      <w:r>
        <w:tab/>
        <w:t>osoba :</w:t>
      </w:r>
      <w:r>
        <w:tab/>
        <w:t>s čerpadlem</w:t>
      </w:r>
      <w:r>
        <w:tab/>
        <w:t>bez čerpadla</w:t>
      </w:r>
    </w:p>
    <w:p w:rsidR="00A2170C" w:rsidRDefault="00BE41B4">
      <w:pPr>
        <w:spacing w:after="379"/>
        <w:ind w:left="562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263896" cy="3049"/>
                <wp:effectExtent l="0" t="0" r="0" b="0"/>
                <wp:docPr id="29410" name="Group 29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3896" cy="3049"/>
                          <a:chOff x="0" y="0"/>
                          <a:chExt cx="5263896" cy="3049"/>
                        </a:xfrm>
                      </wpg:grpSpPr>
                      <wps:wsp>
                        <wps:cNvPr id="29409" name="Shape 29409"/>
                        <wps:cNvSpPr/>
                        <wps:spPr>
                          <a:xfrm>
                            <a:off x="0" y="0"/>
                            <a:ext cx="52638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3896" h="3049">
                                <a:moveTo>
                                  <a:pt x="0" y="1524"/>
                                </a:moveTo>
                                <a:lnTo>
                                  <a:pt x="52638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10" style="width:414.48pt;height:0.240051pt;mso-position-horizontal-relative:char;mso-position-vertical-relative:line" coordsize="52638,30">
                <v:shape id="Shape 29409" style="position:absolute;width:52638;height:30;left:0;top:0;" coordsize="5263896,3049" path="m0,1524l52638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246" w:type="dxa"/>
        <w:tblInd w:w="82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765"/>
        <w:gridCol w:w="1309"/>
        <w:gridCol w:w="978"/>
        <w:gridCol w:w="1976"/>
        <w:gridCol w:w="334"/>
      </w:tblGrid>
      <w:tr w:rsidR="00A2170C">
        <w:trPr>
          <w:trHeight w:val="226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BE41B4">
            <w:pPr>
              <w:spacing w:after="0"/>
              <w:ind w:left="5" w:right="0"/>
              <w:jc w:val="left"/>
            </w:pPr>
            <w:r>
              <w:t>středisko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BE41B4">
            <w:pPr>
              <w:spacing w:after="0"/>
              <w:ind w:left="5" w:right="0"/>
              <w:jc w:val="left"/>
            </w:pPr>
            <w:r>
              <w:t>odpovědná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BE41B4">
            <w:pPr>
              <w:spacing w:after="0"/>
              <w:ind w:left="5" w:right="0"/>
              <w:jc w:val="left"/>
            </w:pPr>
            <w:proofErr w:type="spellStart"/>
            <w:r>
              <w:t>teiefon</w:t>
            </w:r>
            <w:proofErr w:type="spellEnd"/>
            <w:r>
              <w:t xml:space="preserve"> .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BE41B4">
            <w:pPr>
              <w:spacing w:after="0"/>
              <w:ind w:left="62" w:right="0"/>
              <w:jc w:val="center"/>
            </w:pPr>
            <w:r>
              <w:t>místo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A2170C">
            <w:pPr>
              <w:spacing w:after="160"/>
              <w:ind w:left="0" w:right="0"/>
              <w:jc w:val="left"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A2170C">
            <w:pPr>
              <w:spacing w:after="160"/>
              <w:ind w:left="0" w:right="0"/>
              <w:jc w:val="left"/>
            </w:pPr>
          </w:p>
        </w:tc>
      </w:tr>
      <w:tr w:rsidR="00A2170C">
        <w:trPr>
          <w:trHeight w:val="269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BE41B4">
            <w:pPr>
              <w:spacing w:after="0"/>
              <w:ind w:left="0" w:right="0"/>
              <w:jc w:val="left"/>
            </w:pPr>
            <w:r>
              <w:t xml:space="preserve">místo </w:t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7792" name="Picture 7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2" name="Picture 779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7793" name="Picture 7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" name="Picture 77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BE41B4">
            <w:pPr>
              <w:spacing w:after="0"/>
              <w:ind w:left="312" w:right="0"/>
              <w:jc w:val="left"/>
            </w:pPr>
            <w:r>
              <w:t>osoba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A2170C">
            <w:pPr>
              <w:spacing w:after="160"/>
              <w:ind w:left="0" w:right="0"/>
              <w:jc w:val="left"/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A2170C">
            <w:pPr>
              <w:spacing w:after="160"/>
              <w:ind w:left="0" w:right="0"/>
              <w:jc w:val="left"/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BE41B4">
            <w:pPr>
              <w:spacing w:after="0"/>
              <w:ind w:left="0" w:right="0"/>
              <w:jc w:val="left"/>
            </w:pPr>
            <w:r>
              <w:t>s čerpadlem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A2170C" w:rsidRDefault="00BE41B4">
            <w:pPr>
              <w:spacing w:after="0"/>
              <w:ind w:left="0" w:right="0"/>
            </w:pPr>
            <w:r>
              <w:t>bez</w:t>
            </w:r>
          </w:p>
        </w:tc>
      </w:tr>
    </w:tbl>
    <w:p w:rsidR="00A2170C" w:rsidRDefault="00BE41B4">
      <w:pPr>
        <w:spacing w:after="161"/>
        <w:ind w:left="830" w:right="916"/>
      </w:pPr>
      <w:r>
        <w:t>čerpadla</w:t>
      </w:r>
    </w:p>
    <w:p w:rsidR="00A2170C" w:rsidRDefault="00BE41B4">
      <w:pPr>
        <w:spacing w:after="372"/>
        <w:ind w:left="566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266945" cy="3049"/>
                <wp:effectExtent l="0" t="0" r="0" b="0"/>
                <wp:docPr id="29412" name="Group 29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6945" cy="3049"/>
                          <a:chOff x="0" y="0"/>
                          <a:chExt cx="5266945" cy="3049"/>
                        </a:xfrm>
                      </wpg:grpSpPr>
                      <wps:wsp>
                        <wps:cNvPr id="29411" name="Shape 29411"/>
                        <wps:cNvSpPr/>
                        <wps:spPr>
                          <a:xfrm>
                            <a:off x="0" y="0"/>
                            <a:ext cx="5266945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945" h="3049">
                                <a:moveTo>
                                  <a:pt x="0" y="1524"/>
                                </a:moveTo>
                                <a:lnTo>
                                  <a:pt x="5266945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12" style="width:414.72pt;height:0.240051pt;mso-position-horizontal-relative:char;mso-position-vertical-relative:line" coordsize="52669,30">
                <v:shape id="Shape 29411" style="position:absolute;width:52669;height:30;left:0;top:0;" coordsize="5266945,3049" path="m0,1524l5266945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2170C" w:rsidRDefault="00BE41B4">
      <w:pPr>
        <w:numPr>
          <w:ilvl w:val="1"/>
          <w:numId w:val="8"/>
        </w:numPr>
        <w:spacing w:after="172"/>
        <w:ind w:right="916" w:hanging="370"/>
      </w:pPr>
      <w:r>
        <w:t>motorové oleje, tuky, mazadla, technické plyny — místo plnění</w:t>
      </w:r>
      <w:r>
        <w:tab/>
        <w:t>Vestec</w:t>
      </w:r>
    </w:p>
    <w:p w:rsidR="00A2170C" w:rsidRDefault="00BE41B4">
      <w:pPr>
        <w:spacing w:after="101"/>
        <w:ind w:left="566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266945" cy="3049"/>
                <wp:effectExtent l="0" t="0" r="0" b="0"/>
                <wp:docPr id="29414" name="Group 29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6945" cy="3049"/>
                          <a:chOff x="0" y="0"/>
                          <a:chExt cx="5266945" cy="3049"/>
                        </a:xfrm>
                      </wpg:grpSpPr>
                      <wps:wsp>
                        <wps:cNvPr id="29413" name="Shape 29413"/>
                        <wps:cNvSpPr/>
                        <wps:spPr>
                          <a:xfrm>
                            <a:off x="0" y="0"/>
                            <a:ext cx="5266945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945" h="3049">
                                <a:moveTo>
                                  <a:pt x="0" y="1524"/>
                                </a:moveTo>
                                <a:lnTo>
                                  <a:pt x="5266945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14" style="width:414.72pt;height:0.240082pt;mso-position-horizontal-relative:char;mso-position-vertical-relative:line" coordsize="52669,30">
                <v:shape id="Shape 29413" style="position:absolute;width:52669;height:30;left:0;top:0;" coordsize="5266945,3049" path="m0,1524l5266945,1524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2170C" w:rsidRDefault="00BE41B4">
      <w:pPr>
        <w:numPr>
          <w:ilvl w:val="1"/>
          <w:numId w:val="8"/>
        </w:numPr>
        <w:spacing w:after="158"/>
        <w:ind w:right="916" w:hanging="370"/>
      </w:pPr>
      <w:r>
        <w:t xml:space="preserve">osiva, průmyslová hnojiva, přípravky na ochranu, krmné směsi, suroviny pro výrobu krmných směsí, náhradní díly pro zemědělské stroje, motouzy do vázacích lisů, konzervační přípravky, autobaterie, pneumatiky a jejich příslušenství - místo </w:t>
      </w:r>
      <w:proofErr w:type="gramStart"/>
      <w:r>
        <w:t>plnění : Vestec</w:t>
      </w:r>
      <w:proofErr w:type="gramEnd"/>
    </w:p>
    <w:p w:rsidR="00A2170C" w:rsidRDefault="00BE41B4">
      <w:pPr>
        <w:spacing w:after="374"/>
        <w:ind w:left="566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266945" cy="3049"/>
                <wp:effectExtent l="0" t="0" r="0" b="0"/>
                <wp:docPr id="29416" name="Group 29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6945" cy="3049"/>
                          <a:chOff x="0" y="0"/>
                          <a:chExt cx="5266945" cy="3049"/>
                        </a:xfrm>
                      </wpg:grpSpPr>
                      <wps:wsp>
                        <wps:cNvPr id="29415" name="Shape 29415"/>
                        <wps:cNvSpPr/>
                        <wps:spPr>
                          <a:xfrm>
                            <a:off x="0" y="0"/>
                            <a:ext cx="5266945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945" h="3049">
                                <a:moveTo>
                                  <a:pt x="0" y="1524"/>
                                </a:moveTo>
                                <a:lnTo>
                                  <a:pt x="5266945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16" style="width:414.72pt;height:0.240051pt;mso-position-horizontal-relative:char;mso-position-vertical-relative:line" coordsize="52669,30">
                <v:shape id="Shape 29415" style="position:absolute;width:52669;height:30;left:0;top:0;" coordsize="5266945,3049" path="m0,1524l5266945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2170C" w:rsidRDefault="00BE41B4">
      <w:pPr>
        <w:spacing w:after="266"/>
        <w:ind w:left="100" w:right="916"/>
      </w:pPr>
      <w:r>
        <w:t>Smluvní strany se mohou dohodnout na jiném než sjednaném místě plnění.</w:t>
      </w:r>
    </w:p>
    <w:p w:rsidR="00A2170C" w:rsidRDefault="00BE41B4">
      <w:pPr>
        <w:spacing w:after="825"/>
        <w:ind w:left="234" w:right="916" w:hanging="134"/>
      </w:pPr>
      <w:r>
        <w:t>7. Dopravu zboží zajišťuje OHD, kdy sjednaná cena zahrnuje vždy i cenu dopravy, pokud není v nabídkových listech OHD</w:t>
      </w:r>
      <w:r>
        <w:t>) uvedeno jinak.</w:t>
      </w:r>
    </w:p>
    <w:p w:rsidR="00A2170C" w:rsidRDefault="00BE41B4">
      <w:pPr>
        <w:spacing w:after="0"/>
        <w:ind w:left="10" w:right="782" w:hanging="10"/>
        <w:jc w:val="center"/>
      </w:pPr>
      <w:r>
        <w:rPr>
          <w:sz w:val="26"/>
        </w:rPr>
        <w:t>Článek 7</w:t>
      </w:r>
    </w:p>
    <w:p w:rsidR="00A2170C" w:rsidRDefault="00BE41B4">
      <w:pPr>
        <w:spacing w:after="249"/>
        <w:ind w:left="10" w:right="797" w:hanging="10"/>
        <w:jc w:val="center"/>
      </w:pPr>
      <w:r>
        <w:rPr>
          <w:sz w:val="26"/>
        </w:rPr>
        <w:t xml:space="preserve">Podmínky dodávek zboží členem dle čl. 3 </w:t>
      </w:r>
      <w:proofErr w:type="gramStart"/>
      <w:r>
        <w:rPr>
          <w:sz w:val="26"/>
        </w:rPr>
        <w:t>této</w:t>
      </w:r>
      <w:proofErr w:type="gramEnd"/>
      <w:r>
        <w:rPr>
          <w:sz w:val="26"/>
        </w:rPr>
        <w:t xml:space="preserve"> smlouvy</w:t>
      </w:r>
    </w:p>
    <w:p w:rsidR="00A2170C" w:rsidRDefault="00BE41B4">
      <w:pPr>
        <w:numPr>
          <w:ilvl w:val="0"/>
          <w:numId w:val="9"/>
        </w:numPr>
        <w:ind w:right="916" w:hanging="274"/>
      </w:pPr>
      <w:r>
        <w:t>Člen je povinen dodat zboží OHD</w:t>
      </w:r>
      <w:r>
        <w:rPr>
          <w:noProof/>
        </w:rPr>
        <w:drawing>
          <wp:inline distT="0" distB="0" distL="0" distR="0">
            <wp:extent cx="18288" cy="79270"/>
            <wp:effectExtent l="0" t="0" r="0" b="0"/>
            <wp:docPr id="29405" name="Picture 29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5" name="Picture 2940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70C" w:rsidRDefault="00BE41B4">
      <w:pPr>
        <w:numPr>
          <w:ilvl w:val="1"/>
          <w:numId w:val="9"/>
        </w:numPr>
        <w:ind w:right="916" w:hanging="365"/>
      </w:pPr>
      <w:r>
        <w:t>v paritě „A" - FCA naložený dopravní prostředek, kdy člen splní svou povinnost dodání zboží, když předá zboží, odbavené pro vývoz, do péče dopravce určeného OHD, nebo</w:t>
      </w:r>
    </w:p>
    <w:p w:rsidR="00A2170C" w:rsidRDefault="00BE41B4">
      <w:pPr>
        <w:numPr>
          <w:ilvl w:val="1"/>
          <w:numId w:val="9"/>
        </w:numPr>
        <w:spacing w:after="27"/>
        <w:ind w:right="916" w:hanging="365"/>
      </w:pPr>
      <w:r>
        <w:lastRenderedPageBreak/>
        <w:t>v p</w:t>
      </w:r>
      <w:r>
        <w:t>aritě „B”, kdy člen je povinen dodat OHL) zboží do místa plnění, určeného OHD v Dodatku.</w:t>
      </w:r>
    </w:p>
    <w:p w:rsidR="00A2170C" w:rsidRDefault="00BE41B4">
      <w:pPr>
        <w:ind w:left="475" w:right="916"/>
      </w:pPr>
      <w:r>
        <w:t>Konkrétní dodací podmínky v paritě „A” a v paritě „B” budou smluvními stranami sjednány v Dodatku.</w:t>
      </w:r>
    </w:p>
    <w:p w:rsidR="00A2170C" w:rsidRDefault="00BE41B4">
      <w:pPr>
        <w:numPr>
          <w:ilvl w:val="0"/>
          <w:numId w:val="9"/>
        </w:numPr>
        <w:spacing w:after="294"/>
        <w:ind w:right="916" w:hanging="274"/>
      </w:pPr>
      <w:r>
        <w:t xml:space="preserve">Druh a typ dopravního prostředku pro uskutečnění dodávky zboží určí </w:t>
      </w:r>
      <w:r>
        <w:t>OHD. V paritě „A” nakládání a vykládání příslušného dopravního prostředku zbožím z</w:t>
      </w:r>
      <w:r w:rsidR="00806131">
        <w:t>aj</w:t>
      </w:r>
      <w:r>
        <w:t xml:space="preserve">išťuje OHD v rámci poskytování služeb, v paritě „B </w:t>
      </w:r>
      <w:r>
        <w:rPr>
          <w:vertAlign w:val="superscript"/>
        </w:rPr>
        <w:t>G</w:t>
      </w:r>
      <w:r>
        <w:t xml:space="preserve">' nakládání a vykládání příslušného dopravního prostředku zbožím zajišťuje člen. Jednotlivé dodávky budou zasílány nebo </w:t>
      </w:r>
      <w:r>
        <w:t>dodávány na adresu příjemce, kterého určí 01-II).</w:t>
      </w:r>
    </w:p>
    <w:p w:rsidR="00A2170C" w:rsidRDefault="00BE41B4">
      <w:pPr>
        <w:numPr>
          <w:ilvl w:val="0"/>
          <w:numId w:val="9"/>
        </w:numPr>
        <w:spacing w:after="335"/>
        <w:ind w:right="916" w:hanging="274"/>
      </w:pPr>
      <w:r>
        <w:t xml:space="preserve">Zboží musí být členem naloženo do řádně vyčištěných a utěsněných dopravních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0764" name="Picture 10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" name="Picture 107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prostředků. Člen je povinen deklarovat brutto a netto hmotnost jednotlivých zásilek na průvodních dokladech dodávky. V případě, ž</w:t>
      </w:r>
      <w:r>
        <w:t xml:space="preserve">e příjemce zjistí větší hmotnostní rozdíl než 5 </w:t>
      </w:r>
      <w:r>
        <w:rPr>
          <w:vertAlign w:val="superscript"/>
        </w:rPr>
        <w:t>0</w:t>
      </w:r>
      <w:r>
        <w:t>/0, platí hmotnost zjištěná úředním vážením u příjemce, který tuto skutečnost oznámí OHD. Tuto skutečnost OH</w:t>
      </w:r>
      <w:r>
        <w:t>D neprodleně sdělí členovi.</w:t>
      </w:r>
    </w:p>
    <w:p w:rsidR="00A2170C" w:rsidRDefault="00BE41B4">
      <w:pPr>
        <w:numPr>
          <w:ilvl w:val="0"/>
          <w:numId w:val="9"/>
        </w:numPr>
        <w:spacing w:after="28"/>
        <w:ind w:right="916" w:hanging="274"/>
      </w:pPr>
      <w:r>
        <w:t>Člen je povinen dodávat zboží OHD vždy s průvodními doklady dodávky, k</w:t>
      </w:r>
      <w:r>
        <w:t xml:space="preserve">terými jsou nákupní lístky (tzv. univerzální doklad příjemka), jež musí obsahovat zejména tyto </w:t>
      </w:r>
      <w:proofErr w:type="gramStart"/>
      <w:r>
        <w:t>náležitosti :</w:t>
      </w:r>
      <w:proofErr w:type="gramEnd"/>
    </w:p>
    <w:p w:rsidR="00A2170C" w:rsidRDefault="00BE41B4">
      <w:pPr>
        <w:numPr>
          <w:ilvl w:val="1"/>
          <w:numId w:val="9"/>
        </w:numPr>
        <w:spacing w:after="33"/>
        <w:ind w:right="916" w:hanging="365"/>
      </w:pPr>
      <w:r>
        <w:t>označení smluvních stran</w:t>
      </w:r>
    </w:p>
    <w:p w:rsidR="00A2170C" w:rsidRDefault="00BE41B4">
      <w:pPr>
        <w:numPr>
          <w:ilvl w:val="1"/>
          <w:numId w:val="9"/>
        </w:numPr>
        <w:spacing w:after="37"/>
        <w:ind w:right="916" w:hanging="365"/>
      </w:pPr>
      <w:r>
        <w:t>druh zboží, příp. odrůda</w:t>
      </w:r>
    </w:p>
    <w:p w:rsidR="00A2170C" w:rsidRDefault="00BE41B4">
      <w:pPr>
        <w:numPr>
          <w:ilvl w:val="1"/>
          <w:numId w:val="9"/>
        </w:numPr>
        <w:ind w:right="916" w:hanging="365"/>
      </w:pPr>
      <w:r>
        <w:t>množství — skutečná a přepočtená hmotnost</w:t>
      </w:r>
    </w:p>
    <w:p w:rsidR="00A2170C" w:rsidRDefault="00BE41B4">
      <w:pPr>
        <w:numPr>
          <w:ilvl w:val="1"/>
          <w:numId w:val="9"/>
        </w:numPr>
        <w:ind w:right="916" w:hanging="365"/>
      </w:pPr>
      <w:r>
        <w:t>cena za jednotku hmotnosti</w:t>
      </w:r>
    </w:p>
    <w:p w:rsidR="00A2170C" w:rsidRDefault="00BE41B4">
      <w:pPr>
        <w:numPr>
          <w:ilvl w:val="1"/>
          <w:numId w:val="9"/>
        </w:numPr>
        <w:spacing w:after="819"/>
        <w:ind w:right="916" w:hanging="365"/>
      </w:pPr>
      <w:r>
        <w:t>datum dodávky</w:t>
      </w:r>
    </w:p>
    <w:p w:rsidR="00A2170C" w:rsidRDefault="00BE41B4">
      <w:pPr>
        <w:spacing w:after="0"/>
        <w:ind w:left="10" w:right="878" w:hanging="10"/>
        <w:jc w:val="center"/>
      </w:pPr>
      <w:r>
        <w:rPr>
          <w:sz w:val="26"/>
        </w:rPr>
        <w:t>Č</w:t>
      </w:r>
      <w:r>
        <w:rPr>
          <w:sz w:val="26"/>
        </w:rPr>
        <w:t>lánek 8</w:t>
      </w:r>
    </w:p>
    <w:p w:rsidR="00A2170C" w:rsidRDefault="00BE41B4">
      <w:pPr>
        <w:spacing w:after="249"/>
        <w:ind w:left="10" w:right="883" w:hanging="10"/>
        <w:jc w:val="center"/>
      </w:pPr>
      <w:r>
        <w:rPr>
          <w:sz w:val="26"/>
        </w:rPr>
        <w:t>Platební podmínky</w:t>
      </w:r>
    </w:p>
    <w:p w:rsidR="00A2170C" w:rsidRDefault="00BE41B4">
      <w:pPr>
        <w:spacing w:after="315"/>
        <w:ind w:left="489" w:right="916" w:hanging="389"/>
      </w:pPr>
      <w:proofErr w:type="gramStart"/>
      <w:r>
        <w:t>l . OH</w:t>
      </w:r>
      <w:r>
        <w:t>D</w:t>
      </w:r>
      <w:proofErr w:type="gramEnd"/>
      <w:r>
        <w:t xml:space="preserve"> je povinen uhradit kupní cenu dodaného zboží v termínech splatnosti kupních cen zboží, jež budou v paritě „A” a v paritě „B” smluvními stranami sjednány v Dodatku. Smluvní strany se dohodly, že člen bude provádět vyúčtování posky</w:t>
      </w:r>
      <w:r>
        <w:t>tnutých služeb OHD zároveň s vyúčtováním kupní ceny dodaného zboží.</w:t>
      </w:r>
    </w:p>
    <w:p w:rsidR="00A2170C" w:rsidRDefault="00BE41B4">
      <w:pPr>
        <w:numPr>
          <w:ilvl w:val="0"/>
          <w:numId w:val="10"/>
        </w:numPr>
        <w:spacing w:after="297"/>
        <w:ind w:right="916" w:hanging="360"/>
      </w:pPr>
      <w:r>
        <w:t>Člen je povinen hradit kupní cenu dodaného zboží v termínu splatnosti kupních cen zboží dle jednotlivých objednávek.</w:t>
      </w:r>
    </w:p>
    <w:p w:rsidR="00A2170C" w:rsidRDefault="00BE41B4">
      <w:pPr>
        <w:numPr>
          <w:ilvl w:val="0"/>
          <w:numId w:val="10"/>
        </w:numPr>
        <w:spacing w:after="315"/>
        <w:ind w:right="916" w:hanging="360"/>
      </w:pPr>
      <w:r>
        <w:t>Kupní cena je splatná ve sjednaných termínech splatnosti bezhotovostním</w:t>
      </w:r>
      <w:r>
        <w:t xml:space="preserve"> převodem. Kupní cena bude hrazena vždy na základě účetního dokladu faktury, kterou je oprávněná strana povinna vystavit a doručit druhé straně za jednotlivé dodávky zboží vždy do IO dnů ode dne realizace dodávky zboží.</w:t>
      </w:r>
    </w:p>
    <w:p w:rsidR="00A2170C" w:rsidRDefault="00BE41B4">
      <w:pPr>
        <w:numPr>
          <w:ilvl w:val="0"/>
          <w:numId w:val="10"/>
        </w:numPr>
        <w:spacing w:after="273"/>
        <w:ind w:right="916" w:hanging="360"/>
      </w:pPr>
      <w:r>
        <w:t xml:space="preserve">Smluvní strany </w:t>
      </w:r>
      <w:proofErr w:type="gramStart"/>
      <w:r>
        <w:t>se</w:t>
      </w:r>
      <w:proofErr w:type="gramEnd"/>
      <w:r>
        <w:t xml:space="preserve"> v souladu s </w:t>
      </w:r>
      <w:proofErr w:type="spellStart"/>
      <w:r>
        <w:t>ust</w:t>
      </w:r>
      <w:proofErr w:type="spellEnd"/>
      <w:r>
        <w:t>. Š</w:t>
      </w:r>
      <w:r>
        <w:t xml:space="preserve"> 525 Občanského zákoníku dohodly, že pohledávka představující právo na úhradu kupní ceny dodaného zboží a služeb dle realizační smlouvy </w:t>
      </w:r>
      <w:r>
        <w:lastRenderedPageBreak/>
        <w:t>včetně příslušenství pohledávky nemůže být postoupena jinému subjektu, nedohodnou-li se smluvní strany jinak. Smluvní st</w:t>
      </w:r>
      <w:r>
        <w:t xml:space="preserve">rany se dohodly, že tímto smluvním ujednáním je v celém rozsahu vyloučeno postupovat shora specifikované pohledávky, a to jak pohledávky splatné, tak nesplatné, tak i budoucí. Smluvní strany činí nesporným, že toto smluvní ujednání o nemožnosti postoupení </w:t>
      </w:r>
      <w:r>
        <w:t>pohledávky, obsažené v tomto odst. 2 článku 5 Smlouvy, platí a je účinné i po ukončení doby trvání této Smlouvy či realizační smlouvy.</w:t>
      </w:r>
    </w:p>
    <w:p w:rsidR="00A2170C" w:rsidRDefault="00BE41B4">
      <w:pPr>
        <w:numPr>
          <w:ilvl w:val="0"/>
          <w:numId w:val="10"/>
        </w:numPr>
        <w:ind w:right="916" w:hanging="360"/>
      </w:pPr>
      <w:r>
        <w:t>Kupní cena je uhrazena dnem připsání částky na účet oprávněné strany.</w:t>
      </w:r>
    </w:p>
    <w:p w:rsidR="00A2170C" w:rsidRDefault="00BE41B4">
      <w:pPr>
        <w:numPr>
          <w:ilvl w:val="0"/>
          <w:numId w:val="10"/>
        </w:numPr>
        <w:spacing w:after="536"/>
        <w:ind w:right="916" w:hanging="360"/>
      </w:pPr>
      <w:r>
        <w:t>Smluvní strany se dohodly, že vzájemné pohledávky stran z této Smlouvy a realizačních smluv, tj. pohledávky představující kupní cenu poskytnutých služeb, budou v příslušném rozsahu započítávány, a to jednostranným zápočtem či dohodou.</w:t>
      </w:r>
    </w:p>
    <w:p w:rsidR="00A2170C" w:rsidRDefault="00BE41B4">
      <w:pPr>
        <w:spacing w:after="0"/>
        <w:ind w:left="10" w:right="1325" w:hanging="10"/>
        <w:jc w:val="center"/>
      </w:pPr>
      <w:r>
        <w:rPr>
          <w:sz w:val="26"/>
        </w:rPr>
        <w:t>Č</w:t>
      </w:r>
      <w:r>
        <w:rPr>
          <w:sz w:val="26"/>
        </w:rPr>
        <w:t>lánek 9</w:t>
      </w:r>
    </w:p>
    <w:p w:rsidR="00A2170C" w:rsidRDefault="00BE41B4">
      <w:pPr>
        <w:spacing w:after="287"/>
        <w:ind w:left="10" w:right="1334" w:hanging="10"/>
        <w:jc w:val="center"/>
      </w:pPr>
      <w:r>
        <w:rPr>
          <w:sz w:val="26"/>
        </w:rPr>
        <w:t>Vady zboží</w:t>
      </w:r>
    </w:p>
    <w:p w:rsidR="00A2170C" w:rsidRDefault="00BE41B4">
      <w:pPr>
        <w:spacing w:after="252"/>
        <w:ind w:left="494" w:right="916" w:hanging="394"/>
      </w:pPr>
      <w:proofErr w:type="gramStart"/>
      <w:r>
        <w:t>l</w:t>
      </w:r>
      <w:r>
        <w:t xml:space="preserve"> . Odpovědnost</w:t>
      </w:r>
      <w:proofErr w:type="gramEnd"/>
      <w:r>
        <w:t xml:space="preserve"> za vady zboží se řídí </w:t>
      </w:r>
      <w:proofErr w:type="spellStart"/>
      <w:r>
        <w:t>ust</w:t>
      </w:r>
      <w:proofErr w:type="spellEnd"/>
      <w:r>
        <w:t xml:space="preserve">. Š 422 a násl. Obch. </w:t>
      </w:r>
      <w:proofErr w:type="gramStart"/>
      <w:r>
        <w:t>zák.</w:t>
      </w:r>
      <w:proofErr w:type="gramEnd"/>
      <w:r>
        <w:t xml:space="preserve">, nároky z vad zboží se řídí </w:t>
      </w:r>
      <w:proofErr w:type="spellStart"/>
      <w:r>
        <w:t>ust</w:t>
      </w:r>
      <w:proofErr w:type="spellEnd"/>
      <w:r>
        <w:t xml:space="preserve">. 436 a násl. Obch. </w:t>
      </w:r>
      <w:proofErr w:type="gramStart"/>
      <w:r>
        <w:t>zák.</w:t>
      </w:r>
      <w:proofErr w:type="gramEnd"/>
      <w:r>
        <w:t>, není-li v této Smlouvě dohodnuto jinak.</w:t>
      </w:r>
    </w:p>
    <w:p w:rsidR="00A2170C" w:rsidRDefault="00BE41B4">
      <w:pPr>
        <w:numPr>
          <w:ilvl w:val="0"/>
          <w:numId w:val="11"/>
        </w:numPr>
        <w:spacing w:after="275"/>
        <w:ind w:right="916" w:hanging="346"/>
      </w:pPr>
      <w:r>
        <w:t>Smluvní strany se dohodly, že kupující je povinen prohlédnout zboží při jeho převzetí od pro</w:t>
      </w:r>
      <w:r>
        <w:t>dávajícího.</w:t>
      </w:r>
    </w:p>
    <w:p w:rsidR="00A2170C" w:rsidRDefault="00BE41B4">
      <w:pPr>
        <w:numPr>
          <w:ilvl w:val="0"/>
          <w:numId w:val="11"/>
        </w:numPr>
        <w:spacing w:after="273"/>
        <w:ind w:right="916" w:hanging="346"/>
      </w:pPr>
      <w:r>
        <w:t>V případě, že prodávající nesouhlasí s výsledky rozborů vlastností dodaného zboží, předložených kupujícím, předloží kupující neprodleně vzorky zboží orgánu oprávněnému rozhodnout o jakosti zboží tj. u potravinářského obilí ČZPI Hradec Králové 2</w:t>
      </w:r>
      <w:r>
        <w:t xml:space="preserve">2 - </w:t>
      </w:r>
      <w:proofErr w:type="spellStart"/>
      <w:r>
        <w:t>Březhrad</w:t>
      </w:r>
      <w:proofErr w:type="spellEnd"/>
      <w:r>
        <w:t>, u krmného obilí ÚKZÚZ Havlíčkův Brod. Zdravotní nezávadnost zboží se posuzuje dle požadavků jednotlivých druhových norem, při podezření z kontaminace rozhoduje orgán SVS — Státní veterinární ústav Pardubice, u potravinářského obilí KHES Pardu</w:t>
      </w:r>
      <w:r>
        <w:t>bice. Náklady vynaložené na posuzování a rozhodování o jakosti zboží je člen povinen uhradit OH</w:t>
      </w:r>
      <w:r>
        <w:t>D v případě, že rozhodnutí o jakosti je v neprospěch člena, tj. že zjištěné výsledky jakosti zboží neodpovídaly jakosti zboží deklarované členem. Náklady jsou s</w:t>
      </w:r>
      <w:r>
        <w:t>platné do 30 dnů ode dne předložení výsledků rozboru členu.</w:t>
      </w:r>
    </w:p>
    <w:p w:rsidR="00A2170C" w:rsidRDefault="00BE41B4">
      <w:pPr>
        <w:numPr>
          <w:ilvl w:val="0"/>
          <w:numId w:val="11"/>
        </w:numPr>
        <w:ind w:right="916" w:hanging="346"/>
      </w:pPr>
      <w:r>
        <w:t>Kupující je povinen reklamovat vadné zboží u prodávajícího, tj. informovat prodávajícího o veškerých vadách zboží, týkajících se množství a jakosti dodaného zboží, nejpozději do 3 kalendářních dnů</w:t>
      </w:r>
      <w:r>
        <w:t xml:space="preserve"> ode dne následujícího po dni dodání zboží. V případě, že kupující nepodá zprávu prodávajícímu o vadách zboží ve lhůtě, sjednané v tomto odstavci smlouvy, právo kupujícího z vad zboží nebude prodávajícím uznáno a nemůže být přiznáno v soudním řízení.</w:t>
      </w:r>
    </w:p>
    <w:p w:rsidR="00A2170C" w:rsidRDefault="00BE41B4">
      <w:pPr>
        <w:ind w:left="456" w:right="916"/>
      </w:pPr>
      <w:r>
        <w:t>Každá</w:t>
      </w:r>
      <w:r>
        <w:t xml:space="preserve"> reklamace vad zboží musí být učiněna písemně a musí obsahovat nejméně tyto </w:t>
      </w:r>
      <w:proofErr w:type="gramStart"/>
      <w:r>
        <w:t>náležitosti :</w:t>
      </w:r>
      <w:proofErr w:type="gramEnd"/>
    </w:p>
    <w:p w:rsidR="00A2170C" w:rsidRDefault="00BE41B4">
      <w:pPr>
        <w:numPr>
          <w:ilvl w:val="1"/>
          <w:numId w:val="11"/>
        </w:numPr>
        <w:ind w:right="916" w:hanging="360"/>
      </w:pPr>
      <w:r>
        <w:t>druh a množství reklamovaného zboží,</w:t>
      </w:r>
    </w:p>
    <w:p w:rsidR="00A2170C" w:rsidRDefault="00BE41B4">
      <w:pPr>
        <w:numPr>
          <w:ilvl w:val="1"/>
          <w:numId w:val="11"/>
        </w:numPr>
        <w:ind w:right="916" w:hanging="360"/>
      </w:pPr>
      <w:r>
        <w:t>datum dodávky reklamovaného zbožím,</w:t>
      </w:r>
    </w:p>
    <w:p w:rsidR="00A2170C" w:rsidRDefault="00BE41B4">
      <w:pPr>
        <w:numPr>
          <w:ilvl w:val="1"/>
          <w:numId w:val="11"/>
        </w:numPr>
        <w:ind w:right="916" w:hanging="360"/>
      </w:pPr>
      <w:r>
        <w:t>popis vady,</w:t>
      </w:r>
    </w:p>
    <w:p w:rsidR="00A2170C" w:rsidRDefault="00BE41B4">
      <w:pPr>
        <w:numPr>
          <w:ilvl w:val="1"/>
          <w:numId w:val="11"/>
        </w:numPr>
        <w:ind w:right="916" w:hanging="360"/>
      </w:pPr>
      <w:r>
        <w:t>datum zjištění vady,</w:t>
      </w:r>
    </w:p>
    <w:p w:rsidR="00A2170C" w:rsidRDefault="00BE41B4">
      <w:pPr>
        <w:numPr>
          <w:ilvl w:val="1"/>
          <w:numId w:val="11"/>
        </w:numPr>
        <w:spacing w:after="550"/>
        <w:ind w:right="916" w:hanging="360"/>
      </w:pPr>
      <w:r>
        <w:lastRenderedPageBreak/>
        <w:t>podpis odpovědného zástupce kupujícího, jinak se k reklamaci kupujícího nepřihlíží.</w:t>
      </w:r>
    </w:p>
    <w:p w:rsidR="00A2170C" w:rsidRDefault="00BE41B4">
      <w:pPr>
        <w:spacing w:after="0"/>
        <w:ind w:left="10" w:right="816" w:hanging="10"/>
        <w:jc w:val="center"/>
      </w:pPr>
      <w:r>
        <w:rPr>
          <w:sz w:val="26"/>
        </w:rPr>
        <w:t>Článek 10</w:t>
      </w:r>
    </w:p>
    <w:p w:rsidR="00A2170C" w:rsidRDefault="00BE41B4">
      <w:pPr>
        <w:spacing w:after="319"/>
        <w:ind w:left="10" w:right="806" w:hanging="10"/>
        <w:jc w:val="center"/>
      </w:pPr>
      <w:r>
        <w:rPr>
          <w:sz w:val="26"/>
        </w:rPr>
        <w:t>Obchodní úrok</w:t>
      </w:r>
    </w:p>
    <w:p w:rsidR="00A2170C" w:rsidRDefault="00BE41B4">
      <w:pPr>
        <w:ind w:left="220" w:right="916" w:hanging="120"/>
      </w:pPr>
      <w:proofErr w:type="gramStart"/>
      <w:r>
        <w:t>l . V případě</w:t>
      </w:r>
      <w:proofErr w:type="gramEnd"/>
      <w:r>
        <w:t xml:space="preserve"> prodlení s úhradou kupní ceny se povinná strana zavazuje uhradit obchodní úrok ve výši 0,03 % z dlužné částky za každý den prodlení.</w:t>
      </w:r>
    </w:p>
    <w:p w:rsidR="00A2170C" w:rsidRDefault="00BE41B4">
      <w:pPr>
        <w:spacing w:after="0"/>
        <w:ind w:left="10" w:right="830" w:hanging="10"/>
        <w:jc w:val="center"/>
      </w:pPr>
      <w:r>
        <w:rPr>
          <w:sz w:val="26"/>
        </w:rPr>
        <w:t>Článek 11</w:t>
      </w:r>
      <w:r>
        <w:rPr>
          <w:noProof/>
        </w:rPr>
        <w:drawing>
          <wp:inline distT="0" distB="0" distL="0" distR="0">
            <wp:extent cx="15240" cy="6098"/>
            <wp:effectExtent l="0" t="0" r="0" b="0"/>
            <wp:docPr id="15180" name="Picture 15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" name="Picture 151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70C" w:rsidRDefault="00BE41B4">
      <w:pPr>
        <w:spacing w:after="325"/>
        <w:ind w:left="10" w:right="830" w:hanging="10"/>
        <w:jc w:val="center"/>
      </w:pPr>
      <w:r>
        <w:rPr>
          <w:sz w:val="26"/>
        </w:rPr>
        <w:t>Podstatné porušení Smlouvy</w:t>
      </w:r>
    </w:p>
    <w:p w:rsidR="00A2170C" w:rsidRDefault="00BE41B4">
      <w:pPr>
        <w:ind w:left="100" w:right="916"/>
      </w:pPr>
      <w:proofErr w:type="gramStart"/>
      <w:r>
        <w:t>l . Za</w:t>
      </w:r>
      <w:proofErr w:type="gramEnd"/>
      <w:r>
        <w:t xml:space="preserve"> podstatné porušení Smlouvy je považováno zejména :</w:t>
      </w:r>
    </w:p>
    <w:p w:rsidR="00A2170C" w:rsidRDefault="00BE41B4">
      <w:pPr>
        <w:numPr>
          <w:ilvl w:val="0"/>
          <w:numId w:val="12"/>
        </w:numPr>
        <w:ind w:right="916" w:hanging="350"/>
      </w:pPr>
      <w:r>
        <w:t>prodlení povinné strany s úhradou kupní ceny dodaného zboží o více než 10</w:t>
      </w:r>
      <w:bookmarkStart w:id="0" w:name="_GoBack"/>
      <w:bookmarkEnd w:id="0"/>
      <w:r>
        <w:t xml:space="preserve"> kalendářních dnů ode dne lhůty splatnosti. V tomto případě má oprávněná strana právo p</w:t>
      </w:r>
      <w:r>
        <w:t>ozastavit další dodávky zboží až do doby zaplacení a toto pozastavení se nepovažuje za porušení smlouvy.</w:t>
      </w:r>
    </w:p>
    <w:p w:rsidR="00A2170C" w:rsidRDefault="00BE41B4">
      <w:pPr>
        <w:numPr>
          <w:ilvl w:val="0"/>
          <w:numId w:val="12"/>
        </w:numPr>
        <w:spacing w:after="313"/>
        <w:ind w:right="916" w:hanging="350"/>
      </w:pPr>
      <w:r>
        <w:t>prodlení povinné strany s dodáním zboží o více než 10 kalendářních dnů ode dne termínu dodávky sjednaného v realizační kupní smlouvě.</w:t>
      </w:r>
    </w:p>
    <w:p w:rsidR="00A2170C" w:rsidRDefault="00BE41B4">
      <w:pPr>
        <w:spacing w:after="556"/>
        <w:ind w:left="374" w:right="916" w:hanging="274"/>
      </w:pPr>
      <w:r>
        <w:t>2. V případě podstatného porušení Smlouvy dle předchozího odstavce Smlouvy je druhá smluvní strana oprávněna od Smlouvy odstoupit. Odstoupením od Smlouvy Smlouva zaniká, a to dnem doručení oznámení o odstoupení druhé smluvní straně.</w:t>
      </w:r>
    </w:p>
    <w:p w:rsidR="00A2170C" w:rsidRDefault="00BE41B4">
      <w:pPr>
        <w:spacing w:after="0"/>
        <w:ind w:left="10" w:right="854" w:hanging="10"/>
        <w:jc w:val="center"/>
      </w:pPr>
      <w:r>
        <w:rPr>
          <w:sz w:val="26"/>
        </w:rPr>
        <w:t>Článek 12</w:t>
      </w:r>
    </w:p>
    <w:p w:rsidR="00A2170C" w:rsidRDefault="00BE41B4">
      <w:pPr>
        <w:spacing w:after="292"/>
        <w:ind w:left="10" w:right="859" w:hanging="10"/>
        <w:jc w:val="center"/>
      </w:pPr>
      <w:r>
        <w:rPr>
          <w:sz w:val="26"/>
        </w:rPr>
        <w:t>Přechod vlast</w:t>
      </w:r>
      <w:r>
        <w:rPr>
          <w:sz w:val="26"/>
        </w:rPr>
        <w:t>nického práva ke zboží a nebezpečí škody na zboží</w:t>
      </w:r>
    </w:p>
    <w:p w:rsidR="00A2170C" w:rsidRDefault="00BE41B4">
      <w:pPr>
        <w:spacing w:after="297"/>
        <w:ind w:left="220" w:right="916" w:hanging="120"/>
      </w:pPr>
      <w:r>
        <w:t>1. Kupující nabývá vlastnického práva ke zboží, jakmile je mu dodané zboží prodávajícím či osobou zmocněnou prodávajícím předáno.</w:t>
      </w:r>
    </w:p>
    <w:p w:rsidR="00A2170C" w:rsidRDefault="00BE41B4">
      <w:pPr>
        <w:spacing w:after="561"/>
        <w:ind w:left="244" w:right="916" w:hanging="144"/>
      </w:pPr>
      <w:r>
        <w:t>2, Nebezpečí škody na zboží přechází na kupujícího v době, kdy převezme zbož</w:t>
      </w:r>
      <w:r>
        <w:t>í od prodávajícího.</w:t>
      </w:r>
    </w:p>
    <w:p w:rsidR="00A2170C" w:rsidRDefault="00BE41B4">
      <w:pPr>
        <w:spacing w:after="0"/>
        <w:ind w:left="10" w:right="883" w:hanging="10"/>
        <w:jc w:val="center"/>
      </w:pPr>
      <w:r>
        <w:rPr>
          <w:sz w:val="26"/>
        </w:rPr>
        <w:t>Článek 13</w:t>
      </w:r>
    </w:p>
    <w:p w:rsidR="00A2170C" w:rsidRDefault="00BE41B4">
      <w:pPr>
        <w:spacing w:after="257"/>
        <w:ind w:left="10" w:right="893" w:hanging="10"/>
        <w:jc w:val="center"/>
      </w:pPr>
      <w:r>
        <w:rPr>
          <w:sz w:val="26"/>
        </w:rPr>
        <w:t>Doba trvání Smlouvy</w:t>
      </w:r>
    </w:p>
    <w:p w:rsidR="00A2170C" w:rsidRDefault="00BE41B4">
      <w:pPr>
        <w:numPr>
          <w:ilvl w:val="0"/>
          <w:numId w:val="13"/>
        </w:numPr>
        <w:spacing w:after="308"/>
        <w:ind w:right="916" w:hanging="341"/>
      </w:pPr>
      <w:r>
        <w:t>Smlouva se uzavírá na dobu neurčitou počínaje dnem jejího podpisu smluvními stranami.</w:t>
      </w:r>
    </w:p>
    <w:p w:rsidR="00A2170C" w:rsidRDefault="00BE41B4">
      <w:pPr>
        <w:numPr>
          <w:ilvl w:val="0"/>
          <w:numId w:val="13"/>
        </w:numPr>
        <w:spacing w:after="297"/>
        <w:ind w:right="916" w:hanging="341"/>
      </w:pPr>
      <w:r>
        <w:t xml:space="preserve">Obě smluvní strany jsou oprávněny tuto Rámcovou smlouvu vypovědět, přičemž výpovědní lhůta činí 6 měsíců a počíná běžet </w:t>
      </w:r>
      <w:r>
        <w:t>první kalendářní den následující po měsíci, v němž byla výpověď druhé smluvní straně doručena. Výpověď musí být písemná a doručená druhé smluvní straně, jinak je neplatná.</w:t>
      </w:r>
    </w:p>
    <w:p w:rsidR="00A2170C" w:rsidRDefault="00BE41B4">
      <w:pPr>
        <w:spacing w:after="0"/>
        <w:ind w:left="10" w:right="907" w:hanging="10"/>
        <w:jc w:val="center"/>
      </w:pPr>
      <w:r>
        <w:rPr>
          <w:sz w:val="26"/>
        </w:rPr>
        <w:lastRenderedPageBreak/>
        <w:t>Článek 14</w:t>
      </w:r>
    </w:p>
    <w:p w:rsidR="00A2170C" w:rsidRDefault="00BE41B4">
      <w:pPr>
        <w:spacing w:after="267"/>
        <w:ind w:left="10" w:right="907" w:hanging="10"/>
        <w:jc w:val="center"/>
      </w:pPr>
      <w:r>
        <w:rPr>
          <w:sz w:val="26"/>
        </w:rPr>
        <w:t>Závěrečná ustanovení</w:t>
      </w:r>
    </w:p>
    <w:p w:rsidR="00A2170C" w:rsidRDefault="00BE41B4">
      <w:pPr>
        <w:numPr>
          <w:ilvl w:val="0"/>
          <w:numId w:val="14"/>
        </w:numPr>
        <w:spacing w:after="309"/>
        <w:ind w:right="916" w:hanging="144"/>
      </w:pPr>
      <w:r>
        <w:t>Prodávající a kupující tímto potvrzují, že jsou schopni a oprávněni plnit veškeré závazky, vyplývající z této Smlouvy.</w:t>
      </w:r>
    </w:p>
    <w:p w:rsidR="00A2170C" w:rsidRDefault="00BE41B4">
      <w:pPr>
        <w:numPr>
          <w:ilvl w:val="0"/>
          <w:numId w:val="14"/>
        </w:numPr>
        <w:spacing w:after="280"/>
        <w:ind w:right="916" w:hanging="144"/>
      </w:pPr>
      <w:r>
        <w:t xml:space="preserve">Vztahy neupravené touto Smlouvou se řídí příslušnými ustanoveními Obchodního zákoníku, zejména </w:t>
      </w:r>
      <w:proofErr w:type="spellStart"/>
      <w:r>
        <w:t>ust</w:t>
      </w:r>
      <w:proofErr w:type="spellEnd"/>
      <w:r>
        <w:t>. 409 a násl. Obchodního zákoníku.</w:t>
      </w:r>
    </w:p>
    <w:p w:rsidR="00A2170C" w:rsidRDefault="00BE41B4">
      <w:pPr>
        <w:numPr>
          <w:ilvl w:val="0"/>
          <w:numId w:val="14"/>
        </w:numPr>
        <w:ind w:right="916" w:hanging="144"/>
      </w:pPr>
      <w:r>
        <w:t>Tuto</w:t>
      </w:r>
      <w:r>
        <w:t xml:space="preserve"> Smlouvu lze měnit, doplňovat a rušit písemnou dohodou smluvních stran, uzavíranou ve formě písemných číslovaných dodatků, podepsaných oběma smluvními stranami. Smlouvu lze zrušit způsoby sjednanými v této Smlouvě, nebo v souladu s obecně závaznými právním</w:t>
      </w:r>
      <w:r>
        <w:t>i předpisy.</w:t>
      </w:r>
    </w:p>
    <w:p w:rsidR="00A2170C" w:rsidRDefault="00BE41B4">
      <w:pPr>
        <w:numPr>
          <w:ilvl w:val="0"/>
          <w:numId w:val="14"/>
        </w:numPr>
        <w:spacing w:after="614" w:line="312" w:lineRule="auto"/>
        <w:ind w:right="916" w:hanging="144"/>
      </w:pPr>
      <w:r>
        <w:t>Smlouva je sepsána ve dvou vyhotoveních, z nichž jedno obdrží kupující a jedno prodávající.</w:t>
      </w:r>
    </w:p>
    <w:p w:rsidR="00A2170C" w:rsidRDefault="00BE41B4">
      <w:pPr>
        <w:spacing w:after="1905"/>
        <w:ind w:left="19" w:right="916"/>
      </w:pPr>
      <w:r>
        <w:t xml:space="preserve">V Pardubicích dne </w:t>
      </w:r>
      <w:r w:rsidR="00806131">
        <w:rPr>
          <w:noProof/>
        </w:rPr>
        <w:t xml:space="preserve"> </w:t>
      </w:r>
      <w:proofErr w:type="gramStart"/>
      <w:r w:rsidR="00806131">
        <w:rPr>
          <w:noProof/>
        </w:rPr>
        <w:t xml:space="preserve">1.3. </w:t>
      </w:r>
      <w:r>
        <w:t>2008</w:t>
      </w:r>
      <w:proofErr w:type="gramEnd"/>
    </w:p>
    <w:p w:rsidR="00A2170C" w:rsidRDefault="00BE41B4">
      <w:pPr>
        <w:tabs>
          <w:tab w:val="center" w:pos="1694"/>
          <w:tab w:val="center" w:pos="6658"/>
        </w:tabs>
        <w:spacing w:after="135"/>
        <w:ind w:left="0" w:right="0"/>
        <w:jc w:val="left"/>
      </w:pPr>
      <w:r>
        <w:tab/>
      </w:r>
      <w:proofErr w:type="gramStart"/>
      <w:r>
        <w:t>člen .</w:t>
      </w:r>
      <w:r>
        <w:tab/>
        <w:t>Za</w:t>
      </w:r>
      <w:proofErr w:type="gramEnd"/>
      <w:r>
        <w:t xml:space="preserve"> OHD :</w:t>
      </w:r>
    </w:p>
    <w:sectPr w:rsidR="00A2170C">
      <w:pgSz w:w="11904" w:h="16834"/>
      <w:pgMar w:top="1245" w:right="653" w:bottom="1854" w:left="12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0BC"/>
    <w:multiLevelType w:val="hybridMultilevel"/>
    <w:tmpl w:val="71C4C912"/>
    <w:lvl w:ilvl="0" w:tplc="52FAB5C8">
      <w:start w:val="1"/>
      <w:numFmt w:val="lowerLetter"/>
      <w:lvlText w:val="%1)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6FDC8">
      <w:start w:val="1"/>
      <w:numFmt w:val="lowerLetter"/>
      <w:lvlText w:val="%2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8D49E">
      <w:start w:val="1"/>
      <w:numFmt w:val="lowerRoman"/>
      <w:lvlText w:val="%3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2BF76">
      <w:start w:val="1"/>
      <w:numFmt w:val="decimal"/>
      <w:lvlText w:val="%4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C3402">
      <w:start w:val="1"/>
      <w:numFmt w:val="lowerLetter"/>
      <w:lvlText w:val="%5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2988A">
      <w:start w:val="1"/>
      <w:numFmt w:val="lowerRoman"/>
      <w:lvlText w:val="%6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EF1DE">
      <w:start w:val="1"/>
      <w:numFmt w:val="decimal"/>
      <w:lvlText w:val="%7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7EF8">
      <w:start w:val="1"/>
      <w:numFmt w:val="lowerLetter"/>
      <w:lvlText w:val="%8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CCCC">
      <w:start w:val="1"/>
      <w:numFmt w:val="lowerRoman"/>
      <w:lvlText w:val="%9"/>
      <w:lvlJc w:val="left"/>
      <w:pPr>
        <w:ind w:left="7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F6D68"/>
    <w:multiLevelType w:val="hybridMultilevel"/>
    <w:tmpl w:val="14C63BFE"/>
    <w:lvl w:ilvl="0" w:tplc="1110048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0B842">
      <w:start w:val="1"/>
      <w:numFmt w:val="lowerLetter"/>
      <w:lvlText w:val="%2)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CFB2E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25ED6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698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0F62E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40C16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09D6E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23C88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44627"/>
    <w:multiLevelType w:val="hybridMultilevel"/>
    <w:tmpl w:val="0E2AC87A"/>
    <w:lvl w:ilvl="0" w:tplc="6E2C00C8">
      <w:start w:val="1"/>
      <w:numFmt w:val="lowerLetter"/>
      <w:lvlText w:val="%1)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12EA">
      <w:start w:val="1"/>
      <w:numFmt w:val="lowerLetter"/>
      <w:lvlText w:val="%2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8C776">
      <w:start w:val="1"/>
      <w:numFmt w:val="lowerRoman"/>
      <w:lvlText w:val="%3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8BC42">
      <w:start w:val="1"/>
      <w:numFmt w:val="decimal"/>
      <w:lvlText w:val="%4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8D598">
      <w:start w:val="1"/>
      <w:numFmt w:val="lowerLetter"/>
      <w:lvlText w:val="%5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A2759A">
      <w:start w:val="1"/>
      <w:numFmt w:val="lowerRoman"/>
      <w:lvlText w:val="%6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E41A2">
      <w:start w:val="1"/>
      <w:numFmt w:val="decimal"/>
      <w:lvlText w:val="%7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CBD7E">
      <w:start w:val="1"/>
      <w:numFmt w:val="lowerLetter"/>
      <w:lvlText w:val="%8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CD8AC">
      <w:start w:val="1"/>
      <w:numFmt w:val="lowerRoman"/>
      <w:lvlText w:val="%9"/>
      <w:lvlJc w:val="left"/>
      <w:pPr>
        <w:ind w:left="7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2326D2"/>
    <w:multiLevelType w:val="hybridMultilevel"/>
    <w:tmpl w:val="16EE0338"/>
    <w:lvl w:ilvl="0" w:tplc="E3AAAC3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08F9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E96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4C06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C848A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C68EA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833E8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4A13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A7CCE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A86654"/>
    <w:multiLevelType w:val="hybridMultilevel"/>
    <w:tmpl w:val="BDE8F19C"/>
    <w:lvl w:ilvl="0" w:tplc="8BC6A4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645B4">
      <w:start w:val="4"/>
      <w:numFmt w:val="lowerLetter"/>
      <w:lvlText w:val="%2)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CC268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68114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60EE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61FE4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0D20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AB2B6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05842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1678D"/>
    <w:multiLevelType w:val="hybridMultilevel"/>
    <w:tmpl w:val="B840EE02"/>
    <w:lvl w:ilvl="0" w:tplc="7FFA1820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62F8C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01D7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081608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C2C58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AEE7C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83798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45862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4243F4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98253B"/>
    <w:multiLevelType w:val="hybridMultilevel"/>
    <w:tmpl w:val="FC363990"/>
    <w:lvl w:ilvl="0" w:tplc="D9729982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2C81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6CCC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242D4A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083CC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4EEA8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C9C98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82900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4A8446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B52F3D"/>
    <w:multiLevelType w:val="hybridMultilevel"/>
    <w:tmpl w:val="F270444A"/>
    <w:lvl w:ilvl="0" w:tplc="1EECB9B2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1A4A3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205B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846F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D9A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AD12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6A63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8878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4F0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0607E8"/>
    <w:multiLevelType w:val="hybridMultilevel"/>
    <w:tmpl w:val="E9ECA956"/>
    <w:lvl w:ilvl="0" w:tplc="F33CF98C">
      <w:start w:val="2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64C1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A6344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2C48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EDFF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86E2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EC7F4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49978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20BFE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B81879"/>
    <w:multiLevelType w:val="hybridMultilevel"/>
    <w:tmpl w:val="09BAA2D6"/>
    <w:lvl w:ilvl="0" w:tplc="7BF037C2">
      <w:start w:val="1"/>
      <w:numFmt w:val="lowerLetter"/>
      <w:lvlText w:val="%1)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C480A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C399C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0AF00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2C8CA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07C12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00590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6D470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0DFB0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FC225C"/>
    <w:multiLevelType w:val="hybridMultilevel"/>
    <w:tmpl w:val="986E625A"/>
    <w:lvl w:ilvl="0" w:tplc="7B3C1FC2">
      <w:start w:val="2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7C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8722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0FA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48652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EDB72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035B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0F38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AB65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2E3BE1"/>
    <w:multiLevelType w:val="hybridMultilevel"/>
    <w:tmpl w:val="B7A48D3A"/>
    <w:lvl w:ilvl="0" w:tplc="85AA5FC4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2EAA96">
      <w:start w:val="1"/>
      <w:numFmt w:val="lowerLetter"/>
      <w:lvlText w:val="%2)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EA02A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EC91C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76405A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6117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E88D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223F4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6FC3C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EC4758"/>
    <w:multiLevelType w:val="hybridMultilevel"/>
    <w:tmpl w:val="67466D46"/>
    <w:lvl w:ilvl="0" w:tplc="B3B4B202">
      <w:start w:val="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746E36">
      <w:start w:val="1"/>
      <w:numFmt w:val="lowerLetter"/>
      <w:lvlText w:val="%2)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656B0">
      <w:start w:val="1"/>
      <w:numFmt w:val="lowerRoman"/>
      <w:lvlText w:val="%3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0D56C">
      <w:start w:val="1"/>
      <w:numFmt w:val="decimal"/>
      <w:lvlText w:val="%4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4E69CA">
      <w:start w:val="1"/>
      <w:numFmt w:val="lowerLetter"/>
      <w:lvlText w:val="%5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EB428">
      <w:start w:val="1"/>
      <w:numFmt w:val="lowerRoman"/>
      <w:lvlText w:val="%6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E8E6E">
      <w:start w:val="1"/>
      <w:numFmt w:val="decimal"/>
      <w:lvlText w:val="%7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22522">
      <w:start w:val="1"/>
      <w:numFmt w:val="lowerLetter"/>
      <w:lvlText w:val="%8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43052">
      <w:start w:val="1"/>
      <w:numFmt w:val="lowerRoman"/>
      <w:lvlText w:val="%9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A66767"/>
    <w:multiLevelType w:val="hybridMultilevel"/>
    <w:tmpl w:val="7338BE1A"/>
    <w:lvl w:ilvl="0" w:tplc="5C524124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688EE">
      <w:start w:val="1"/>
      <w:numFmt w:val="lowerLetter"/>
      <w:lvlText w:val="%2)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1A6198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C6F16E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427738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6807B2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24C27C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60F4F6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842DEC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13"/>
  </w:num>
  <w:num w:numId="9">
    <w:abstractNumId w:val="1"/>
  </w:num>
  <w:num w:numId="10">
    <w:abstractNumId w:val="10"/>
  </w:num>
  <w:num w:numId="11">
    <w:abstractNumId w:val="12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0C"/>
    <w:rsid w:val="00806131"/>
    <w:rsid w:val="00A2170C"/>
    <w:rsid w:val="00BE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0EEA"/>
  <w15:docId w15:val="{CE3F12EF-81CE-4F82-89EF-02C2D642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/>
      <w:ind w:left="101" w:right="7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2081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2017-06-20T11:26:00Z</dcterms:created>
  <dcterms:modified xsi:type="dcterms:W3CDTF">2017-06-20T11:26:00Z</dcterms:modified>
</cp:coreProperties>
</file>