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6E4DB398"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D5285D">
        <w:rPr>
          <w:rFonts w:ascii="Calibri" w:hAnsi="Calibri" w:cs="Calibri"/>
          <w:bCs/>
          <w:kern w:val="28"/>
          <w:sz w:val="32"/>
          <w:szCs w:val="32"/>
        </w:rPr>
        <w:t>1</w:t>
      </w:r>
      <w:r>
        <w:rPr>
          <w:rFonts w:ascii="Calibri" w:hAnsi="Calibri" w:cs="Calibri"/>
          <w:bCs/>
          <w:kern w:val="28"/>
          <w:sz w:val="32"/>
          <w:szCs w:val="32"/>
        </w:rPr>
        <w:t xml:space="preserve"> ke Smlouvě o užití, implementaci a provozní podpoře</w:t>
      </w:r>
    </w:p>
    <w:p w14:paraId="5D16320D" w14:textId="000FD0DA"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proofErr w:type="spellStart"/>
      <w:r w:rsidR="0032242A">
        <w:rPr>
          <w:rFonts w:ascii="Calibri" w:hAnsi="Calibri" w:cs="Calibri"/>
          <w:bCs/>
          <w:kern w:val="28"/>
          <w:sz w:val="32"/>
          <w:szCs w:val="32"/>
        </w:rPr>
        <w:t>Fenix</w:t>
      </w:r>
      <w:proofErr w:type="spellEnd"/>
      <w:r>
        <w:rPr>
          <w:rFonts w:ascii="Calibri" w:hAnsi="Calibri" w:cs="Calibri"/>
          <w:bCs/>
          <w:kern w:val="28"/>
          <w:sz w:val="32"/>
          <w:szCs w:val="32"/>
        </w:rPr>
        <w:t xml:space="preserve"> č. </w:t>
      </w:r>
      <w:r w:rsidR="00D5285D" w:rsidRPr="00D5285D">
        <w:rPr>
          <w:rFonts w:ascii="Calibri" w:hAnsi="Calibri" w:cs="Calibri"/>
          <w:bCs/>
          <w:kern w:val="28"/>
          <w:sz w:val="32"/>
          <w:szCs w:val="32"/>
        </w:rPr>
        <w:t>F-19-00313</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proofErr w:type="spellStart"/>
      <w:r>
        <w:rPr>
          <w:rStyle w:val="platne1"/>
          <w:rFonts w:ascii="Calibri" w:hAnsi="Calibri" w:cs="Calibri"/>
          <w:b/>
          <w:sz w:val="22"/>
          <w:szCs w:val="22"/>
        </w:rPr>
        <w:t>Asseco</w:t>
      </w:r>
      <w:proofErr w:type="spellEnd"/>
      <w:r>
        <w:rPr>
          <w:rStyle w:val="platne1"/>
          <w:rFonts w:ascii="Calibri" w:hAnsi="Calibri" w:cs="Calibri"/>
          <w:b/>
          <w:sz w:val="22"/>
          <w:szCs w:val="22"/>
        </w:rPr>
        <w:t xml:space="preserve"> </w:t>
      </w:r>
      <w:proofErr w:type="spellStart"/>
      <w:r>
        <w:rPr>
          <w:rStyle w:val="platne1"/>
          <w:rFonts w:ascii="Calibri" w:hAnsi="Calibri" w:cs="Calibri"/>
          <w:b/>
          <w:sz w:val="22"/>
          <w:szCs w:val="22"/>
        </w:rPr>
        <w:t>Solutions</w:t>
      </w:r>
      <w:proofErr w:type="spellEnd"/>
      <w:r>
        <w:rPr>
          <w:rStyle w:val="platne1"/>
          <w:rFonts w:ascii="Calibri" w:hAnsi="Calibri" w:cs="Calibri"/>
          <w:b/>
          <w:sz w:val="22"/>
          <w:szCs w:val="22"/>
        </w:rPr>
        <w:t>,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5CF2C609"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389E748F" w14:textId="77777777" w:rsidR="009F39E6" w:rsidRPr="0000727D" w:rsidRDefault="009F39E6" w:rsidP="009F39E6">
      <w:pPr>
        <w:pStyle w:val="Nadpis7"/>
        <w:tabs>
          <w:tab w:val="left" w:pos="2268"/>
        </w:tabs>
        <w:ind w:left="2268" w:firstLine="0"/>
        <w:jc w:val="both"/>
        <w:rPr>
          <w:rFonts w:ascii="Calibri" w:hAnsi="Calibri"/>
          <w:b/>
          <w:sz w:val="22"/>
          <w:szCs w:val="22"/>
          <w:highlight w:val="yellow"/>
        </w:rPr>
      </w:pPr>
      <w:r w:rsidRPr="00483EFB">
        <w:rPr>
          <w:rFonts w:ascii="Calibri" w:hAnsi="Calibri"/>
          <w:b/>
          <w:sz w:val="22"/>
          <w:szCs w:val="22"/>
        </w:rPr>
        <w:t>Domov Pod Lipami Smečno, poskytovatel sociálních služeb</w:t>
      </w:r>
    </w:p>
    <w:p w14:paraId="31EA6A4A" w14:textId="77777777" w:rsidR="009F39E6" w:rsidRPr="003F7C9A" w:rsidRDefault="009F39E6" w:rsidP="009F39E6">
      <w:pPr>
        <w:pStyle w:val="Nadpis7"/>
        <w:tabs>
          <w:tab w:val="left" w:pos="2268"/>
        </w:tabs>
        <w:ind w:left="0" w:firstLine="0"/>
        <w:rPr>
          <w:rFonts w:ascii="Calibri" w:hAnsi="Calibri"/>
          <w:sz w:val="22"/>
          <w:szCs w:val="22"/>
        </w:rPr>
      </w:pPr>
      <w:r w:rsidRPr="003F7C9A">
        <w:rPr>
          <w:rFonts w:ascii="Calibri" w:hAnsi="Calibri"/>
          <w:b/>
          <w:sz w:val="22"/>
          <w:szCs w:val="22"/>
        </w:rPr>
        <w:t>se sídlem:</w:t>
      </w:r>
      <w:r w:rsidRPr="003F7C9A">
        <w:rPr>
          <w:rFonts w:ascii="Calibri" w:hAnsi="Calibri"/>
          <w:sz w:val="22"/>
          <w:szCs w:val="22"/>
        </w:rPr>
        <w:tab/>
        <w:t>273 05 Smečno, Zámek 1</w:t>
      </w:r>
    </w:p>
    <w:p w14:paraId="08FC78A5" w14:textId="77777777" w:rsidR="009F39E6" w:rsidRPr="0000727D" w:rsidRDefault="009F39E6" w:rsidP="009F39E6">
      <w:pPr>
        <w:pStyle w:val="Nadpis7"/>
        <w:tabs>
          <w:tab w:val="left" w:pos="2268"/>
        </w:tabs>
        <w:ind w:left="0" w:firstLine="0"/>
        <w:rPr>
          <w:rFonts w:ascii="Calibri" w:hAnsi="Calibri"/>
          <w:sz w:val="22"/>
          <w:szCs w:val="22"/>
          <w:highlight w:val="yellow"/>
        </w:rPr>
      </w:pPr>
      <w:r w:rsidRPr="0000727D">
        <w:rPr>
          <w:rFonts w:ascii="Calibri" w:hAnsi="Calibri"/>
          <w:b/>
          <w:sz w:val="22"/>
          <w:szCs w:val="22"/>
        </w:rPr>
        <w:t>jednající:</w:t>
      </w:r>
      <w:r w:rsidRPr="0000727D">
        <w:rPr>
          <w:rFonts w:ascii="Calibri" w:hAnsi="Calibri"/>
          <w:sz w:val="22"/>
          <w:szCs w:val="22"/>
        </w:rPr>
        <w:tab/>
      </w:r>
      <w:r w:rsidRPr="003F7C9A">
        <w:rPr>
          <w:rFonts w:ascii="Calibri" w:hAnsi="Calibri"/>
          <w:sz w:val="22"/>
          <w:szCs w:val="22"/>
        </w:rPr>
        <w:t>Bc. Petr Šála, ředitel</w:t>
      </w:r>
      <w:r>
        <w:rPr>
          <w:rFonts w:ascii="Arial" w:hAnsi="Arial" w:cs="Arial"/>
          <w:b/>
          <w:bCs/>
          <w:color w:val="111111"/>
          <w:shd w:val="clear" w:color="auto" w:fill="FFF9F1"/>
        </w:rPr>
        <w:t xml:space="preserve"> </w:t>
      </w:r>
    </w:p>
    <w:p w14:paraId="58AD0AA9" w14:textId="77777777" w:rsidR="009F39E6" w:rsidRPr="0000727D" w:rsidRDefault="009F39E6" w:rsidP="009F39E6">
      <w:pPr>
        <w:tabs>
          <w:tab w:val="left" w:pos="2268"/>
        </w:tabs>
        <w:rPr>
          <w:rFonts w:ascii="Calibri" w:hAnsi="Calibri"/>
          <w:sz w:val="22"/>
          <w:szCs w:val="22"/>
          <w:highlight w:val="yellow"/>
        </w:rPr>
      </w:pPr>
      <w:r w:rsidRPr="0000727D">
        <w:rPr>
          <w:rFonts w:ascii="Calibri" w:hAnsi="Calibri"/>
          <w:b/>
          <w:sz w:val="22"/>
          <w:szCs w:val="22"/>
        </w:rPr>
        <w:t>IČ</w:t>
      </w:r>
      <w:r>
        <w:rPr>
          <w:rFonts w:ascii="Calibri" w:hAnsi="Calibri"/>
          <w:b/>
          <w:sz w:val="22"/>
          <w:szCs w:val="22"/>
        </w:rPr>
        <w:t>O</w:t>
      </w:r>
      <w:r w:rsidRPr="0000727D">
        <w:rPr>
          <w:rFonts w:ascii="Calibri" w:hAnsi="Calibri"/>
          <w:b/>
          <w:sz w:val="22"/>
          <w:szCs w:val="22"/>
        </w:rPr>
        <w:t>:</w:t>
      </w:r>
      <w:r w:rsidRPr="0000727D">
        <w:rPr>
          <w:rFonts w:ascii="Calibri" w:hAnsi="Calibri"/>
          <w:sz w:val="22"/>
          <w:szCs w:val="22"/>
        </w:rPr>
        <w:tab/>
      </w:r>
      <w:r w:rsidRPr="00F26F0B">
        <w:rPr>
          <w:rFonts w:ascii="Calibri" w:hAnsi="Calibri"/>
          <w:sz w:val="22"/>
          <w:szCs w:val="22"/>
        </w:rPr>
        <w:t>71234454</w:t>
      </w:r>
    </w:p>
    <w:p w14:paraId="017EE27F" w14:textId="77777777" w:rsidR="009F39E6" w:rsidRPr="00F26F0B" w:rsidRDefault="009F39E6" w:rsidP="009F39E6">
      <w:pPr>
        <w:tabs>
          <w:tab w:val="left" w:pos="2268"/>
        </w:tabs>
        <w:rPr>
          <w:rFonts w:ascii="Calibri" w:hAnsi="Calibri"/>
          <w:sz w:val="22"/>
          <w:szCs w:val="22"/>
        </w:rPr>
      </w:pPr>
      <w:r w:rsidRPr="00F26F0B">
        <w:rPr>
          <w:rFonts w:ascii="Calibri" w:hAnsi="Calibri"/>
          <w:b/>
          <w:sz w:val="22"/>
          <w:szCs w:val="22"/>
        </w:rPr>
        <w:t>DIČ:</w:t>
      </w:r>
      <w:r w:rsidRPr="00F26F0B">
        <w:rPr>
          <w:rFonts w:ascii="Calibri" w:hAnsi="Calibri"/>
          <w:sz w:val="22"/>
          <w:szCs w:val="22"/>
        </w:rPr>
        <w:tab/>
        <w:t>---</w:t>
      </w:r>
    </w:p>
    <w:p w14:paraId="7BC3C13B" w14:textId="68A423E1" w:rsidR="009F39E6" w:rsidRPr="0000727D" w:rsidRDefault="009F39E6" w:rsidP="009F39E6">
      <w:pPr>
        <w:pStyle w:val="Nadpis7"/>
        <w:tabs>
          <w:tab w:val="left" w:pos="2268"/>
        </w:tabs>
        <w:ind w:left="0" w:firstLine="0"/>
        <w:rPr>
          <w:rFonts w:ascii="Calibri" w:hAnsi="Calibri"/>
          <w:sz w:val="22"/>
          <w:szCs w:val="22"/>
        </w:rPr>
      </w:pPr>
      <w:r w:rsidRPr="003818F6">
        <w:rPr>
          <w:rFonts w:ascii="Calibri" w:hAnsi="Calibri"/>
          <w:b/>
          <w:sz w:val="22"/>
          <w:szCs w:val="22"/>
        </w:rPr>
        <w:t>bankovní spojení:</w:t>
      </w:r>
      <w:r w:rsidRPr="003818F6">
        <w:rPr>
          <w:rFonts w:ascii="Calibri" w:hAnsi="Calibri"/>
          <w:sz w:val="22"/>
          <w:szCs w:val="22"/>
        </w:rPr>
        <w:tab/>
        <w:t>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28849635" w:rsidR="00F33A0E" w:rsidRDefault="00F33A0E" w:rsidP="009F39E6">
      <w:pPr>
        <w:pStyle w:val="Styl1"/>
        <w:rPr>
          <w:rFonts w:ascii="Calibri" w:hAnsi="Calibri" w:cs="Calibri"/>
          <w:sz w:val="22"/>
          <w:szCs w:val="22"/>
        </w:rPr>
      </w:pPr>
      <w:r>
        <w:rPr>
          <w:rFonts w:ascii="Calibri" w:hAnsi="Calibri" w:cs="Calibri"/>
          <w:sz w:val="22"/>
          <w:szCs w:val="22"/>
        </w:rPr>
        <w:t xml:space="preserve">Tento dodatek se uzavírá ke Smlouvě o užití, implementaci a provozní podpoře informačního systému HELIOS </w:t>
      </w:r>
      <w:proofErr w:type="spellStart"/>
      <w:r>
        <w:rPr>
          <w:rFonts w:ascii="Calibri" w:hAnsi="Calibri" w:cs="Calibri"/>
          <w:sz w:val="22"/>
          <w:szCs w:val="22"/>
        </w:rPr>
        <w:t>Fenix</w:t>
      </w:r>
      <w:proofErr w:type="spellEnd"/>
      <w:r>
        <w:rPr>
          <w:rFonts w:ascii="Calibri" w:hAnsi="Calibri" w:cs="Calibri"/>
          <w:sz w:val="22"/>
          <w:szCs w:val="22"/>
        </w:rPr>
        <w:t xml:space="preserve"> č. </w:t>
      </w:r>
      <w:r w:rsidR="00D5285D" w:rsidRPr="00D5285D">
        <w:rPr>
          <w:rFonts w:ascii="Calibri" w:hAnsi="Calibri" w:cs="Calibri"/>
          <w:sz w:val="22"/>
          <w:szCs w:val="22"/>
        </w:rPr>
        <w:t>F-19-00313</w:t>
      </w:r>
      <w:r>
        <w:rPr>
          <w:rFonts w:ascii="Calibri" w:hAnsi="Calibri" w:cs="Calibri"/>
          <w:sz w:val="22"/>
          <w:szCs w:val="22"/>
        </w:rPr>
        <w:t xml:space="preserve"> ze dne </w:t>
      </w:r>
      <w:r w:rsidR="00D5285D" w:rsidRPr="00D5285D">
        <w:rPr>
          <w:rFonts w:ascii="Calibri" w:hAnsi="Calibri" w:cs="Calibri"/>
          <w:sz w:val="22"/>
          <w:szCs w:val="22"/>
        </w:rPr>
        <w:t>17.06.2019</w:t>
      </w:r>
      <w:r w:rsidR="00114AFC">
        <w:rPr>
          <w:rFonts w:ascii="Calibri" w:hAnsi="Calibri" w:cs="Calibri"/>
          <w:sz w:val="22"/>
          <w:szCs w:val="22"/>
        </w:rPr>
        <w:t xml:space="preserve"> </w:t>
      </w:r>
      <w:r>
        <w:rPr>
          <w:rFonts w:ascii="Calibri" w:hAnsi="Calibri" w:cs="Calibri"/>
          <w:sz w:val="22"/>
          <w:szCs w:val="22"/>
        </w:rPr>
        <w:t>(dále jen „</w:t>
      </w:r>
      <w:r>
        <w:rPr>
          <w:rFonts w:ascii="Calibri" w:hAnsi="Calibri" w:cs="Calibri"/>
          <w:b/>
          <w:bCs/>
          <w:sz w:val="22"/>
          <w:szCs w:val="22"/>
        </w:rPr>
        <w:t>Smlouva</w:t>
      </w:r>
      <w:r>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58514BF3"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613F1C">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pravidelné poskytování informací o rozvoji stávajících i nových modulů a funkcí HELIOS </w:t>
      </w:r>
      <w:proofErr w:type="spellStart"/>
      <w:r>
        <w:rPr>
          <w:rFonts w:ascii="Calibri" w:hAnsi="Calibri" w:cs="Calibri"/>
          <w:sz w:val="22"/>
          <w:szCs w:val="22"/>
        </w:rPr>
        <w:t>Fenix</w:t>
      </w:r>
      <w:proofErr w:type="spellEnd"/>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poskytování nabídek a předvedení nových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w:t>
      </w:r>
      <w:proofErr w:type="spellStart"/>
      <w:r>
        <w:rPr>
          <w:rFonts w:ascii="Calibri" w:hAnsi="Calibri" w:cs="Calibri"/>
          <w:sz w:val="22"/>
          <w:szCs w:val="22"/>
        </w:rPr>
        <w:t>Fenix</w:t>
      </w:r>
      <w:proofErr w:type="spellEnd"/>
      <w:r>
        <w:rPr>
          <w:rFonts w:ascii="Calibri" w:hAnsi="Calibri" w:cs="Calibri"/>
          <w:sz w:val="22"/>
          <w:szCs w:val="22"/>
        </w:rPr>
        <w:t xml:space="preserve"> zůstává duševním vlastnictvím zhotovitele a požívá ochrany dle autorského zákona v souladu s licenčními podmínkami stanovenými pro moduly a funkce HELIOS </w:t>
      </w:r>
      <w:proofErr w:type="spellStart"/>
      <w:r>
        <w:rPr>
          <w:rFonts w:ascii="Calibri" w:hAnsi="Calibri" w:cs="Calibri"/>
          <w:sz w:val="22"/>
          <w:szCs w:val="22"/>
        </w:rPr>
        <w:t>Fenix</w:t>
      </w:r>
      <w:proofErr w:type="spellEnd"/>
      <w:r>
        <w:rPr>
          <w:rFonts w:ascii="Calibri" w:hAnsi="Calibri" w:cs="Calibri"/>
          <w:sz w:val="22"/>
          <w:szCs w:val="22"/>
        </w:rPr>
        <w:t xml:space="preserve">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 xml:space="preserve">zjišťování a zahájení odstraňování příčin nestandardního chování HELIOS </w:t>
      </w:r>
      <w:proofErr w:type="spellStart"/>
      <w:r>
        <w:rPr>
          <w:rFonts w:ascii="Calibri" w:hAnsi="Calibri" w:cs="Calibri"/>
          <w:sz w:val="22"/>
          <w:szCs w:val="22"/>
        </w:rPr>
        <w:t>Fenix</w:t>
      </w:r>
      <w:proofErr w:type="spellEnd"/>
      <w:r>
        <w:rPr>
          <w:rFonts w:ascii="Calibri" w:hAnsi="Calibri" w:cs="Calibri"/>
          <w:sz w:val="22"/>
          <w:szCs w:val="22"/>
        </w:rPr>
        <w:t xml:space="preserve">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 xml:space="preserve">bude dodaný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legislativní úpravou se rozumí úprava stávající funkčnosti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 xml:space="preserve">legislativní úpravou se nerozumí doplnění funkcionality (řešené oblasti), kterou stávající systém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z poskytování provozní podpory, je taková změna účinná vždy od 1.1. následujícího roku.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9F39E6">
      <w:pPr>
        <w:pStyle w:val="Styl1"/>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Pr>
          <w:rFonts w:ascii="Calibri" w:hAnsi="Calibri" w:cs="Calibri"/>
          <w:b/>
          <w:bCs/>
          <w:sz w:val="22"/>
          <w:szCs w:val="22"/>
        </w:rPr>
        <w:t>Čl</w:t>
      </w:r>
      <w:r w:rsidR="00C216EE">
        <w:rPr>
          <w:rFonts w:ascii="Calibri" w:hAnsi="Calibri" w:cs="Calibri"/>
          <w:b/>
          <w:bCs/>
          <w:sz w:val="22"/>
          <w:szCs w:val="22"/>
        </w:rPr>
        <w:t>ánek</w:t>
      </w:r>
      <w:r w:rsidR="00E82D8B">
        <w:rPr>
          <w:rFonts w:ascii="Calibri" w:hAnsi="Calibri" w:cs="Calibri"/>
          <w:b/>
          <w:bCs/>
          <w:sz w:val="22"/>
          <w:szCs w:val="22"/>
        </w:rPr>
        <w:t xml:space="preserve"> 5 </w:t>
      </w:r>
      <w:r w:rsidR="00C216EE">
        <w:rPr>
          <w:rFonts w:ascii="Calibri" w:hAnsi="Calibri" w:cs="Calibri"/>
          <w:b/>
          <w:bCs/>
          <w:sz w:val="22"/>
          <w:szCs w:val="22"/>
        </w:rPr>
        <w:t xml:space="preserve">– </w:t>
      </w:r>
      <w:r w:rsidR="00E82D8B">
        <w:rPr>
          <w:rFonts w:ascii="Calibri" w:hAnsi="Calibri" w:cs="Calibri"/>
          <w:b/>
          <w:bCs/>
          <w:sz w:val="22"/>
          <w:szCs w:val="22"/>
        </w:rPr>
        <w:t>Cena</w:t>
      </w:r>
      <w:r w:rsidR="00C216EE">
        <w:rPr>
          <w:rFonts w:ascii="Calibri" w:hAnsi="Calibri" w:cs="Calibri"/>
          <w:b/>
          <w:bCs/>
          <w:sz w:val="22"/>
          <w:szCs w:val="22"/>
        </w:rPr>
        <w:t xml:space="preserve"> </w:t>
      </w:r>
      <w:r w:rsidR="00E82D8B">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 xml:space="preserve">Sjednaná cena je cena za poskytnutí práva užití modulů a funkcí HELIOS </w:t>
      </w:r>
      <w:proofErr w:type="spellStart"/>
      <w:r>
        <w:rPr>
          <w:rFonts w:ascii="Calibri" w:hAnsi="Calibri" w:cs="Calibri"/>
          <w:sz w:val="22"/>
          <w:szCs w:val="22"/>
        </w:rPr>
        <w:t>Fenix</w:t>
      </w:r>
      <w:proofErr w:type="spellEnd"/>
      <w:r>
        <w:rPr>
          <w:rFonts w:ascii="Calibri" w:hAnsi="Calibri" w:cs="Calibri"/>
          <w:sz w:val="22"/>
          <w:szCs w:val="22"/>
        </w:rPr>
        <w:t>,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implementační práce spojené s instalací a zaškolením uživatelů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V případě uzavření smlouvy v průběhu běžného servisního roku bude objednateli fakturována alikvotní cena za poměrnou část roku, která je uvedena v příloze č. 2 této smlouvy. </w:t>
      </w:r>
    </w:p>
    <w:p w14:paraId="78303762" w14:textId="24709C6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předchozí kalendářní rok, zveřejněné Českým statistickým úřadem. Ceny podle tohoto 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 xml:space="preserve">3 této smlouvy platného k 1. lednu daného roku, v němž je konzultační a poradenská služba poskytována. V případě uzavření smlouvy v průběhu běžného servisního roku bude </w:t>
      </w:r>
      <w:r>
        <w:rPr>
          <w:rFonts w:ascii="Calibri" w:hAnsi="Calibri" w:cs="Calibri"/>
          <w:sz w:val="22"/>
          <w:szCs w:val="22"/>
        </w:rPr>
        <w:lastRenderedPageBreak/>
        <w:t>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1, 2 proběhne po dodání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proofErr w:type="spellStart"/>
      <w:r w:rsidRPr="003F4603">
        <w:rPr>
          <w:rFonts w:ascii="Calibri" w:hAnsi="Calibri" w:cs="Calibri"/>
          <w:sz w:val="22"/>
          <w:szCs w:val="22"/>
        </w:rPr>
        <w:t>dokupů</w:t>
      </w:r>
      <w:proofErr w:type="spellEnd"/>
      <w:r w:rsidRPr="003F4603">
        <w:rPr>
          <w:rFonts w:ascii="Calibri" w:hAnsi="Calibri" w:cs="Calibri"/>
          <w:sz w:val="22"/>
          <w:szCs w:val="22"/>
        </w:rPr>
        <w:t xml:space="preserve">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V případě rozšíření HELIOS </w:t>
      </w:r>
      <w:proofErr w:type="spellStart"/>
      <w:r>
        <w:rPr>
          <w:rFonts w:ascii="Calibri" w:hAnsi="Calibri" w:cs="Calibri"/>
          <w:sz w:val="22"/>
          <w:szCs w:val="22"/>
        </w:rPr>
        <w:t>Fenix</w:t>
      </w:r>
      <w:proofErr w:type="spellEnd"/>
      <w:r>
        <w:rPr>
          <w:rFonts w:ascii="Calibri" w:hAnsi="Calibri" w:cs="Calibri"/>
          <w:sz w:val="22"/>
          <w:szCs w:val="22"/>
        </w:rPr>
        <w:t xml:space="preserve">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Objednatel se zavazuje uhradit cenu na základě faktur zaslaných zhotovitelem s lhůtou splatnosti čtrnáct (14) dnů od data vystavení faktury. Každá faktura musí mít náležitosti 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0AB5BB63" w14:textId="7C015C0E" w:rsidR="0002637F" w:rsidRPr="00136032" w:rsidRDefault="0002637F" w:rsidP="0002637F">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r w:rsidRPr="00AE64BB">
        <w:rPr>
          <w:rFonts w:ascii="Calibri" w:hAnsi="Calibri"/>
          <w:b w:val="0"/>
          <w:bCs/>
          <w:sz w:val="22"/>
          <w:szCs w:val="22"/>
        </w:rPr>
        <w:t xml:space="preserve">Objednatel souhlasí se zasíláním daňových dokladů elektronickou formou na e-mail: </w:t>
      </w:r>
    </w:p>
    <w:p w14:paraId="2F5B58CD" w14:textId="77777777" w:rsidR="00136032" w:rsidRPr="0002637F" w:rsidRDefault="00136032" w:rsidP="00136032">
      <w:pPr>
        <w:pStyle w:val="Nzev"/>
        <w:tabs>
          <w:tab w:val="left" w:pos="1276"/>
        </w:tabs>
        <w:spacing w:before="120"/>
        <w:ind w:left="1276"/>
        <w:jc w:val="both"/>
        <w:rPr>
          <w:rFonts w:ascii="Calibri" w:hAnsi="Calibri" w:cs="Calibri"/>
          <w:b w:val="0"/>
          <w:bCs/>
          <w:sz w:val="22"/>
          <w:szCs w:val="22"/>
        </w:rPr>
      </w:pPr>
    </w:p>
    <w:p w14:paraId="21C2B42D" w14:textId="77777777" w:rsidR="00E82D8B" w:rsidRDefault="00E82D8B" w:rsidP="00E21C06">
      <w:pPr>
        <w:pStyle w:val="Styl1"/>
        <w:numPr>
          <w:ilvl w:val="0"/>
          <w:numId w:val="0"/>
        </w:numPr>
        <w:rPr>
          <w:rFonts w:ascii="Calibri" w:hAnsi="Calibri" w:cs="Calibri"/>
          <w:sz w:val="22"/>
          <w:szCs w:val="22"/>
        </w:rPr>
      </w:pPr>
    </w:p>
    <w:p w14:paraId="512DCA7E" w14:textId="316F6B86" w:rsidR="00E21C06" w:rsidRDefault="00E21C06" w:rsidP="00D72E52">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E4543D">
      <w:pPr>
        <w:pStyle w:val="Styl1"/>
        <w:spacing w:before="120"/>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D46AD" w:rsidRPr="00E44A1B" w14:paraId="62CD9153" w14:textId="77777777" w:rsidTr="00772230">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5" w:name="_Hlk127377983"/>
            <w:r w:rsidRPr="00F567B8">
              <w:rPr>
                <w:rFonts w:ascii="Calibri" w:hAnsi="Calibri" w:cs="Calibri"/>
                <w:b/>
                <w:color w:val="FFFFFF"/>
                <w:sz w:val="22"/>
                <w:szCs w:val="22"/>
              </w:rPr>
              <w:t>Název</w:t>
            </w:r>
          </w:p>
        </w:tc>
        <w:tc>
          <w:tcPr>
            <w:tcW w:w="3024"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5B1461CE" w14:textId="77777777" w:rsidTr="00772230">
        <w:trPr>
          <w:trHeight w:hRule="exact" w:val="397"/>
        </w:trPr>
        <w:tc>
          <w:tcPr>
            <w:tcW w:w="3024" w:type="dxa"/>
            <w:vAlign w:val="center"/>
          </w:tcPr>
          <w:p w14:paraId="034D132B"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3EE50F52"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74898731" w14:textId="77777777" w:rsidR="00CD46AD" w:rsidRPr="00F567B8"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r>
    </w:tbl>
    <w:p w14:paraId="57EA738A" w14:textId="381F85F6" w:rsidR="006E5958" w:rsidRDefault="006E5958" w:rsidP="00851CD6">
      <w:pPr>
        <w:spacing w:after="240"/>
        <w:ind w:left="426"/>
        <w:jc w:val="both"/>
        <w:rPr>
          <w:rFonts w:ascii="Calibri" w:hAnsi="Calibri" w:cs="Calibri"/>
          <w:i/>
          <w:szCs w:val="22"/>
        </w:rPr>
      </w:pPr>
      <w:r w:rsidRPr="006E3782">
        <w:rPr>
          <w:rFonts w:ascii="Calibri" w:hAnsi="Calibri" w:cs="Calibri"/>
          <w:i/>
          <w:szCs w:val="22"/>
        </w:rPr>
        <w:t xml:space="preserve">(Pokud je tabulka ponechána prázdná, nejsou ke dni podpisu smlouvy známi žádní </w:t>
      </w:r>
      <w:r w:rsidR="002A0921" w:rsidRPr="006E3782">
        <w:rPr>
          <w:rFonts w:ascii="Calibri" w:hAnsi="Calibri" w:cs="Calibri"/>
          <w:i/>
          <w:szCs w:val="22"/>
        </w:rPr>
        <w:t>Subdodavatelé – d</w:t>
      </w:r>
      <w:r w:rsidRPr="006E3782">
        <w:rPr>
          <w:rFonts w:ascii="Calibri" w:hAnsi="Calibri" w:cs="Calibri"/>
          <w:i/>
          <w:szCs w:val="22"/>
        </w:rPr>
        <w:t>ílčí</w:t>
      </w:r>
      <w:r w:rsidR="002A0921" w:rsidRPr="006E3782">
        <w:rPr>
          <w:rFonts w:ascii="Calibri" w:hAnsi="Calibri" w:cs="Calibri"/>
          <w:i/>
          <w:szCs w:val="22"/>
        </w:rPr>
        <w:t xml:space="preserve"> </w:t>
      </w:r>
      <w:r w:rsidRPr="006E3782">
        <w:rPr>
          <w:rFonts w:ascii="Calibri" w:hAnsi="Calibri" w:cs="Calibri"/>
          <w:i/>
          <w:szCs w:val="22"/>
        </w:rPr>
        <w:t>zpracovatelé.)</w:t>
      </w:r>
    </w:p>
    <w:bookmarkEnd w:id="5"/>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3EA08F7C" w:rsidR="002D3071" w:rsidRDefault="009F39E6" w:rsidP="002D3071">
      <w:pPr>
        <w:pStyle w:val="Nzev"/>
        <w:rPr>
          <w:rFonts w:ascii="Calibri" w:hAnsi="Calibri" w:cs="Calibri"/>
          <w:sz w:val="24"/>
          <w:szCs w:val="24"/>
        </w:rPr>
      </w:pPr>
      <w:r>
        <w:rPr>
          <w:rFonts w:ascii="Calibri" w:hAnsi="Calibri" w:cs="Calibri"/>
          <w:sz w:val="24"/>
          <w:szCs w:val="24"/>
        </w:rPr>
        <w:br w:type="page"/>
      </w:r>
      <w:r w:rsidR="002D3071">
        <w:rPr>
          <w:rFonts w:ascii="Calibri" w:hAnsi="Calibri" w:cs="Calibri"/>
          <w:sz w:val="24"/>
          <w:szCs w:val="24"/>
        </w:rPr>
        <w:lastRenderedPageBreak/>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30AD640F"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9F39E6" w:rsidRDefault="00015B18" w:rsidP="008C3A02">
      <w:pPr>
        <w:pStyle w:val="Seznam"/>
        <w:numPr>
          <w:ilvl w:val="0"/>
          <w:numId w:val="1"/>
        </w:numPr>
        <w:spacing w:before="120"/>
        <w:ind w:left="357" w:hanging="357"/>
        <w:jc w:val="both"/>
        <w:rPr>
          <w:rFonts w:ascii="Calibri" w:hAnsi="Calibri" w:cs="Calibri"/>
          <w:sz w:val="22"/>
          <w:szCs w:val="22"/>
        </w:rPr>
      </w:pPr>
      <w:r w:rsidRPr="009F39E6">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sidRPr="009F39E6">
        <w:rPr>
          <w:rFonts w:ascii="Calibri" w:hAnsi="Calibri" w:cs="Calibri"/>
          <w:sz w:val="22"/>
          <w:szCs w:val="22"/>
        </w:rPr>
        <w:t>Dodatek se vyhotovuje ve dvou vyhotoveních s platností originálu, z nichž každá strana obdrží po</w:t>
      </w:r>
      <w:r>
        <w:rPr>
          <w:rFonts w:ascii="Calibri" w:hAnsi="Calibri" w:cs="Calibri"/>
          <w:sz w:val="22"/>
          <w:szCs w:val="22"/>
        </w:rPr>
        <w:t xml:space="preserve">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 xml:space="preserve">Specifikace poskytnutých softwarových modulů a funkcí HELIOS </w:t>
      </w:r>
      <w:proofErr w:type="spellStart"/>
      <w:r>
        <w:rPr>
          <w:rFonts w:ascii="Calibri" w:hAnsi="Calibri" w:cs="Calibri"/>
          <w:sz w:val="22"/>
          <w:szCs w:val="22"/>
        </w:rPr>
        <w:t>Fenix</w:t>
      </w:r>
      <w:proofErr w:type="spellEnd"/>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 xml:space="preserve">Rozsah poskytování provozní podpory HELIOS </w:t>
      </w:r>
      <w:proofErr w:type="spellStart"/>
      <w:r>
        <w:rPr>
          <w:rFonts w:ascii="Calibri" w:hAnsi="Calibri" w:cs="Calibri"/>
          <w:sz w:val="22"/>
          <w:szCs w:val="22"/>
        </w:rPr>
        <w:t>Fenix</w:t>
      </w:r>
      <w:proofErr w:type="spellEnd"/>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9F39E6" w14:paraId="7284D5B3" w14:textId="77777777" w:rsidTr="00344435">
        <w:tc>
          <w:tcPr>
            <w:tcW w:w="4876" w:type="dxa"/>
          </w:tcPr>
          <w:p w14:paraId="31093276" w14:textId="77777777" w:rsidR="009F39E6" w:rsidRPr="00FA4861" w:rsidRDefault="009F39E6" w:rsidP="009F39E6">
            <w:pPr>
              <w:widowControl w:val="0"/>
              <w:tabs>
                <w:tab w:val="center" w:pos="2127"/>
                <w:tab w:val="center" w:pos="6379"/>
              </w:tabs>
              <w:rPr>
                <w:rFonts w:ascii="Calibri" w:hAnsi="Calibri" w:cs="Arial"/>
                <w:sz w:val="22"/>
                <w:szCs w:val="22"/>
              </w:rPr>
            </w:pPr>
            <w:r w:rsidRPr="00FA4861">
              <w:rPr>
                <w:rFonts w:ascii="Calibri" w:hAnsi="Calibri" w:cs="Arial"/>
                <w:sz w:val="22"/>
                <w:szCs w:val="22"/>
              </w:rPr>
              <w:t xml:space="preserve">V Praze dne </w:t>
            </w:r>
            <w:r w:rsidRPr="00E91526">
              <w:rPr>
                <w:rFonts w:ascii="Calibri" w:hAnsi="Calibri" w:cs="Arial"/>
                <w:sz w:val="22"/>
                <w:szCs w:val="22"/>
              </w:rPr>
              <w:t>……………………</w:t>
            </w:r>
          </w:p>
          <w:p w14:paraId="48E19C3A" w14:textId="77777777" w:rsidR="009F39E6" w:rsidRPr="00FA4861" w:rsidRDefault="009F39E6" w:rsidP="009F39E6">
            <w:pPr>
              <w:widowControl w:val="0"/>
              <w:tabs>
                <w:tab w:val="center" w:pos="2127"/>
                <w:tab w:val="center" w:pos="6379"/>
              </w:tabs>
              <w:rPr>
                <w:rFonts w:ascii="Calibri" w:hAnsi="Calibri"/>
                <w:sz w:val="22"/>
                <w:szCs w:val="22"/>
              </w:rPr>
            </w:pPr>
          </w:p>
          <w:p w14:paraId="1233423A" w14:textId="77777777" w:rsidR="009F39E6" w:rsidRPr="00FA4861" w:rsidRDefault="009F39E6" w:rsidP="009F39E6">
            <w:pPr>
              <w:widowControl w:val="0"/>
              <w:tabs>
                <w:tab w:val="center" w:pos="2127"/>
                <w:tab w:val="center" w:pos="6379"/>
              </w:tabs>
              <w:rPr>
                <w:rFonts w:ascii="Calibri" w:hAnsi="Calibri"/>
                <w:sz w:val="22"/>
                <w:szCs w:val="22"/>
              </w:rPr>
            </w:pPr>
          </w:p>
          <w:p w14:paraId="538066CA" w14:textId="77777777" w:rsidR="009F39E6" w:rsidRPr="00FA4861" w:rsidRDefault="009F39E6" w:rsidP="009F39E6">
            <w:pPr>
              <w:widowControl w:val="0"/>
              <w:tabs>
                <w:tab w:val="center" w:pos="2127"/>
                <w:tab w:val="center" w:pos="6379"/>
              </w:tabs>
              <w:rPr>
                <w:rFonts w:ascii="Calibri" w:hAnsi="Calibri"/>
                <w:sz w:val="22"/>
                <w:szCs w:val="22"/>
              </w:rPr>
            </w:pPr>
            <w:r w:rsidRPr="00FA4861">
              <w:rPr>
                <w:rFonts w:ascii="Calibri" w:hAnsi="Calibri"/>
                <w:sz w:val="22"/>
                <w:szCs w:val="22"/>
              </w:rPr>
              <w:t xml:space="preserve">Za </w:t>
            </w:r>
            <w:proofErr w:type="spellStart"/>
            <w:r w:rsidRPr="00FA4861">
              <w:rPr>
                <w:rFonts w:ascii="Calibri" w:hAnsi="Calibri"/>
                <w:sz w:val="22"/>
                <w:szCs w:val="22"/>
              </w:rPr>
              <w:t>Asseco</w:t>
            </w:r>
            <w:proofErr w:type="spellEnd"/>
            <w:r w:rsidRPr="00FA4861">
              <w:rPr>
                <w:rFonts w:ascii="Calibri" w:hAnsi="Calibri"/>
                <w:sz w:val="22"/>
                <w:szCs w:val="22"/>
              </w:rPr>
              <w:t xml:space="preserve"> </w:t>
            </w:r>
            <w:proofErr w:type="spellStart"/>
            <w:r w:rsidRPr="00FA4861">
              <w:rPr>
                <w:rFonts w:ascii="Calibri" w:hAnsi="Calibri"/>
                <w:sz w:val="22"/>
                <w:szCs w:val="22"/>
              </w:rPr>
              <w:t>Solutions</w:t>
            </w:r>
            <w:proofErr w:type="spellEnd"/>
            <w:r w:rsidRPr="00FA4861">
              <w:rPr>
                <w:rFonts w:ascii="Calibri" w:hAnsi="Calibri"/>
                <w:sz w:val="22"/>
                <w:szCs w:val="22"/>
              </w:rPr>
              <w:t>, a.s.</w:t>
            </w:r>
          </w:p>
          <w:p w14:paraId="7FF4244D" w14:textId="77777777" w:rsidR="009F39E6" w:rsidRPr="00FA4861" w:rsidRDefault="009F39E6" w:rsidP="009F39E6">
            <w:pPr>
              <w:widowControl w:val="0"/>
              <w:tabs>
                <w:tab w:val="center" w:pos="2127"/>
                <w:tab w:val="center" w:pos="6379"/>
              </w:tabs>
              <w:rPr>
                <w:rFonts w:ascii="Calibri" w:hAnsi="Calibri"/>
                <w:sz w:val="22"/>
                <w:szCs w:val="22"/>
              </w:rPr>
            </w:pPr>
          </w:p>
          <w:p w14:paraId="5421A4C5" w14:textId="77777777" w:rsidR="009F39E6" w:rsidRPr="00FA4861" w:rsidRDefault="009F39E6" w:rsidP="009F39E6">
            <w:pPr>
              <w:widowControl w:val="0"/>
              <w:tabs>
                <w:tab w:val="center" w:pos="2127"/>
                <w:tab w:val="center" w:pos="6379"/>
              </w:tabs>
              <w:rPr>
                <w:rFonts w:ascii="Calibri" w:hAnsi="Calibri"/>
                <w:sz w:val="22"/>
                <w:szCs w:val="22"/>
              </w:rPr>
            </w:pPr>
          </w:p>
          <w:p w14:paraId="29BAEAB7" w14:textId="77777777" w:rsidR="009F39E6" w:rsidRDefault="009F39E6" w:rsidP="009F39E6">
            <w:pPr>
              <w:widowControl w:val="0"/>
              <w:tabs>
                <w:tab w:val="center" w:pos="2127"/>
                <w:tab w:val="center" w:pos="6379"/>
              </w:tabs>
              <w:rPr>
                <w:rFonts w:ascii="Calibri" w:hAnsi="Calibri"/>
                <w:sz w:val="22"/>
                <w:szCs w:val="22"/>
              </w:rPr>
            </w:pPr>
          </w:p>
          <w:p w14:paraId="02CB3D75" w14:textId="77777777" w:rsidR="009F39E6" w:rsidRPr="00FA4861" w:rsidRDefault="009F39E6" w:rsidP="009F39E6">
            <w:pPr>
              <w:widowControl w:val="0"/>
              <w:tabs>
                <w:tab w:val="center" w:pos="2127"/>
                <w:tab w:val="center" w:pos="6379"/>
              </w:tabs>
              <w:rPr>
                <w:rFonts w:ascii="Calibri" w:hAnsi="Calibri"/>
                <w:sz w:val="22"/>
                <w:szCs w:val="22"/>
              </w:rPr>
            </w:pPr>
          </w:p>
          <w:p w14:paraId="4A017636" w14:textId="77777777" w:rsidR="009F39E6" w:rsidRPr="00FA4861" w:rsidRDefault="009F39E6" w:rsidP="009F39E6">
            <w:pPr>
              <w:widowControl w:val="0"/>
              <w:tabs>
                <w:tab w:val="center" w:pos="2552"/>
                <w:tab w:val="center" w:pos="6804"/>
              </w:tabs>
              <w:rPr>
                <w:rFonts w:ascii="Calibri" w:hAnsi="Calibri"/>
                <w:sz w:val="22"/>
                <w:szCs w:val="22"/>
              </w:rPr>
            </w:pPr>
            <w:r w:rsidRPr="00FA4861">
              <w:rPr>
                <w:rFonts w:ascii="Calibri" w:hAnsi="Calibri"/>
                <w:sz w:val="22"/>
                <w:szCs w:val="22"/>
              </w:rPr>
              <w:t>…………………………………………………</w:t>
            </w:r>
          </w:p>
          <w:p w14:paraId="3520E51D" w14:textId="77777777" w:rsidR="009F39E6" w:rsidRPr="00FA4861" w:rsidRDefault="009F39E6" w:rsidP="009F39E6">
            <w:pPr>
              <w:widowControl w:val="0"/>
              <w:tabs>
                <w:tab w:val="center" w:pos="2552"/>
                <w:tab w:val="center" w:pos="6804"/>
              </w:tabs>
              <w:rPr>
                <w:rFonts w:ascii="Calibri" w:hAnsi="Calibri"/>
                <w:sz w:val="22"/>
                <w:szCs w:val="22"/>
              </w:rPr>
            </w:pPr>
            <w:r w:rsidRPr="00FA4861">
              <w:rPr>
                <w:rFonts w:ascii="Calibri" w:hAnsi="Calibri"/>
                <w:sz w:val="22"/>
                <w:szCs w:val="22"/>
              </w:rPr>
              <w:t>Ing. Jiří Hub</w:t>
            </w:r>
          </w:p>
          <w:p w14:paraId="4A025ECE" w14:textId="4B421587" w:rsidR="009F39E6" w:rsidRDefault="009F39E6" w:rsidP="009F39E6">
            <w:pPr>
              <w:widowControl w:val="0"/>
              <w:tabs>
                <w:tab w:val="center" w:pos="2127"/>
                <w:tab w:val="center" w:pos="6379"/>
              </w:tabs>
              <w:rPr>
                <w:rFonts w:ascii="Calibri" w:hAnsi="Calibri"/>
                <w:sz w:val="22"/>
                <w:szCs w:val="22"/>
              </w:rPr>
            </w:pPr>
            <w:r w:rsidRPr="00FA4861">
              <w:rPr>
                <w:rFonts w:ascii="Calibri" w:hAnsi="Calibri"/>
                <w:sz w:val="22"/>
                <w:szCs w:val="22"/>
              </w:rPr>
              <w:t>předseda představenstva</w:t>
            </w:r>
            <w:r w:rsidRPr="00FA4861" w:rsidDel="009A54BD">
              <w:rPr>
                <w:rFonts w:ascii="Calibri" w:hAnsi="Calibri"/>
                <w:sz w:val="22"/>
                <w:szCs w:val="22"/>
              </w:rPr>
              <w:t xml:space="preserve"> </w:t>
            </w:r>
          </w:p>
          <w:p w14:paraId="57FBD36F" w14:textId="77777777" w:rsidR="009F39E6" w:rsidRDefault="009F39E6" w:rsidP="009F39E6">
            <w:pPr>
              <w:widowControl w:val="0"/>
              <w:tabs>
                <w:tab w:val="center" w:pos="2127"/>
                <w:tab w:val="center" w:pos="6379"/>
              </w:tabs>
              <w:rPr>
                <w:rFonts w:ascii="Calibri" w:hAnsi="Calibri"/>
                <w:sz w:val="22"/>
                <w:szCs w:val="22"/>
              </w:rPr>
            </w:pPr>
          </w:p>
          <w:p w14:paraId="72EB37EA" w14:textId="77777777" w:rsidR="009F39E6" w:rsidRDefault="009F39E6" w:rsidP="009F39E6">
            <w:pPr>
              <w:widowControl w:val="0"/>
              <w:tabs>
                <w:tab w:val="center" w:pos="2127"/>
                <w:tab w:val="center" w:pos="6379"/>
              </w:tabs>
              <w:rPr>
                <w:rFonts w:ascii="Calibri" w:hAnsi="Calibri"/>
                <w:sz w:val="22"/>
                <w:szCs w:val="22"/>
              </w:rPr>
            </w:pPr>
          </w:p>
          <w:p w14:paraId="44CD101B" w14:textId="77777777" w:rsidR="009F39E6" w:rsidRDefault="009F39E6" w:rsidP="009F39E6">
            <w:pPr>
              <w:widowControl w:val="0"/>
              <w:tabs>
                <w:tab w:val="center" w:pos="2127"/>
                <w:tab w:val="center" w:pos="6379"/>
              </w:tabs>
              <w:rPr>
                <w:rFonts w:ascii="Calibri" w:hAnsi="Calibri"/>
                <w:sz w:val="22"/>
                <w:szCs w:val="22"/>
              </w:rPr>
            </w:pPr>
          </w:p>
          <w:p w14:paraId="09EFBEA5" w14:textId="77777777" w:rsidR="009F39E6" w:rsidRDefault="009F39E6" w:rsidP="009F39E6">
            <w:pPr>
              <w:widowControl w:val="0"/>
              <w:tabs>
                <w:tab w:val="center" w:pos="2127"/>
                <w:tab w:val="center" w:pos="6379"/>
              </w:tabs>
              <w:rPr>
                <w:rFonts w:ascii="Calibri" w:hAnsi="Calibri"/>
                <w:sz w:val="22"/>
                <w:szCs w:val="22"/>
              </w:rPr>
            </w:pPr>
          </w:p>
          <w:p w14:paraId="4D716375" w14:textId="77777777" w:rsidR="009F39E6" w:rsidRDefault="009F39E6" w:rsidP="009F39E6">
            <w:pPr>
              <w:widowControl w:val="0"/>
              <w:tabs>
                <w:tab w:val="center" w:pos="2127"/>
                <w:tab w:val="center" w:pos="6379"/>
              </w:tabs>
              <w:rPr>
                <w:rFonts w:ascii="Calibri" w:hAnsi="Calibri"/>
                <w:sz w:val="22"/>
                <w:szCs w:val="22"/>
              </w:rPr>
            </w:pPr>
          </w:p>
          <w:p w14:paraId="21DD966F" w14:textId="12015D18" w:rsidR="009F39E6" w:rsidRDefault="009F39E6" w:rsidP="009F39E6">
            <w:pPr>
              <w:widowControl w:val="0"/>
              <w:tabs>
                <w:tab w:val="center" w:pos="2127"/>
                <w:tab w:val="center" w:pos="6379"/>
              </w:tabs>
              <w:rPr>
                <w:rFonts w:ascii="Calibri" w:hAnsi="Calibri" w:cs="Calibri"/>
                <w:sz w:val="22"/>
                <w:szCs w:val="22"/>
              </w:rPr>
            </w:pPr>
            <w:r>
              <w:rPr>
                <w:rFonts w:ascii="Calibri" w:hAnsi="Calibri"/>
                <w:sz w:val="22"/>
                <w:szCs w:val="22"/>
              </w:rPr>
              <w:t>S</w:t>
            </w:r>
            <w:r w:rsidRPr="007B02A8">
              <w:rPr>
                <w:rFonts w:ascii="Calibri" w:hAnsi="Calibri"/>
                <w:sz w:val="22"/>
                <w:szCs w:val="22"/>
              </w:rPr>
              <w:t>mlouvu zpracoval/a:</w:t>
            </w:r>
            <w:r>
              <w:rPr>
                <w:rFonts w:ascii="Calibri" w:hAnsi="Calibri"/>
                <w:sz w:val="22"/>
                <w:szCs w:val="22"/>
              </w:rPr>
              <w:t xml:space="preserve"> Vendula </w:t>
            </w:r>
            <w:proofErr w:type="spellStart"/>
            <w:r>
              <w:rPr>
                <w:rFonts w:ascii="Calibri" w:hAnsi="Calibri"/>
                <w:sz w:val="22"/>
                <w:szCs w:val="22"/>
              </w:rPr>
              <w:t>Odvodyová</w:t>
            </w:r>
            <w:proofErr w:type="spellEnd"/>
          </w:p>
        </w:tc>
        <w:tc>
          <w:tcPr>
            <w:tcW w:w="4876" w:type="dxa"/>
          </w:tcPr>
          <w:p w14:paraId="62425980" w14:textId="77777777" w:rsidR="009F39E6" w:rsidRPr="00FA4861" w:rsidRDefault="009F39E6" w:rsidP="009F39E6">
            <w:pPr>
              <w:widowControl w:val="0"/>
              <w:tabs>
                <w:tab w:val="center" w:pos="2127"/>
                <w:tab w:val="center" w:pos="6379"/>
              </w:tabs>
              <w:rPr>
                <w:rFonts w:ascii="Calibri" w:hAnsi="Calibri"/>
                <w:sz w:val="22"/>
                <w:szCs w:val="22"/>
              </w:rPr>
            </w:pPr>
            <w:r w:rsidRPr="00FA4861">
              <w:rPr>
                <w:rFonts w:ascii="Calibri" w:hAnsi="Calibri" w:cs="Arial"/>
                <w:sz w:val="22"/>
                <w:szCs w:val="22"/>
              </w:rPr>
              <w:t>V</w:t>
            </w:r>
            <w:r>
              <w:rPr>
                <w:rFonts w:ascii="Calibri" w:hAnsi="Calibri" w:cs="Arial"/>
                <w:sz w:val="22"/>
                <w:szCs w:val="22"/>
              </w:rPr>
              <w:t xml:space="preserve">e Smečně </w:t>
            </w:r>
            <w:r w:rsidRPr="00E26060">
              <w:rPr>
                <w:rFonts w:ascii="Calibri" w:hAnsi="Calibri" w:cs="Arial"/>
                <w:sz w:val="22"/>
                <w:szCs w:val="22"/>
              </w:rPr>
              <w:t xml:space="preserve">dne </w:t>
            </w:r>
            <w:r w:rsidRPr="00E91526">
              <w:rPr>
                <w:rFonts w:ascii="Calibri" w:hAnsi="Calibri" w:cs="Arial"/>
                <w:sz w:val="22"/>
                <w:szCs w:val="22"/>
              </w:rPr>
              <w:t>……………………</w:t>
            </w:r>
          </w:p>
          <w:p w14:paraId="26706476" w14:textId="77777777" w:rsidR="009F39E6" w:rsidRPr="00FA4861" w:rsidRDefault="009F39E6" w:rsidP="009F39E6">
            <w:pPr>
              <w:widowControl w:val="0"/>
              <w:tabs>
                <w:tab w:val="center" w:pos="2127"/>
                <w:tab w:val="center" w:pos="6379"/>
              </w:tabs>
              <w:rPr>
                <w:rFonts w:ascii="Calibri" w:hAnsi="Calibri"/>
                <w:sz w:val="22"/>
                <w:szCs w:val="22"/>
              </w:rPr>
            </w:pPr>
          </w:p>
          <w:p w14:paraId="40CAB7FE" w14:textId="77777777" w:rsidR="009F39E6" w:rsidRPr="00FA4861" w:rsidRDefault="009F39E6" w:rsidP="009F39E6">
            <w:pPr>
              <w:widowControl w:val="0"/>
              <w:tabs>
                <w:tab w:val="center" w:pos="2127"/>
                <w:tab w:val="center" w:pos="6379"/>
              </w:tabs>
              <w:rPr>
                <w:rFonts w:ascii="Calibri" w:hAnsi="Calibri"/>
                <w:sz w:val="22"/>
                <w:szCs w:val="22"/>
              </w:rPr>
            </w:pPr>
          </w:p>
          <w:p w14:paraId="3C015CCC" w14:textId="77777777" w:rsidR="009F39E6" w:rsidRPr="00FA4861" w:rsidRDefault="009F39E6" w:rsidP="009F39E6">
            <w:pPr>
              <w:widowControl w:val="0"/>
              <w:tabs>
                <w:tab w:val="center" w:pos="2127"/>
                <w:tab w:val="center" w:pos="6379"/>
              </w:tabs>
              <w:rPr>
                <w:rFonts w:ascii="Calibri" w:hAnsi="Calibri"/>
                <w:sz w:val="22"/>
                <w:szCs w:val="22"/>
              </w:rPr>
            </w:pPr>
            <w:r w:rsidRPr="00FA4861">
              <w:rPr>
                <w:rFonts w:ascii="Calibri" w:hAnsi="Calibri"/>
                <w:sz w:val="22"/>
                <w:szCs w:val="22"/>
              </w:rPr>
              <w:t xml:space="preserve">Za </w:t>
            </w:r>
            <w:r w:rsidRPr="00483EFB">
              <w:rPr>
                <w:rFonts w:ascii="Calibri" w:hAnsi="Calibri"/>
                <w:sz w:val="22"/>
                <w:szCs w:val="22"/>
              </w:rPr>
              <w:t>Domov Pod Lipami Smečno, poskytovatel</w:t>
            </w:r>
            <w:r>
              <w:rPr>
                <w:rFonts w:ascii="Calibri" w:hAnsi="Calibri"/>
                <w:sz w:val="22"/>
                <w:szCs w:val="22"/>
              </w:rPr>
              <w:t>e</w:t>
            </w:r>
            <w:r w:rsidRPr="00483EFB">
              <w:rPr>
                <w:rFonts w:ascii="Calibri" w:hAnsi="Calibri"/>
                <w:sz w:val="22"/>
                <w:szCs w:val="22"/>
              </w:rPr>
              <w:t xml:space="preserve"> sociálních služeb</w:t>
            </w:r>
          </w:p>
          <w:p w14:paraId="1B51C991" w14:textId="77777777" w:rsidR="009F39E6" w:rsidRPr="00FA4861" w:rsidRDefault="009F39E6" w:rsidP="009F39E6">
            <w:pPr>
              <w:widowControl w:val="0"/>
              <w:tabs>
                <w:tab w:val="center" w:pos="2127"/>
                <w:tab w:val="center" w:pos="6379"/>
              </w:tabs>
              <w:rPr>
                <w:rFonts w:ascii="Calibri" w:hAnsi="Calibri"/>
                <w:sz w:val="22"/>
                <w:szCs w:val="22"/>
              </w:rPr>
            </w:pPr>
          </w:p>
          <w:p w14:paraId="2BAE6FC8" w14:textId="77777777" w:rsidR="009F39E6" w:rsidRPr="00FA4861" w:rsidRDefault="009F39E6" w:rsidP="009F39E6">
            <w:pPr>
              <w:widowControl w:val="0"/>
              <w:tabs>
                <w:tab w:val="center" w:pos="2127"/>
                <w:tab w:val="center" w:pos="6379"/>
              </w:tabs>
              <w:rPr>
                <w:rFonts w:ascii="Calibri" w:hAnsi="Calibri"/>
                <w:sz w:val="22"/>
                <w:szCs w:val="22"/>
              </w:rPr>
            </w:pPr>
          </w:p>
          <w:p w14:paraId="5E0316A8" w14:textId="77777777" w:rsidR="009F39E6" w:rsidRPr="00FA4861" w:rsidRDefault="009F39E6" w:rsidP="009F39E6">
            <w:pPr>
              <w:widowControl w:val="0"/>
              <w:tabs>
                <w:tab w:val="center" w:pos="2127"/>
                <w:tab w:val="center" w:pos="6379"/>
              </w:tabs>
              <w:rPr>
                <w:rFonts w:ascii="Calibri" w:hAnsi="Calibri"/>
                <w:sz w:val="22"/>
                <w:szCs w:val="22"/>
              </w:rPr>
            </w:pPr>
          </w:p>
          <w:p w14:paraId="3789246A" w14:textId="77777777" w:rsidR="009F39E6" w:rsidRPr="00FA4861" w:rsidRDefault="009F39E6" w:rsidP="009F39E6">
            <w:pPr>
              <w:widowControl w:val="0"/>
              <w:tabs>
                <w:tab w:val="center" w:pos="2552"/>
                <w:tab w:val="center" w:pos="6804"/>
              </w:tabs>
              <w:rPr>
                <w:rFonts w:ascii="Calibri" w:hAnsi="Calibri"/>
                <w:sz w:val="22"/>
                <w:szCs w:val="22"/>
              </w:rPr>
            </w:pPr>
            <w:r w:rsidRPr="00FA4861">
              <w:rPr>
                <w:rFonts w:ascii="Calibri" w:hAnsi="Calibri"/>
                <w:sz w:val="22"/>
                <w:szCs w:val="22"/>
              </w:rPr>
              <w:t>…………………………………………………………</w:t>
            </w:r>
          </w:p>
          <w:p w14:paraId="2346DA3D" w14:textId="77777777" w:rsidR="009F39E6" w:rsidRDefault="009F39E6" w:rsidP="009F39E6">
            <w:pPr>
              <w:widowControl w:val="0"/>
              <w:tabs>
                <w:tab w:val="center" w:pos="2552"/>
                <w:tab w:val="center" w:pos="6804"/>
              </w:tabs>
              <w:rPr>
                <w:rFonts w:ascii="Calibri" w:hAnsi="Calibri"/>
                <w:sz w:val="22"/>
                <w:szCs w:val="22"/>
              </w:rPr>
            </w:pPr>
            <w:r w:rsidRPr="003F7C9A">
              <w:rPr>
                <w:rFonts w:ascii="Calibri" w:hAnsi="Calibri"/>
                <w:sz w:val="22"/>
                <w:szCs w:val="22"/>
              </w:rPr>
              <w:t>Bc. Petr Šála</w:t>
            </w:r>
          </w:p>
          <w:p w14:paraId="02618701" w14:textId="702F26EE" w:rsidR="009F39E6" w:rsidRDefault="009F39E6" w:rsidP="009F39E6">
            <w:pPr>
              <w:widowControl w:val="0"/>
              <w:tabs>
                <w:tab w:val="center" w:pos="2552"/>
                <w:tab w:val="center" w:pos="6804"/>
              </w:tabs>
              <w:rPr>
                <w:rFonts w:ascii="Calibri" w:hAnsi="Calibri" w:cs="Calibri"/>
                <w:sz w:val="22"/>
                <w:szCs w:val="22"/>
              </w:rPr>
            </w:pPr>
            <w:r w:rsidRPr="003F7C9A">
              <w:rPr>
                <w:rFonts w:ascii="Calibri" w:hAnsi="Calibri"/>
                <w:sz w:val="22"/>
                <w:szCs w:val="22"/>
              </w:rPr>
              <w:t>ředitel</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 xml:space="preserve">Specifikace poskytnutých softwarových modulů a funkcí HELIOS </w:t>
      </w:r>
      <w:proofErr w:type="spellStart"/>
      <w:r>
        <w:rPr>
          <w:rFonts w:ascii="Calibri" w:hAnsi="Calibri" w:cs="Calibri"/>
          <w:sz w:val="22"/>
          <w:szCs w:val="22"/>
        </w:rPr>
        <w:t>Fenix</w:t>
      </w:r>
      <w:proofErr w:type="spellEnd"/>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42702D" w14:paraId="1865BA9A" w14:textId="77777777" w:rsidTr="00813DC3">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2AE785"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B00BBD9"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6334834"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9F39E6" w14:paraId="3C19822F" w14:textId="77777777" w:rsidTr="009F39E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11B452E8" w14:textId="26EF2B0E" w:rsidR="009F39E6" w:rsidRDefault="009F39E6" w:rsidP="009F39E6">
            <w:pPr>
              <w:tabs>
                <w:tab w:val="left" w:pos="284"/>
                <w:tab w:val="left" w:pos="1985"/>
                <w:tab w:val="left" w:pos="3119"/>
                <w:tab w:val="left" w:pos="4253"/>
                <w:tab w:val="left" w:pos="6521"/>
              </w:tabs>
              <w:spacing w:before="60" w:after="60"/>
              <w:rPr>
                <w:rFonts w:ascii="Calibri" w:hAnsi="Calibri" w:cs="Calibri"/>
                <w:sz w:val="22"/>
                <w:szCs w:val="22"/>
              </w:rPr>
            </w:pPr>
            <w:r w:rsidRPr="00EC281B">
              <w:rPr>
                <w:rFonts w:ascii="Calibri" w:hAnsi="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hideMark/>
          </w:tcPr>
          <w:p w14:paraId="4DDD4128" w14:textId="77777777" w:rsidR="009F39E6" w:rsidRPr="007742E9" w:rsidRDefault="009F39E6" w:rsidP="009F39E6">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F39E6" w14:paraId="4BA55121"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9A41912" w14:textId="405384E3" w:rsidR="009F39E6" w:rsidRDefault="009F39E6" w:rsidP="009F39E6">
            <w:pPr>
              <w:tabs>
                <w:tab w:val="left" w:pos="284"/>
                <w:tab w:val="left" w:pos="1985"/>
                <w:tab w:val="left" w:pos="3119"/>
                <w:tab w:val="left" w:pos="4253"/>
                <w:tab w:val="left" w:pos="6521"/>
              </w:tabs>
              <w:spacing w:before="60" w:after="60"/>
              <w:rPr>
                <w:rFonts w:ascii="Calibri" w:hAnsi="Calibri" w:cs="Calibri"/>
                <w:sz w:val="22"/>
                <w:szCs w:val="22"/>
              </w:rPr>
            </w:pPr>
            <w:r w:rsidRPr="00EC281B">
              <w:rPr>
                <w:rFonts w:ascii="Calibri" w:hAnsi="Calibri"/>
                <w:sz w:val="22"/>
                <w:szCs w:val="22"/>
              </w:rPr>
              <w:t>Podpora čárového kódu Majetku</w:t>
            </w:r>
          </w:p>
        </w:tc>
        <w:tc>
          <w:tcPr>
            <w:tcW w:w="1526" w:type="dxa"/>
            <w:tcBorders>
              <w:top w:val="single" w:sz="4" w:space="0" w:color="auto"/>
              <w:left w:val="single" w:sz="4" w:space="0" w:color="auto"/>
              <w:bottom w:val="single" w:sz="4" w:space="0" w:color="auto"/>
              <w:right w:val="single" w:sz="6" w:space="0" w:color="auto"/>
            </w:tcBorders>
            <w:vAlign w:val="center"/>
          </w:tcPr>
          <w:p w14:paraId="676292C4" w14:textId="77777777" w:rsidR="009F39E6" w:rsidRPr="007742E9" w:rsidRDefault="009F39E6" w:rsidP="009F39E6">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F39E6" w14:paraId="7AB83562"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B32523E" w14:textId="77777777" w:rsidR="009F39E6" w:rsidRDefault="009F39E6" w:rsidP="009F39E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489EF90" w14:textId="234714CF" w:rsidR="009F39E6" w:rsidRDefault="009F39E6" w:rsidP="009F39E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F39E6" w14:paraId="3007A966"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7E4FB26" w14:textId="77777777" w:rsidR="009F39E6" w:rsidRDefault="009F39E6" w:rsidP="009F39E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76838EBC" w14:textId="14E7CD5F" w:rsidR="009F39E6" w:rsidRDefault="009F39E6" w:rsidP="009F39E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30FA857F" w14:textId="77777777" w:rsidR="0042702D" w:rsidRDefault="0042702D" w:rsidP="0042702D">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 xml:space="preserve">Rozsah poskytování provozní podpory HELIOS </w:t>
      </w:r>
      <w:proofErr w:type="spellStart"/>
      <w:r>
        <w:rPr>
          <w:rFonts w:ascii="Calibri" w:hAnsi="Calibri" w:cs="Calibri"/>
          <w:b/>
          <w:bCs/>
          <w:sz w:val="22"/>
          <w:szCs w:val="22"/>
        </w:rPr>
        <w:t>Fenix</w:t>
      </w:r>
      <w:proofErr w:type="spellEnd"/>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w:t>
            </w:r>
            <w:proofErr w:type="spellStart"/>
            <w:r>
              <w:rPr>
                <w:rFonts w:ascii="Calibri" w:hAnsi="Calibri" w:cs="Calibri"/>
                <w:b/>
                <w:color w:val="FFFFFF"/>
                <w:sz w:val="22"/>
                <w:szCs w:val="22"/>
              </w:rPr>
              <w:t>Fenix</w:t>
            </w:r>
            <w:proofErr w:type="spellEnd"/>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9F39E6"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5E933D83" w:rsidR="009F39E6" w:rsidRDefault="009F39E6" w:rsidP="009F39E6">
            <w:pPr>
              <w:tabs>
                <w:tab w:val="left" w:pos="284"/>
                <w:tab w:val="left" w:pos="1985"/>
                <w:tab w:val="left" w:pos="3119"/>
                <w:tab w:val="left" w:pos="4253"/>
                <w:tab w:val="left" w:pos="6521"/>
              </w:tabs>
              <w:spacing w:before="60" w:after="60"/>
              <w:rPr>
                <w:rFonts w:ascii="Calibri" w:hAnsi="Calibri" w:cs="Calibri"/>
                <w:sz w:val="22"/>
                <w:szCs w:val="22"/>
              </w:rPr>
            </w:pPr>
            <w:r w:rsidRPr="00EC281B">
              <w:rPr>
                <w:rFonts w:ascii="Calibri" w:hAnsi="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9F25DF6" w:rsidR="009F39E6" w:rsidRDefault="009F39E6" w:rsidP="009F39E6">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7EB8FCDD" w:rsidR="009F39E6" w:rsidRDefault="00D5285D" w:rsidP="009F39E6">
            <w:pPr>
              <w:ind w:right="220"/>
              <w:jc w:val="right"/>
              <w:rPr>
                <w:rFonts w:ascii="Calibri" w:hAnsi="Calibri" w:cs="Calibri"/>
                <w:sz w:val="22"/>
                <w:szCs w:val="22"/>
              </w:rPr>
            </w:pPr>
            <w:r>
              <w:rPr>
                <w:rFonts w:ascii="Calibri" w:hAnsi="Calibri" w:cs="Calibri"/>
                <w:sz w:val="22"/>
                <w:szCs w:val="22"/>
              </w:rPr>
              <w:t>3 000</w:t>
            </w:r>
          </w:p>
        </w:tc>
      </w:tr>
      <w:tr w:rsidR="009F39E6"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51ABC04D" w:rsidR="009F39E6" w:rsidRDefault="009F39E6" w:rsidP="009F39E6">
            <w:pPr>
              <w:tabs>
                <w:tab w:val="left" w:pos="284"/>
                <w:tab w:val="left" w:pos="1985"/>
                <w:tab w:val="left" w:pos="3119"/>
                <w:tab w:val="left" w:pos="4253"/>
                <w:tab w:val="left" w:pos="6521"/>
              </w:tabs>
              <w:spacing w:before="60" w:after="60"/>
              <w:rPr>
                <w:rFonts w:ascii="Calibri" w:hAnsi="Calibri" w:cs="Calibri"/>
                <w:sz w:val="22"/>
                <w:szCs w:val="22"/>
              </w:rPr>
            </w:pPr>
            <w:r w:rsidRPr="00EC281B">
              <w:rPr>
                <w:rFonts w:ascii="Calibri" w:hAnsi="Calibri"/>
                <w:sz w:val="22"/>
                <w:szCs w:val="22"/>
              </w:rPr>
              <w:t>Podpora čárového kódu Majetku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5205AFF" w:rsidR="009F39E6" w:rsidRDefault="009F39E6" w:rsidP="009F39E6">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7594E81B" w:rsidR="009F39E6" w:rsidRDefault="00D5285D" w:rsidP="009F39E6">
            <w:pPr>
              <w:ind w:right="220"/>
              <w:jc w:val="right"/>
              <w:rPr>
                <w:rFonts w:ascii="Calibri" w:hAnsi="Calibri" w:cs="Calibri"/>
                <w:sz w:val="22"/>
                <w:szCs w:val="22"/>
              </w:rPr>
            </w:pPr>
            <w:r>
              <w:rPr>
                <w:rFonts w:ascii="Calibri" w:hAnsi="Calibri" w:cs="Calibri"/>
                <w:sz w:val="22"/>
                <w:szCs w:val="22"/>
              </w:rPr>
              <w:t>3 000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59365CC1" w:rsidR="007372EE" w:rsidRDefault="00D5285D">
            <w:pPr>
              <w:spacing w:before="60" w:after="60"/>
              <w:ind w:left="357" w:hanging="357"/>
              <w:jc w:val="center"/>
              <w:rPr>
                <w:rFonts w:ascii="Calibri" w:hAnsi="Calibri" w:cs="Calibri"/>
                <w:sz w:val="22"/>
                <w:szCs w:val="22"/>
              </w:rPr>
            </w:pPr>
            <w:r>
              <w:rPr>
                <w:rFonts w:ascii="Calibri" w:hAnsi="Calibri" w:cs="Calibri"/>
                <w:sz w:val="22"/>
                <w:szCs w:val="22"/>
              </w:rPr>
              <w:t>2</w:t>
            </w:r>
            <w:r w:rsidR="007372EE">
              <w:rPr>
                <w:rFonts w:ascii="Calibri" w:hAnsi="Calibri" w:cs="Calibri"/>
                <w:sz w:val="22"/>
                <w:szCs w:val="22"/>
              </w:rPr>
              <w:t xml:space="preserve"> hodin</w:t>
            </w:r>
            <w:r w:rsidR="00502884">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703F6F">
        <w:rPr>
          <w:rFonts w:ascii="Calibri" w:hAnsi="Calibri" w:cs="Calibri"/>
          <w:b/>
          <w:sz w:val="22"/>
          <w:szCs w:val="22"/>
        </w:rPr>
        <w:lastRenderedPageBreak/>
        <w:t>Stanovení ceny za provozní podpory</w:t>
      </w:r>
    </w:p>
    <w:p w14:paraId="71CD6C82" w14:textId="223961AA" w:rsidR="00703F6F" w:rsidRDefault="00703F6F" w:rsidP="00703F6F">
      <w:pPr>
        <w:jc w:val="center"/>
        <w:rPr>
          <w:rFonts w:ascii="Calibri" w:hAnsi="Calibri" w:cs="Calibri"/>
          <w:b/>
          <w:sz w:val="22"/>
          <w:szCs w:val="22"/>
        </w:rPr>
      </w:pPr>
      <w:r>
        <w:rPr>
          <w:rFonts w:ascii="Calibri" w:hAnsi="Calibri" w:cs="Calibri"/>
          <w:b/>
          <w:sz w:val="22"/>
          <w:szCs w:val="22"/>
        </w:rPr>
        <w:t>od 1.1.202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19E63B2A" w:rsidR="001F3750" w:rsidRDefault="00D5285D" w:rsidP="00D95D6D">
            <w:pPr>
              <w:ind w:right="213"/>
              <w:jc w:val="right"/>
              <w:rPr>
                <w:rFonts w:ascii="Calibri" w:hAnsi="Calibri" w:cs="Calibri"/>
                <w:sz w:val="22"/>
                <w:szCs w:val="22"/>
              </w:rPr>
            </w:pPr>
            <w:r>
              <w:rPr>
                <w:rFonts w:ascii="Calibri" w:hAnsi="Calibri" w:cs="Calibri"/>
                <w:sz w:val="22"/>
                <w:szCs w:val="22"/>
              </w:rPr>
              <w:t>6 000</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691D6C84" w:rsidR="001F3750" w:rsidRDefault="00D5285D" w:rsidP="00D95D6D">
            <w:pPr>
              <w:ind w:right="213"/>
              <w:jc w:val="right"/>
              <w:rPr>
                <w:rFonts w:ascii="Calibri" w:hAnsi="Calibri" w:cs="Calibri"/>
                <w:sz w:val="22"/>
                <w:szCs w:val="22"/>
              </w:rPr>
            </w:pPr>
            <w:r>
              <w:rPr>
                <w:rFonts w:ascii="Calibri" w:hAnsi="Calibri" w:cs="Calibri"/>
                <w:sz w:val="22"/>
                <w:szCs w:val="22"/>
              </w:rPr>
              <w:t>2 900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33960C0" w:rsidR="001F3750" w:rsidRDefault="00CD46AD"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5EC64B45" w:rsidR="001F3750" w:rsidRDefault="00D5285D" w:rsidP="00D95D6D">
            <w:pPr>
              <w:ind w:right="213"/>
              <w:jc w:val="right"/>
              <w:rPr>
                <w:rFonts w:ascii="Calibri" w:hAnsi="Calibri" w:cs="Calibri"/>
                <w:b/>
                <w:sz w:val="22"/>
                <w:szCs w:val="22"/>
              </w:rPr>
            </w:pPr>
            <w:r>
              <w:rPr>
                <w:rFonts w:ascii="Calibri" w:hAnsi="Calibri" w:cs="Calibri"/>
                <w:b/>
                <w:sz w:val="22"/>
                <w:szCs w:val="22"/>
              </w:rPr>
              <w:t>8 900,00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500CF234" w:rsidR="001F3750" w:rsidRDefault="00D5285D" w:rsidP="00D95D6D">
            <w:pPr>
              <w:ind w:right="213"/>
              <w:jc w:val="right"/>
              <w:rPr>
                <w:rFonts w:ascii="Calibri" w:hAnsi="Calibri" w:cs="Calibri"/>
                <w:b/>
                <w:sz w:val="22"/>
                <w:szCs w:val="22"/>
              </w:rPr>
            </w:pPr>
            <w:r>
              <w:rPr>
                <w:rFonts w:ascii="Calibri" w:hAnsi="Calibri" w:cs="Calibri"/>
                <w:b/>
                <w:sz w:val="22"/>
                <w:szCs w:val="22"/>
              </w:rPr>
              <w:t>10 769,00</w:t>
            </w:r>
          </w:p>
        </w:tc>
      </w:tr>
    </w:tbl>
    <w:p w14:paraId="49477A50" w14:textId="77777777" w:rsidR="001F3750" w:rsidRDefault="001F3750" w:rsidP="001F3750">
      <w:pPr>
        <w:ind w:left="284" w:right="-709"/>
        <w:rPr>
          <w:rFonts w:ascii="Calibri" w:hAnsi="Calibri" w:cs="Calibri"/>
          <w:sz w:val="22"/>
          <w:szCs w:val="22"/>
          <w:highlight w:val="yellow"/>
        </w:rPr>
      </w:pPr>
    </w:p>
    <w:bookmarkEnd w:id="15"/>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B7CE" w14:textId="77777777" w:rsidR="003B7EC7" w:rsidRDefault="003B7EC7">
      <w:r>
        <w:separator/>
      </w:r>
    </w:p>
  </w:endnote>
  <w:endnote w:type="continuationSeparator" w:id="0">
    <w:p w14:paraId="7AAA50D7" w14:textId="77777777" w:rsidR="003B7EC7" w:rsidRDefault="003B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370C9EF4" w:rsidR="004D7531" w:rsidRPr="00A67FA2" w:rsidRDefault="002C7347" w:rsidP="00A45383">
    <w:pPr>
      <w:pStyle w:val="Zpat"/>
      <w:jc w:val="right"/>
    </w:pPr>
    <w:r>
      <w:rPr>
        <w:noProof/>
      </w:rPr>
      <w:drawing>
        <wp:inline distT="0" distB="0" distL="0" distR="0" wp14:anchorId="263A2CE3" wp14:editId="15D8BE63">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BF72" w14:textId="77777777" w:rsidR="003B7EC7" w:rsidRDefault="003B7EC7">
      <w:r>
        <w:separator/>
      </w:r>
    </w:p>
  </w:footnote>
  <w:footnote w:type="continuationSeparator" w:id="0">
    <w:p w14:paraId="12EA3B5C" w14:textId="77777777" w:rsidR="003B7EC7" w:rsidRDefault="003B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018F5B76" w:rsidR="004D7531" w:rsidRPr="00B84D10" w:rsidRDefault="002C7347" w:rsidP="004D7531">
    <w:pPr>
      <w:pStyle w:val="Zhlav"/>
    </w:pPr>
    <w:r>
      <w:rPr>
        <w:noProof/>
      </w:rPr>
      <w:drawing>
        <wp:anchor distT="0" distB="0" distL="114300" distR="114300" simplePos="0" relativeHeight="251658240" behindDoc="0" locked="0" layoutInCell="1" allowOverlap="1" wp14:anchorId="02A09BCC" wp14:editId="6AC0CD42">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47D1D640" w:rsidR="004D7531" w:rsidRPr="0096532B" w:rsidRDefault="002C7347" w:rsidP="004D7531">
    <w:pPr>
      <w:pStyle w:val="Zhlav"/>
    </w:pPr>
    <w:r>
      <w:rPr>
        <w:noProof/>
      </w:rPr>
      <mc:AlternateContent>
        <mc:Choice Requires="wps">
          <w:drawing>
            <wp:anchor distT="0" distB="0" distL="114300" distR="114300" simplePos="0" relativeHeight="251657216" behindDoc="0" locked="0" layoutInCell="1" allowOverlap="1" wp14:anchorId="66859F39" wp14:editId="39FA0656">
              <wp:simplePos x="0" y="0"/>
              <wp:positionH relativeFrom="column">
                <wp:posOffset>1627505</wp:posOffset>
              </wp:positionH>
              <wp:positionV relativeFrom="paragraph">
                <wp:posOffset>103505</wp:posOffset>
              </wp:positionV>
              <wp:extent cx="4357370" cy="628650"/>
              <wp:effectExtent l="0" t="0" r="0" b="1270"/>
              <wp:wrapNone/>
              <wp:docPr id="383437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proofErr w:type="spellStart"/>
                          <w:r w:rsidRPr="00FA4861">
                            <w:rPr>
                              <w:rFonts w:ascii="Calibri" w:hAnsi="Calibri"/>
                              <w:b/>
                              <w:i/>
                            </w:rPr>
                            <w:t>Asseco</w:t>
                          </w:r>
                          <w:proofErr w:type="spellEnd"/>
                          <w:r w:rsidRPr="00FA4861">
                            <w:rPr>
                              <w:rFonts w:ascii="Calibri" w:hAnsi="Calibri"/>
                              <w:b/>
                              <w:i/>
                            </w:rPr>
                            <w:t xml:space="preserve"> </w:t>
                          </w:r>
                          <w:proofErr w:type="spellStart"/>
                          <w:r w:rsidRPr="00FA4861">
                            <w:rPr>
                              <w:rFonts w:ascii="Calibri" w:hAnsi="Calibri"/>
                              <w:b/>
                              <w:i/>
                            </w:rPr>
                            <w:t>Solutions</w:t>
                          </w:r>
                          <w:proofErr w:type="spellEnd"/>
                          <w:r w:rsidRPr="00FA4861">
                            <w:rPr>
                              <w:rFonts w:ascii="Calibri" w:hAnsi="Calibri"/>
                              <w:b/>
                              <w:i/>
                            </w:rPr>
                            <w:t>, a.s.</w:t>
                          </w:r>
                        </w:p>
                        <w:p w14:paraId="6861C81F" w14:textId="7E60EE49"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D5285D" w:rsidRPr="00D5285D">
                            <w:rPr>
                              <w:rFonts w:ascii="Calibri" w:hAnsi="Calibri"/>
                              <w:i/>
                            </w:rPr>
                            <w:t>F-19-00313</w:t>
                          </w:r>
                          <w:r w:rsidR="00D5285D">
                            <w:rPr>
                              <w:rFonts w:ascii="Calibri" w:hAnsi="Calibri"/>
                              <w:i/>
                            </w:rPr>
                            <w:t>-01</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7E60EE49"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D5285D" w:rsidRPr="00D5285D">
                      <w:rPr>
                        <w:rFonts w:ascii="Calibri" w:hAnsi="Calibri"/>
                        <w:i/>
                      </w:rPr>
                      <w:t>F-19-00313</w:t>
                    </w:r>
                    <w:r w:rsidR="00D5285D">
                      <w:rPr>
                        <w:rFonts w:ascii="Calibri" w:hAnsi="Calibri"/>
                        <w:i/>
                      </w:rPr>
                      <w:t>-01</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79705BD8"/>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6"/>
  </w:num>
  <w:num w:numId="2" w16cid:durableId="355425964">
    <w:abstractNumId w:val="21"/>
  </w:num>
  <w:num w:numId="3" w16cid:durableId="841240908">
    <w:abstractNumId w:val="19"/>
  </w:num>
  <w:num w:numId="4" w16cid:durableId="411508219">
    <w:abstractNumId w:val="18"/>
  </w:num>
  <w:num w:numId="5" w16cid:durableId="1490750711">
    <w:abstractNumId w:val="16"/>
  </w:num>
  <w:num w:numId="6" w16cid:durableId="526063497">
    <w:abstractNumId w:val="11"/>
  </w:num>
  <w:num w:numId="7" w16cid:durableId="677578683">
    <w:abstractNumId w:val="10"/>
  </w:num>
  <w:num w:numId="8" w16cid:durableId="1078868813">
    <w:abstractNumId w:val="6"/>
    <w:lvlOverride w:ilvl="0">
      <w:startOverride w:val="5"/>
    </w:lvlOverride>
  </w:num>
  <w:num w:numId="9" w16cid:durableId="1191457953">
    <w:abstractNumId w:val="23"/>
  </w:num>
  <w:num w:numId="10" w16cid:durableId="1384937752">
    <w:abstractNumId w:val="6"/>
    <w:lvlOverride w:ilvl="0">
      <w:startOverride w:val="8"/>
    </w:lvlOverride>
  </w:num>
  <w:num w:numId="11" w16cid:durableId="1606112466">
    <w:abstractNumId w:val="6"/>
  </w:num>
  <w:num w:numId="12" w16cid:durableId="1300110707">
    <w:abstractNumId w:val="6"/>
  </w:num>
  <w:num w:numId="13" w16cid:durableId="175697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3"/>
  </w:num>
  <w:num w:numId="15" w16cid:durableId="1140540211">
    <w:abstractNumId w:val="6"/>
  </w:num>
  <w:num w:numId="16" w16cid:durableId="771781456">
    <w:abstractNumId w:val="12"/>
  </w:num>
  <w:num w:numId="17" w16cid:durableId="657074909">
    <w:abstractNumId w:val="24"/>
  </w:num>
  <w:num w:numId="18" w16cid:durableId="632906191">
    <w:abstractNumId w:val="25"/>
  </w:num>
  <w:num w:numId="19" w16cid:durableId="496921353">
    <w:abstractNumId w:val="3"/>
  </w:num>
  <w:num w:numId="20" w16cid:durableId="142241762">
    <w:abstractNumId w:val="26"/>
  </w:num>
  <w:num w:numId="21" w16cid:durableId="208294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6"/>
  </w:num>
  <w:num w:numId="23" w16cid:durableId="1361249255">
    <w:abstractNumId w:val="6"/>
  </w:num>
  <w:num w:numId="24" w16cid:durableId="1838810481">
    <w:abstractNumId w:val="6"/>
  </w:num>
  <w:num w:numId="25" w16cid:durableId="1816606375">
    <w:abstractNumId w:val="17"/>
  </w:num>
  <w:num w:numId="26" w16cid:durableId="1854487558">
    <w:abstractNumId w:val="8"/>
  </w:num>
  <w:num w:numId="27" w16cid:durableId="1923182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20"/>
  </w:num>
  <w:num w:numId="30" w16cid:durableId="190732096">
    <w:abstractNumId w:val="9"/>
  </w:num>
  <w:num w:numId="31" w16cid:durableId="46299166">
    <w:abstractNumId w:val="1"/>
  </w:num>
  <w:num w:numId="32" w16cid:durableId="1639527479">
    <w:abstractNumId w:val="4"/>
  </w:num>
  <w:num w:numId="33" w16cid:durableId="139881646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2"/>
  </w:num>
  <w:num w:numId="37" w16cid:durableId="2082679453">
    <w:abstractNumId w:val="14"/>
  </w:num>
  <w:num w:numId="38" w16cid:durableId="58482777">
    <w:abstractNumId w:val="5"/>
  </w:num>
  <w:num w:numId="39" w16cid:durableId="1961497936">
    <w:abstractNumId w:val="22"/>
  </w:num>
  <w:num w:numId="40" w16cid:durableId="1340230284">
    <w:abstractNumId w:val="7"/>
  </w:num>
  <w:num w:numId="41" w16cid:durableId="455418591">
    <w:abstractNumId w:val="6"/>
  </w:num>
  <w:num w:numId="42" w16cid:durableId="1832671359">
    <w:abstractNumId w:val="6"/>
  </w:num>
  <w:num w:numId="43" w16cid:durableId="9823898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6"/>
  </w:num>
  <w:num w:numId="45" w16cid:durableId="6146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22E9F"/>
    <w:rsid w:val="0002637F"/>
    <w:rsid w:val="000323F2"/>
    <w:rsid w:val="00041D45"/>
    <w:rsid w:val="00043EB7"/>
    <w:rsid w:val="00046C4D"/>
    <w:rsid w:val="00062922"/>
    <w:rsid w:val="00067555"/>
    <w:rsid w:val="00080C97"/>
    <w:rsid w:val="0008274E"/>
    <w:rsid w:val="00084086"/>
    <w:rsid w:val="000916FA"/>
    <w:rsid w:val="00095F73"/>
    <w:rsid w:val="000A0B26"/>
    <w:rsid w:val="000A6E52"/>
    <w:rsid w:val="000B5C63"/>
    <w:rsid w:val="000C3BBC"/>
    <w:rsid w:val="000C745E"/>
    <w:rsid w:val="000D0DAC"/>
    <w:rsid w:val="000D43FC"/>
    <w:rsid w:val="000E3F3C"/>
    <w:rsid w:val="000E4068"/>
    <w:rsid w:val="000E7435"/>
    <w:rsid w:val="000F7444"/>
    <w:rsid w:val="00112C87"/>
    <w:rsid w:val="00114AFC"/>
    <w:rsid w:val="001150AA"/>
    <w:rsid w:val="00115DEE"/>
    <w:rsid w:val="00121E7D"/>
    <w:rsid w:val="0012305F"/>
    <w:rsid w:val="00125CC2"/>
    <w:rsid w:val="00134BEF"/>
    <w:rsid w:val="00136032"/>
    <w:rsid w:val="00144FEE"/>
    <w:rsid w:val="00153980"/>
    <w:rsid w:val="001568B5"/>
    <w:rsid w:val="001571B9"/>
    <w:rsid w:val="0016104B"/>
    <w:rsid w:val="00163959"/>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563C4"/>
    <w:rsid w:val="0026170F"/>
    <w:rsid w:val="002624CC"/>
    <w:rsid w:val="002703F2"/>
    <w:rsid w:val="00270983"/>
    <w:rsid w:val="0027240D"/>
    <w:rsid w:val="00272AFC"/>
    <w:rsid w:val="0027546B"/>
    <w:rsid w:val="00275D87"/>
    <w:rsid w:val="00281410"/>
    <w:rsid w:val="00284C56"/>
    <w:rsid w:val="002879F7"/>
    <w:rsid w:val="002920B1"/>
    <w:rsid w:val="002A0921"/>
    <w:rsid w:val="002A5525"/>
    <w:rsid w:val="002B2BE6"/>
    <w:rsid w:val="002B3F5E"/>
    <w:rsid w:val="002B42F8"/>
    <w:rsid w:val="002C14B3"/>
    <w:rsid w:val="002C3645"/>
    <w:rsid w:val="002C7347"/>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455C"/>
    <w:rsid w:val="00395B92"/>
    <w:rsid w:val="00395E3E"/>
    <w:rsid w:val="003B2AE7"/>
    <w:rsid w:val="003B4499"/>
    <w:rsid w:val="003B7EC7"/>
    <w:rsid w:val="003C47A9"/>
    <w:rsid w:val="003E3B5B"/>
    <w:rsid w:val="003F4603"/>
    <w:rsid w:val="0040120C"/>
    <w:rsid w:val="004028E4"/>
    <w:rsid w:val="004046BF"/>
    <w:rsid w:val="0041252E"/>
    <w:rsid w:val="00413CD1"/>
    <w:rsid w:val="00415A91"/>
    <w:rsid w:val="0042702D"/>
    <w:rsid w:val="00443D18"/>
    <w:rsid w:val="004503DE"/>
    <w:rsid w:val="00451C4B"/>
    <w:rsid w:val="00455056"/>
    <w:rsid w:val="00455D15"/>
    <w:rsid w:val="00461316"/>
    <w:rsid w:val="00465F24"/>
    <w:rsid w:val="004671BB"/>
    <w:rsid w:val="00470B6D"/>
    <w:rsid w:val="00472F61"/>
    <w:rsid w:val="004731BC"/>
    <w:rsid w:val="004755D7"/>
    <w:rsid w:val="00486B6F"/>
    <w:rsid w:val="00494892"/>
    <w:rsid w:val="004A3459"/>
    <w:rsid w:val="004B0EE3"/>
    <w:rsid w:val="004D1B74"/>
    <w:rsid w:val="004D3876"/>
    <w:rsid w:val="004D55D4"/>
    <w:rsid w:val="004D7531"/>
    <w:rsid w:val="004E3957"/>
    <w:rsid w:val="004E41AE"/>
    <w:rsid w:val="004F761F"/>
    <w:rsid w:val="005021E1"/>
    <w:rsid w:val="00502884"/>
    <w:rsid w:val="00506572"/>
    <w:rsid w:val="005113BF"/>
    <w:rsid w:val="00525B5A"/>
    <w:rsid w:val="005262C7"/>
    <w:rsid w:val="00531828"/>
    <w:rsid w:val="005378AC"/>
    <w:rsid w:val="00537E97"/>
    <w:rsid w:val="0054506D"/>
    <w:rsid w:val="00545414"/>
    <w:rsid w:val="0056755E"/>
    <w:rsid w:val="00573A7D"/>
    <w:rsid w:val="00577B45"/>
    <w:rsid w:val="0058407A"/>
    <w:rsid w:val="005961CA"/>
    <w:rsid w:val="00597AB9"/>
    <w:rsid w:val="005A70B7"/>
    <w:rsid w:val="005C6F83"/>
    <w:rsid w:val="005D15F6"/>
    <w:rsid w:val="005D7BB0"/>
    <w:rsid w:val="005D7C3F"/>
    <w:rsid w:val="005E3847"/>
    <w:rsid w:val="005E59EA"/>
    <w:rsid w:val="005E798E"/>
    <w:rsid w:val="005F4D39"/>
    <w:rsid w:val="005F56FD"/>
    <w:rsid w:val="00601524"/>
    <w:rsid w:val="00603615"/>
    <w:rsid w:val="006042F2"/>
    <w:rsid w:val="00607EFA"/>
    <w:rsid w:val="0061357B"/>
    <w:rsid w:val="00613F1C"/>
    <w:rsid w:val="00617BD3"/>
    <w:rsid w:val="0062189F"/>
    <w:rsid w:val="00633409"/>
    <w:rsid w:val="006334FF"/>
    <w:rsid w:val="00647A2D"/>
    <w:rsid w:val="00654361"/>
    <w:rsid w:val="00655203"/>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E3782"/>
    <w:rsid w:val="006E57F6"/>
    <w:rsid w:val="006E5958"/>
    <w:rsid w:val="006E6888"/>
    <w:rsid w:val="006F1FEF"/>
    <w:rsid w:val="006F2C8C"/>
    <w:rsid w:val="006F6CB4"/>
    <w:rsid w:val="00703F6F"/>
    <w:rsid w:val="00720A6B"/>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B666E"/>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1259"/>
    <w:rsid w:val="00866138"/>
    <w:rsid w:val="00866E81"/>
    <w:rsid w:val="00867D61"/>
    <w:rsid w:val="00887A4C"/>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22D6"/>
    <w:rsid w:val="00943E39"/>
    <w:rsid w:val="0094530A"/>
    <w:rsid w:val="009552B7"/>
    <w:rsid w:val="00965D29"/>
    <w:rsid w:val="0096775E"/>
    <w:rsid w:val="00970540"/>
    <w:rsid w:val="00971750"/>
    <w:rsid w:val="009756F6"/>
    <w:rsid w:val="00984E27"/>
    <w:rsid w:val="00990552"/>
    <w:rsid w:val="009918FE"/>
    <w:rsid w:val="00993B46"/>
    <w:rsid w:val="009B19D2"/>
    <w:rsid w:val="009B61C2"/>
    <w:rsid w:val="009C4E1D"/>
    <w:rsid w:val="009D2FAC"/>
    <w:rsid w:val="009D305C"/>
    <w:rsid w:val="009D6D83"/>
    <w:rsid w:val="009D6F1D"/>
    <w:rsid w:val="009D7EB2"/>
    <w:rsid w:val="009E31A2"/>
    <w:rsid w:val="009F237B"/>
    <w:rsid w:val="009F39E6"/>
    <w:rsid w:val="009F47DA"/>
    <w:rsid w:val="009F6BF2"/>
    <w:rsid w:val="00A061B4"/>
    <w:rsid w:val="00A07B08"/>
    <w:rsid w:val="00A1099C"/>
    <w:rsid w:val="00A14621"/>
    <w:rsid w:val="00A15972"/>
    <w:rsid w:val="00A20116"/>
    <w:rsid w:val="00A23CB4"/>
    <w:rsid w:val="00A307BB"/>
    <w:rsid w:val="00A45383"/>
    <w:rsid w:val="00A45EB5"/>
    <w:rsid w:val="00A532D1"/>
    <w:rsid w:val="00A5663E"/>
    <w:rsid w:val="00A56FBA"/>
    <w:rsid w:val="00A74EC3"/>
    <w:rsid w:val="00A76D22"/>
    <w:rsid w:val="00A823EA"/>
    <w:rsid w:val="00A86676"/>
    <w:rsid w:val="00A93CC3"/>
    <w:rsid w:val="00A93F8A"/>
    <w:rsid w:val="00A965BE"/>
    <w:rsid w:val="00AA3A9F"/>
    <w:rsid w:val="00AB1267"/>
    <w:rsid w:val="00AB53F0"/>
    <w:rsid w:val="00AC215E"/>
    <w:rsid w:val="00AC25C1"/>
    <w:rsid w:val="00AC3D97"/>
    <w:rsid w:val="00AD704A"/>
    <w:rsid w:val="00AE3505"/>
    <w:rsid w:val="00AE4017"/>
    <w:rsid w:val="00AF2F24"/>
    <w:rsid w:val="00B009C0"/>
    <w:rsid w:val="00B04865"/>
    <w:rsid w:val="00B126EA"/>
    <w:rsid w:val="00B17CEF"/>
    <w:rsid w:val="00B22004"/>
    <w:rsid w:val="00B348FF"/>
    <w:rsid w:val="00B34D08"/>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216EE"/>
    <w:rsid w:val="00C26B1C"/>
    <w:rsid w:val="00C27652"/>
    <w:rsid w:val="00C44ABD"/>
    <w:rsid w:val="00C52A06"/>
    <w:rsid w:val="00C61B17"/>
    <w:rsid w:val="00C76365"/>
    <w:rsid w:val="00C869C0"/>
    <w:rsid w:val="00C9719A"/>
    <w:rsid w:val="00C974BE"/>
    <w:rsid w:val="00CA49C2"/>
    <w:rsid w:val="00CB4DA7"/>
    <w:rsid w:val="00CB53D4"/>
    <w:rsid w:val="00CB63EC"/>
    <w:rsid w:val="00CC2714"/>
    <w:rsid w:val="00CD2F60"/>
    <w:rsid w:val="00CD30A2"/>
    <w:rsid w:val="00CD33F9"/>
    <w:rsid w:val="00CD46AD"/>
    <w:rsid w:val="00CD7C22"/>
    <w:rsid w:val="00CE512F"/>
    <w:rsid w:val="00CE568E"/>
    <w:rsid w:val="00CF76F7"/>
    <w:rsid w:val="00D034E2"/>
    <w:rsid w:val="00D1600D"/>
    <w:rsid w:val="00D3182B"/>
    <w:rsid w:val="00D31FBB"/>
    <w:rsid w:val="00D32D7A"/>
    <w:rsid w:val="00D5285D"/>
    <w:rsid w:val="00D65B64"/>
    <w:rsid w:val="00D678DB"/>
    <w:rsid w:val="00D7207E"/>
    <w:rsid w:val="00D72E52"/>
    <w:rsid w:val="00D87D15"/>
    <w:rsid w:val="00D95D6D"/>
    <w:rsid w:val="00DB404A"/>
    <w:rsid w:val="00DB56B8"/>
    <w:rsid w:val="00DB6A3E"/>
    <w:rsid w:val="00DC2933"/>
    <w:rsid w:val="00DC2CCD"/>
    <w:rsid w:val="00DC5E36"/>
    <w:rsid w:val="00DD4F5C"/>
    <w:rsid w:val="00DD534D"/>
    <w:rsid w:val="00DD69BB"/>
    <w:rsid w:val="00DE1551"/>
    <w:rsid w:val="00DF487D"/>
    <w:rsid w:val="00DF6756"/>
    <w:rsid w:val="00E01C24"/>
    <w:rsid w:val="00E0333A"/>
    <w:rsid w:val="00E0798C"/>
    <w:rsid w:val="00E113D0"/>
    <w:rsid w:val="00E1451F"/>
    <w:rsid w:val="00E21C06"/>
    <w:rsid w:val="00E22F30"/>
    <w:rsid w:val="00E37E6E"/>
    <w:rsid w:val="00E44A1B"/>
    <w:rsid w:val="00E4543D"/>
    <w:rsid w:val="00E45517"/>
    <w:rsid w:val="00E47FC7"/>
    <w:rsid w:val="00E577B9"/>
    <w:rsid w:val="00E57918"/>
    <w:rsid w:val="00E6315C"/>
    <w:rsid w:val="00E75DFD"/>
    <w:rsid w:val="00E82D8B"/>
    <w:rsid w:val="00E8502C"/>
    <w:rsid w:val="00E87067"/>
    <w:rsid w:val="00E87A21"/>
    <w:rsid w:val="00E930FF"/>
    <w:rsid w:val="00E958A4"/>
    <w:rsid w:val="00E95B66"/>
    <w:rsid w:val="00EA1312"/>
    <w:rsid w:val="00EA4792"/>
    <w:rsid w:val="00EB51DD"/>
    <w:rsid w:val="00EC22B2"/>
    <w:rsid w:val="00ED53F4"/>
    <w:rsid w:val="00EF0ACB"/>
    <w:rsid w:val="00EF6B1A"/>
    <w:rsid w:val="00F05423"/>
    <w:rsid w:val="00F14FA8"/>
    <w:rsid w:val="00F25CE8"/>
    <w:rsid w:val="00F33A0E"/>
    <w:rsid w:val="00F355AD"/>
    <w:rsid w:val="00F35C71"/>
    <w:rsid w:val="00F47B13"/>
    <w:rsid w:val="00F504B3"/>
    <w:rsid w:val="00F61366"/>
    <w:rsid w:val="00F70F10"/>
    <w:rsid w:val="00F75022"/>
    <w:rsid w:val="00F75C0D"/>
    <w:rsid w:val="00F83D6C"/>
    <w:rsid w:val="00F8486C"/>
    <w:rsid w:val="00F85480"/>
    <w:rsid w:val="00F85614"/>
    <w:rsid w:val="00F86ED5"/>
    <w:rsid w:val="00F951F6"/>
    <w:rsid w:val="00FB0046"/>
    <w:rsid w:val="00FB5FE8"/>
    <w:rsid w:val="00FB7678"/>
    <w:rsid w:val="00FC4728"/>
    <w:rsid w:val="00FD3562"/>
    <w:rsid w:val="00FE71F1"/>
    <w:rsid w:val="00FF1B4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2319</Words>
  <Characters>13684</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15972</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Marie Maštalířová</cp:lastModifiedBy>
  <cp:revision>3</cp:revision>
  <dcterms:created xsi:type="dcterms:W3CDTF">2023-10-09T12:16:00Z</dcterms:created>
  <dcterms:modified xsi:type="dcterms:W3CDTF">2023-10-09T12:20:00Z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