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EE" w:rsidRDefault="00B03EEE" w:rsidP="00B03EEE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Příloha č. 1:</w:t>
      </w:r>
      <w:r w:rsidRPr="0023234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Technické podmínky</w:t>
      </w:r>
    </w:p>
    <w:p w:rsidR="00B03EEE" w:rsidRDefault="00B03EEE" w:rsidP="00B03EEE">
      <w:pPr>
        <w:spacing w:after="240"/>
        <w:jc w:val="center"/>
      </w:pPr>
      <w:r>
        <w:rPr>
          <w:b/>
          <w:sz w:val="36"/>
          <w:szCs w:val="36"/>
        </w:rPr>
        <w:t>Technická specifikace</w:t>
      </w:r>
      <w:r w:rsidRPr="00894735">
        <w:rPr>
          <w:b/>
          <w:sz w:val="36"/>
        </w:rPr>
        <w:t xml:space="preserve"> </w:t>
      </w:r>
      <w:r>
        <w:rPr>
          <w:b/>
          <w:sz w:val="36"/>
        </w:rPr>
        <w:t xml:space="preserve">pro </w:t>
      </w:r>
      <w:r w:rsidRPr="002960FE">
        <w:rPr>
          <w:b/>
          <w:sz w:val="36"/>
        </w:rPr>
        <w:t>„SUSEN</w:t>
      </w:r>
      <w:r>
        <w:rPr>
          <w:b/>
          <w:sz w:val="36"/>
        </w:rPr>
        <w:t xml:space="preserve"> </w:t>
      </w:r>
      <w:r w:rsidRPr="002960FE">
        <w:rPr>
          <w:b/>
          <w:sz w:val="36"/>
        </w:rPr>
        <w:t xml:space="preserve">– </w:t>
      </w:r>
      <w:r>
        <w:rPr>
          <w:b/>
          <w:sz w:val="36"/>
        </w:rPr>
        <w:t>Vzduchotechnika pro experimentální technologickou linku“</w:t>
      </w:r>
    </w:p>
    <w:p w:rsidR="00B03EEE" w:rsidRPr="007A5050" w:rsidRDefault="00B03EEE" w:rsidP="00B03EEE">
      <w:pPr>
        <w:pStyle w:val="Zkladntext"/>
        <w:spacing w:after="0"/>
        <w:ind w:right="249"/>
        <w:jc w:val="center"/>
        <w:rPr>
          <w:b/>
          <w:i/>
          <w:sz w:val="28"/>
          <w:lang w:val="cs-CZ"/>
        </w:rPr>
      </w:pPr>
      <w:r>
        <w:rPr>
          <w:b/>
          <w:i/>
          <w:sz w:val="28"/>
          <w:lang w:val="cs-CZ"/>
        </w:rPr>
        <w:t>Díl</w:t>
      </w:r>
      <w:r w:rsidRPr="007A5050">
        <w:rPr>
          <w:b/>
          <w:i/>
          <w:sz w:val="28"/>
          <w:lang w:val="cs-CZ"/>
        </w:rPr>
        <w:t xml:space="preserve"> I</w:t>
      </w:r>
    </w:p>
    <w:p w:rsidR="00B03EEE" w:rsidRDefault="00B03EEE" w:rsidP="00B03EEE">
      <w:pPr>
        <w:jc w:val="both"/>
        <w:rPr>
          <w:b/>
          <w:sz w:val="28"/>
          <w:szCs w:val="28"/>
        </w:rPr>
      </w:pPr>
    </w:p>
    <w:p w:rsidR="00B03EEE" w:rsidRPr="00363413" w:rsidRDefault="00B03EEE" w:rsidP="00B03E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Zadávací popis pro </w:t>
      </w:r>
      <w:proofErr w:type="spellStart"/>
      <w:r>
        <w:rPr>
          <w:b/>
          <w:sz w:val="28"/>
          <w:szCs w:val="28"/>
        </w:rPr>
        <w:t>vzduchotehcniku</w:t>
      </w:r>
      <w:proofErr w:type="spellEnd"/>
    </w:p>
    <w:p w:rsidR="00682E5B" w:rsidRPr="00363413" w:rsidRDefault="00682E5B" w:rsidP="00795C6C">
      <w:pPr>
        <w:spacing w:after="0"/>
        <w:jc w:val="both"/>
      </w:pPr>
    </w:p>
    <w:p w:rsidR="00682E5B" w:rsidRPr="00363413" w:rsidRDefault="00682E5B" w:rsidP="00795C6C">
      <w:pPr>
        <w:pStyle w:val="Nadpis1"/>
        <w:jc w:val="both"/>
      </w:pPr>
      <w:r w:rsidRPr="00363413">
        <w:t>Úvod</w:t>
      </w:r>
    </w:p>
    <w:p w:rsidR="00682E5B" w:rsidRDefault="00682E5B" w:rsidP="00795C6C">
      <w:pPr>
        <w:jc w:val="both"/>
      </w:pPr>
      <w:r w:rsidRPr="00363413">
        <w:t xml:space="preserve">Tento dokument slouží pro zadání k výběrovému řízení </w:t>
      </w:r>
      <w:r>
        <w:t xml:space="preserve">na dodávku </w:t>
      </w:r>
      <w:r w:rsidR="000D5A0A">
        <w:t>vzduchotechniky</w:t>
      </w:r>
      <w:r>
        <w:t xml:space="preserve"> </w:t>
      </w:r>
      <w:r w:rsidRPr="00363413">
        <w:t xml:space="preserve">pro </w:t>
      </w:r>
      <w:r w:rsidR="00E24267">
        <w:t xml:space="preserve">experimentální zařízení ke zpracování kapalných a </w:t>
      </w:r>
      <w:proofErr w:type="spellStart"/>
      <w:r w:rsidR="00E24267">
        <w:t>semi</w:t>
      </w:r>
      <w:proofErr w:type="spellEnd"/>
      <w:r w:rsidR="00E24267">
        <w:t>-kapalných odpadů</w:t>
      </w:r>
      <w:r w:rsidRPr="00363413">
        <w:t xml:space="preserve"> pro </w:t>
      </w:r>
      <w:r>
        <w:t>Centrum výzkumu</w:t>
      </w:r>
      <w:r w:rsidR="000D5A0A">
        <w:t xml:space="preserve"> Řež</w:t>
      </w:r>
      <w:r w:rsidR="00E24267">
        <w:t>.</w:t>
      </w:r>
    </w:p>
    <w:p w:rsidR="00271DB2" w:rsidRPr="00363413" w:rsidRDefault="00271DB2" w:rsidP="00795C6C">
      <w:pPr>
        <w:jc w:val="both"/>
      </w:pPr>
      <w:bookmarkStart w:id="0" w:name="_GoBack"/>
    </w:p>
    <w:bookmarkEnd w:id="0"/>
    <w:p w:rsidR="00682E5B" w:rsidRDefault="00682E5B" w:rsidP="00795C6C">
      <w:pPr>
        <w:pStyle w:val="Nadpis2"/>
        <w:jc w:val="both"/>
        <w:rPr>
          <w:rStyle w:val="Siln"/>
          <w:b/>
        </w:rPr>
      </w:pPr>
      <w:r w:rsidRPr="00363413">
        <w:rPr>
          <w:rStyle w:val="Siln"/>
          <w:b/>
        </w:rPr>
        <w:t>V rámci plnění předmětu dodávky budou splněny tyto činnosti:</w:t>
      </w:r>
    </w:p>
    <w:p w:rsidR="00682E5B" w:rsidRDefault="00E24267" w:rsidP="0047250E">
      <w:pPr>
        <w:jc w:val="both"/>
      </w:pPr>
      <w:r>
        <w:t>Instalace zařízení propojující výstup technologické zařízení a vstup do vzduchotechniky</w:t>
      </w:r>
      <w:r w:rsidR="00682E5B">
        <w:t>.</w:t>
      </w:r>
      <w:r>
        <w:t xml:space="preserve"> Uvedení do provozu a zaškolení zadavatele včetně průvodní dokumentace a servisní práce.</w:t>
      </w:r>
    </w:p>
    <w:p w:rsidR="00682E5B" w:rsidRPr="00363413" w:rsidRDefault="00682E5B" w:rsidP="0047250E">
      <w:pPr>
        <w:jc w:val="both"/>
      </w:pPr>
    </w:p>
    <w:p w:rsidR="00682E5B" w:rsidRDefault="00682E5B" w:rsidP="00795C6C">
      <w:pPr>
        <w:pStyle w:val="Nadpis2"/>
        <w:jc w:val="both"/>
        <w:rPr>
          <w:rStyle w:val="Siln"/>
          <w:b/>
        </w:rPr>
      </w:pPr>
      <w:r w:rsidRPr="00363413">
        <w:t>P</w:t>
      </w:r>
      <w:r w:rsidRPr="00363413">
        <w:rPr>
          <w:rStyle w:val="Siln"/>
          <w:b/>
        </w:rPr>
        <w:t>ředmět dodávky</w:t>
      </w:r>
    </w:p>
    <w:p w:rsidR="00682E5B" w:rsidRDefault="002479EF" w:rsidP="00B1509D">
      <w:pPr>
        <w:jc w:val="both"/>
      </w:pPr>
      <w:r>
        <w:t>Dodávané z</w:t>
      </w:r>
      <w:r w:rsidR="00E24267">
        <w:t>ařízení bude</w:t>
      </w:r>
      <w:r w:rsidR="00682E5B">
        <w:t xml:space="preserve"> součástí </w:t>
      </w:r>
      <w:r>
        <w:t>experimentální technologické linky</w:t>
      </w:r>
      <w:r w:rsidR="00E24267">
        <w:t xml:space="preserve"> určené pro výzkum a vývoj zpracování radioaktivních kapalných a </w:t>
      </w:r>
      <w:proofErr w:type="spellStart"/>
      <w:r w:rsidR="00E24267">
        <w:t>semi</w:t>
      </w:r>
      <w:proofErr w:type="spellEnd"/>
      <w:r w:rsidR="00E24267">
        <w:t xml:space="preserve">-kapalných odpadů </w:t>
      </w:r>
      <w:r w:rsidR="00682E5B">
        <w:t xml:space="preserve">s cílem minimalizace výsledných objemů odpadů ve finální zpevněné formě. </w:t>
      </w:r>
      <w:r w:rsidR="008267D4">
        <w:t>Napojení vzduchotechniky bude sloužit k odvětrávání brýdových</w:t>
      </w:r>
      <w:r w:rsidR="00BA793E">
        <w:t xml:space="preserve"> par</w:t>
      </w:r>
      <w:r w:rsidR="008267D4">
        <w:t>. ETL (</w:t>
      </w:r>
      <w:r w:rsidR="008267D4" w:rsidRPr="00E2592E">
        <w:rPr>
          <w:lang w:val="en-US"/>
        </w:rPr>
        <w:t xml:space="preserve">Experimental </w:t>
      </w:r>
      <w:r w:rsidR="00E2592E" w:rsidRPr="00E2592E">
        <w:rPr>
          <w:lang w:val="en-US"/>
        </w:rPr>
        <w:t>technology</w:t>
      </w:r>
      <w:r w:rsidR="008267D4" w:rsidRPr="00E2592E">
        <w:rPr>
          <w:lang w:val="en-US"/>
        </w:rPr>
        <w:t xml:space="preserve"> link</w:t>
      </w:r>
      <w:r w:rsidR="008267D4">
        <w:t>) linka slouží k zahušťování kapalných odpadů, kde výsledným produktem je pevná fáze určená k </w:t>
      </w:r>
      <w:proofErr w:type="spellStart"/>
      <w:r w:rsidR="008267D4">
        <w:t>solidifi</w:t>
      </w:r>
      <w:r w:rsidR="00BA793E">
        <w:t>kaci</w:t>
      </w:r>
      <w:proofErr w:type="spellEnd"/>
      <w:r w:rsidR="00E2592E">
        <w:t xml:space="preserve">. </w:t>
      </w:r>
    </w:p>
    <w:p w:rsidR="00682E5B" w:rsidRDefault="00682E5B" w:rsidP="00795C6C">
      <w:pPr>
        <w:jc w:val="both"/>
      </w:pPr>
      <w:r>
        <w:t>Celá technologická linka ETL je jeden z přímých výstupů projektu SUSEN, jako realizace demonstračního zařízení pro minimalizaci objemu kapalných RAO na pětinu stávající produkce.</w:t>
      </w:r>
    </w:p>
    <w:p w:rsidR="00682E5B" w:rsidRDefault="002158B2" w:rsidP="00803893">
      <w:pPr>
        <w:jc w:val="both"/>
      </w:pPr>
      <w:r>
        <w:t>Vzduchotechnika bude napojena na</w:t>
      </w:r>
      <w:r w:rsidR="00682E5B">
        <w:t>:</w:t>
      </w:r>
    </w:p>
    <w:p w:rsidR="00803893" w:rsidRDefault="00B73C42" w:rsidP="00803893">
      <w:pPr>
        <w:pStyle w:val="Odstavecseseznamem"/>
        <w:numPr>
          <w:ilvl w:val="0"/>
          <w:numId w:val="12"/>
        </w:numPr>
        <w:jc w:val="both"/>
      </w:pPr>
      <w:r>
        <w:t>Zásobní nádrž</w:t>
      </w:r>
      <w:r w:rsidR="001B4D0F">
        <w:t xml:space="preserve"> na změkčovadla</w:t>
      </w:r>
    </w:p>
    <w:p w:rsidR="00803893" w:rsidRDefault="00B73C42" w:rsidP="00803893">
      <w:pPr>
        <w:pStyle w:val="Odstavecseseznamem"/>
        <w:numPr>
          <w:ilvl w:val="0"/>
          <w:numId w:val="12"/>
        </w:numPr>
        <w:jc w:val="both"/>
      </w:pPr>
      <w:r>
        <w:t>Zásobní nádrž na vodné roztoky solí</w:t>
      </w:r>
    </w:p>
    <w:p w:rsidR="00803893" w:rsidRDefault="00B73C42" w:rsidP="00803893">
      <w:pPr>
        <w:pStyle w:val="Odstavecseseznamem"/>
        <w:numPr>
          <w:ilvl w:val="0"/>
          <w:numId w:val="12"/>
        </w:numPr>
        <w:jc w:val="both"/>
      </w:pPr>
      <w:r>
        <w:t>Zásobní nádrž na směs iontoměničů</w:t>
      </w:r>
    </w:p>
    <w:p w:rsidR="00803893" w:rsidRDefault="00B73C42" w:rsidP="00803893">
      <w:pPr>
        <w:pStyle w:val="Odstavecseseznamem"/>
        <w:numPr>
          <w:ilvl w:val="0"/>
          <w:numId w:val="12"/>
        </w:numPr>
        <w:jc w:val="both"/>
      </w:pPr>
      <w:r>
        <w:t>Zásobní nádrž filtrátu</w:t>
      </w:r>
    </w:p>
    <w:p w:rsidR="00682E5B" w:rsidRDefault="00B73C42" w:rsidP="00795C6C">
      <w:pPr>
        <w:pStyle w:val="Odstavecseseznamem"/>
        <w:numPr>
          <w:ilvl w:val="0"/>
          <w:numId w:val="12"/>
        </w:numPr>
        <w:jc w:val="both"/>
      </w:pPr>
      <w:r>
        <w:t>Zásobní nádrž na kondenzát brýdových part</w:t>
      </w:r>
    </w:p>
    <w:p w:rsidR="00B73C42" w:rsidRDefault="00B73C42" w:rsidP="00795C6C">
      <w:pPr>
        <w:pStyle w:val="Odstavecseseznamem"/>
        <w:numPr>
          <w:ilvl w:val="0"/>
          <w:numId w:val="12"/>
        </w:numPr>
        <w:jc w:val="both"/>
      </w:pPr>
      <w:r>
        <w:t xml:space="preserve">Zásobní nádrž na </w:t>
      </w:r>
      <w:proofErr w:type="spellStart"/>
      <w:r>
        <w:t>oplachovou</w:t>
      </w:r>
      <w:proofErr w:type="spellEnd"/>
      <w:r>
        <w:t xml:space="preserve"> vodu</w:t>
      </w:r>
    </w:p>
    <w:p w:rsidR="00B73C42" w:rsidRDefault="00B73C42" w:rsidP="00795C6C">
      <w:pPr>
        <w:pStyle w:val="Odstavecseseznamem"/>
        <w:numPr>
          <w:ilvl w:val="0"/>
          <w:numId w:val="12"/>
        </w:numPr>
        <w:jc w:val="both"/>
      </w:pPr>
      <w:r>
        <w:t>Kotlovou odparku pro zahušťování vodných roztoků</w:t>
      </w:r>
    </w:p>
    <w:p w:rsidR="00B73C42" w:rsidRDefault="00B73C42" w:rsidP="00795C6C">
      <w:pPr>
        <w:pStyle w:val="Odstavecseseznamem"/>
        <w:numPr>
          <w:ilvl w:val="0"/>
          <w:numId w:val="12"/>
        </w:numPr>
        <w:jc w:val="both"/>
      </w:pPr>
      <w:r>
        <w:t>Krystalizační nádrž</w:t>
      </w:r>
    </w:p>
    <w:p w:rsidR="00B73C42" w:rsidRDefault="00B73C42" w:rsidP="00795C6C">
      <w:pPr>
        <w:pStyle w:val="Odstavecseseznamem"/>
        <w:numPr>
          <w:ilvl w:val="0"/>
          <w:numId w:val="12"/>
        </w:numPr>
        <w:jc w:val="both"/>
      </w:pPr>
      <w:r>
        <w:t>Filtrační odstředivku</w:t>
      </w:r>
    </w:p>
    <w:p w:rsidR="00B73C42" w:rsidRDefault="00B73C42" w:rsidP="00795C6C">
      <w:pPr>
        <w:pStyle w:val="Odstavecseseznamem"/>
        <w:numPr>
          <w:ilvl w:val="0"/>
          <w:numId w:val="12"/>
        </w:numPr>
        <w:jc w:val="both"/>
      </w:pPr>
      <w:r>
        <w:t>Kuželovou sušárnu</w:t>
      </w:r>
    </w:p>
    <w:p w:rsidR="00B73C42" w:rsidRDefault="00B73C42" w:rsidP="00795C6C">
      <w:pPr>
        <w:pStyle w:val="Odstavecseseznamem"/>
        <w:numPr>
          <w:ilvl w:val="0"/>
          <w:numId w:val="12"/>
        </w:numPr>
        <w:jc w:val="both"/>
      </w:pPr>
      <w:r>
        <w:t>Akumulační ohřívák demineralizované vody</w:t>
      </w:r>
    </w:p>
    <w:p w:rsidR="00682E5B" w:rsidRDefault="00830C38" w:rsidP="00795C6C">
      <w:pPr>
        <w:jc w:val="both"/>
      </w:pPr>
      <w:r>
        <w:lastRenderedPageBreak/>
        <w:t xml:space="preserve">Dalším předmětem dodávky </w:t>
      </w:r>
      <w:r w:rsidR="006E04F7">
        <w:t>jsou armatury a filtry proti úletu prachových částic nebo HEPA.</w:t>
      </w:r>
      <w:r w:rsidR="002479EF">
        <w:t xml:space="preserve"> Uvedení do provozu a zaškolení zadavatele včetně komplexní zkoušky SAT.</w:t>
      </w:r>
    </w:p>
    <w:p w:rsidR="00682E5B" w:rsidRPr="00B03EEE" w:rsidRDefault="00203C75" w:rsidP="00203C75">
      <w:pPr>
        <w:jc w:val="both"/>
      </w:pPr>
      <w:r w:rsidRPr="00B03EEE">
        <w:t>Podmínkou instalace zařízení je i zajištění ustáleného tlaku vzduchotechniky u jiných technologiích v budově včetně ovládacího panelu pro manuální přepojení odsávacích větví pro jednotlivé technologie.</w:t>
      </w:r>
    </w:p>
    <w:p w:rsidR="00682E5B" w:rsidRPr="00B03EEE" w:rsidRDefault="00682E5B" w:rsidP="00795C6C">
      <w:pPr>
        <w:pStyle w:val="Nadpis2"/>
        <w:jc w:val="both"/>
      </w:pPr>
      <w:r w:rsidRPr="00B03EEE">
        <w:t>Připojovací b</w:t>
      </w:r>
      <w:r w:rsidRPr="00B03EEE">
        <w:rPr>
          <w:rStyle w:val="Nadpis2Char"/>
          <w:b/>
          <w:sz w:val="24"/>
        </w:rPr>
        <w:t>o</w:t>
      </w:r>
      <w:r w:rsidRPr="00B03EEE">
        <w:t>dy</w:t>
      </w:r>
    </w:p>
    <w:p w:rsidR="00134EB6" w:rsidRDefault="00134EB6" w:rsidP="00134EB6">
      <w:pPr>
        <w:jc w:val="both"/>
      </w:pPr>
      <w:r w:rsidRPr="00B03EEE">
        <w:t>Zařízení bude umístěno v budově 211/3 – „Malé Zbytky“ v sektoru 107 v zadní části areálu UJV Řež, Hlavní 130, 25068 Řež ČR. Celková výměra prostoru je 44m</w:t>
      </w:r>
      <w:r w:rsidRPr="00B03EEE">
        <w:rPr>
          <w:vertAlign w:val="superscript"/>
        </w:rPr>
        <w:t>2</w:t>
      </w:r>
      <w:r w:rsidRPr="00B03EEE">
        <w:t xml:space="preserve"> (7,48 x 5,9m). Vstupní vytahovací vrata (3,45m x 4,3m). Nosnost podlahy je 2000kg/m</w:t>
      </w:r>
      <w:r w:rsidRPr="00B03EEE">
        <w:rPr>
          <w:vertAlign w:val="superscript"/>
        </w:rPr>
        <w:t>2</w:t>
      </w:r>
      <w:r w:rsidRPr="00B03EEE">
        <w:t xml:space="preserve">. Na Obr. 1 je vymezený prostor pro linku </w:t>
      </w:r>
      <w:r w:rsidR="00133EFE" w:rsidRPr="00B03EEE">
        <w:t>ETL</w:t>
      </w:r>
      <w:r w:rsidRPr="00B03EEE">
        <w:t xml:space="preserve">. Zastavěná plocha technologie </w:t>
      </w:r>
      <w:r w:rsidR="00133EFE" w:rsidRPr="00B03EEE">
        <w:t>ETL bude max. 15</w:t>
      </w:r>
      <w:r w:rsidRPr="00B03EEE">
        <w:t>m</w:t>
      </w:r>
      <w:r w:rsidRPr="00B03EEE">
        <w:rPr>
          <w:vertAlign w:val="superscript"/>
        </w:rPr>
        <w:t>2</w:t>
      </w:r>
      <w:r w:rsidR="00133EFE" w:rsidRPr="00B03EEE">
        <w:t xml:space="preserve"> (4,5</w:t>
      </w:r>
      <w:r w:rsidRPr="00B03EEE">
        <w:t>m x 2m</w:t>
      </w:r>
      <w:r w:rsidR="00133EFE" w:rsidRPr="00B03EEE">
        <w:t xml:space="preserve"> + 2,15m x 2,8m</w:t>
      </w:r>
      <w:r w:rsidRPr="00B03EEE">
        <w:t>), výška nesmí přesáhnout 7m. V objektu budou postaveny i jiné technologie. Pro manipulaci s materiálem je k dispozici mostový jeřáb o nosnosti 5000</w:t>
      </w:r>
      <w:r w:rsidR="006000B4" w:rsidRPr="00B03EEE">
        <w:rPr>
          <w:lang w:val="en-US"/>
        </w:rPr>
        <w:t> </w:t>
      </w:r>
      <w:r w:rsidRPr="00B03EEE">
        <w:t>kg. Na pracovišti se může pracovat se zdroji gama – záření (nízko aktivní radioaktivní odpady). Dle charakteru pracovišť jsou tyto pracoviště charakterizované vyhláškou 144/97 §4 odstav</w:t>
      </w:r>
      <w:r>
        <w:t>ec 3.</w:t>
      </w:r>
    </w:p>
    <w:p w:rsidR="006000B4" w:rsidRDefault="00133EFE" w:rsidP="006000B4">
      <w:pPr>
        <w:keepNext/>
      </w:pPr>
      <w:r>
        <w:rPr>
          <w:noProof/>
          <w:lang w:eastAsia="cs-CZ"/>
        </w:rPr>
        <w:drawing>
          <wp:inline distT="0" distB="0" distL="0" distR="0">
            <wp:extent cx="5753100" cy="3971925"/>
            <wp:effectExtent l="0" t="0" r="0" b="9525"/>
            <wp:docPr id="1" name="Obrázek 1" descr="C:\Users\jan.hadrava\Dropbox\MSO\Technická specifikace\dispoz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.hadrava\Dropbox\MSO\Technická specifikace\dispozi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0B4" w:rsidRPr="00B03EEE" w:rsidRDefault="006000B4" w:rsidP="006000B4">
      <w:pPr>
        <w:pStyle w:val="Titulek"/>
      </w:pPr>
      <w:r w:rsidRPr="00B03EEE">
        <w:t xml:space="preserve">Obrázek </w:t>
      </w:r>
      <w:r w:rsidR="00282F3F">
        <w:fldChar w:fldCharType="begin"/>
      </w:r>
      <w:r w:rsidR="00282F3F">
        <w:instrText xml:space="preserve"> SEQ Obrázek \* ARABIC </w:instrText>
      </w:r>
      <w:r w:rsidR="00282F3F">
        <w:fldChar w:fldCharType="separate"/>
      </w:r>
      <w:r w:rsidRPr="00B03EEE">
        <w:rPr>
          <w:noProof/>
        </w:rPr>
        <w:t>1</w:t>
      </w:r>
      <w:r w:rsidR="00282F3F">
        <w:rPr>
          <w:noProof/>
        </w:rPr>
        <w:fldChar w:fldCharType="end"/>
      </w:r>
      <w:r w:rsidRPr="00B03EEE">
        <w:t xml:space="preserve">. </w:t>
      </w:r>
      <w:r w:rsidRPr="00B03EEE">
        <w:rPr>
          <w:b w:val="0"/>
        </w:rPr>
        <w:t>Dispoziční řešení pracovní haly</w:t>
      </w:r>
    </w:p>
    <w:p w:rsidR="00682E5B" w:rsidRPr="00B03EEE" w:rsidRDefault="00682E5B" w:rsidP="00133EFE">
      <w:pPr>
        <w:numPr>
          <w:ilvl w:val="0"/>
          <w:numId w:val="5"/>
        </w:numPr>
        <w:spacing w:after="0"/>
        <w:jc w:val="both"/>
      </w:pPr>
      <w:r w:rsidRPr="00B03EEE">
        <w:t xml:space="preserve">Elektro: </w:t>
      </w:r>
      <w:r w:rsidR="00133EFE" w:rsidRPr="00B03EEE">
        <w:t>Pro instalované zařízení obsahující elektrospotřebiče je k dispozici 18 ks elektrických zásuvek (230V/16A) a 4ks elektrických zásuvkových skříní (400V/32A). Všechny zásuvkové skříně jsou, chráněny jističi s charakteristikou C. Na pracovišti se dále nacházejí dva kusy rozvaděčů o rozměrech š. 800mm x v. 2100mm x hl. 650mm, kde se vyskytují rezervní místa pro připojení. Maximální elektrický příkon využitelný pro celkovou technologii, je 500 kW</w:t>
      </w:r>
      <w:r w:rsidRPr="00B03EEE">
        <w:t>.</w:t>
      </w:r>
    </w:p>
    <w:p w:rsidR="002479EF" w:rsidRDefault="006E04F7" w:rsidP="006E04F7">
      <w:pPr>
        <w:numPr>
          <w:ilvl w:val="0"/>
          <w:numId w:val="5"/>
        </w:numPr>
        <w:spacing w:after="0"/>
        <w:jc w:val="both"/>
      </w:pPr>
      <w:r w:rsidRPr="00B03EEE">
        <w:t>Vzduchotechnika: V místnosti se nachází technologická větev speciální aktivní VZT o světlosti DN250 s odbočkou pro připojení technologie DN200. Přípoj je ukončen uzavírací klapkou. Kapacita odsávání pro technologii ETL je 500 m3/hod.</w:t>
      </w:r>
      <w:r w:rsidR="00294254" w:rsidRPr="00B03EEE">
        <w:t xml:space="preserve"> </w:t>
      </w:r>
      <w:r w:rsidRPr="00B03EEE">
        <w:t>(materiál VZT</w:t>
      </w:r>
      <w:r w:rsidRPr="006E04F7">
        <w:t xml:space="preserve"> potrubí – pozinkovaný plech třídy A, maximální teplota médií na výstupu z technologií do VZT je 50°C.). Větev </w:t>
      </w:r>
      <w:r w:rsidRPr="006E04F7">
        <w:lastRenderedPageBreak/>
        <w:t>DN250 je společná pro všechny technologie instalované v provozní hale (ETL, MSO – bezplamenné spalování odpadů a technologie Studený kelímek). Větev DN 250 je odsávána ventilátorem o výkonu 2600 m3/hod a tlaku 2900Pa, který je napojen na centrální VZT kanál. Vzduch je před vypuštěním do centrální VZT filtrován v aerosolovém filtru. Ventilátor a aerosolový fi</w:t>
      </w:r>
      <w:r>
        <w:t>ltr jsou umístěny ve VET centru.</w:t>
      </w:r>
    </w:p>
    <w:p w:rsidR="006E04F7" w:rsidRDefault="002479EF" w:rsidP="002479EF">
      <w:pPr>
        <w:spacing w:after="0"/>
        <w:ind w:left="1080"/>
        <w:jc w:val="both"/>
      </w:pPr>
      <w:r>
        <w:t xml:space="preserve">VZT </w:t>
      </w:r>
      <w:r w:rsidR="00C23241">
        <w:t>mimo jiné</w:t>
      </w:r>
      <w:r>
        <w:t xml:space="preserve"> zajišťuje provozní tlak </w:t>
      </w:r>
      <w:r w:rsidR="00C23241">
        <w:t xml:space="preserve">-10Pa </w:t>
      </w:r>
      <w:r>
        <w:t>v</w:t>
      </w:r>
      <w:r w:rsidR="00C23241">
        <w:t xml:space="preserve"> technologické hale oproti venkovnímu atmosférickému tlaku. </w:t>
      </w:r>
      <w:r>
        <w:t>Dokumentace je součástí přílohy.</w:t>
      </w:r>
    </w:p>
    <w:p w:rsidR="00497518" w:rsidRDefault="00497518" w:rsidP="00497518">
      <w:pPr>
        <w:pStyle w:val="Odstavecseseznamem"/>
        <w:numPr>
          <w:ilvl w:val="0"/>
          <w:numId w:val="5"/>
        </w:numPr>
        <w:spacing w:after="0"/>
        <w:jc w:val="both"/>
      </w:pPr>
      <w:r>
        <w:t xml:space="preserve">Technologie ETL: 11x nádrže určené ke skladování nebo zpracování kapalných nebo </w:t>
      </w:r>
      <w:proofErr w:type="spellStart"/>
      <w:r>
        <w:t>semi</w:t>
      </w:r>
      <w:proofErr w:type="spellEnd"/>
      <w:r>
        <w:t>-kapalných odpadů. Technologické schéma je uvedené v příloze.</w:t>
      </w:r>
    </w:p>
    <w:p w:rsidR="00682E5B" w:rsidRPr="00363413" w:rsidRDefault="00682E5B" w:rsidP="00203C75">
      <w:pPr>
        <w:spacing w:after="0"/>
        <w:jc w:val="both"/>
      </w:pPr>
    </w:p>
    <w:p w:rsidR="00682E5B" w:rsidRPr="00363413" w:rsidRDefault="00682E5B" w:rsidP="00795C6C">
      <w:pPr>
        <w:pStyle w:val="Nadpis2"/>
        <w:jc w:val="both"/>
      </w:pPr>
      <w:r w:rsidRPr="00363413">
        <w:t>Obecné požadavky předmětu dodávky</w:t>
      </w:r>
    </w:p>
    <w:p w:rsidR="00AB70A8" w:rsidRDefault="00C23241" w:rsidP="00AB70A8">
      <w:pPr>
        <w:pStyle w:val="Default"/>
        <w:numPr>
          <w:ilvl w:val="0"/>
          <w:numId w:val="5"/>
        </w:numPr>
        <w:ind w:left="107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celkový </w:t>
      </w:r>
      <w:r w:rsidR="00204B3D">
        <w:rPr>
          <w:rFonts w:ascii="Calibri" w:hAnsi="Calibri"/>
          <w:sz w:val="22"/>
          <w:szCs w:val="22"/>
        </w:rPr>
        <w:t>p</w:t>
      </w:r>
      <w:r w:rsidR="00AB70A8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o</w:t>
      </w:r>
      <w:r w:rsidR="00AB70A8">
        <w:rPr>
          <w:rFonts w:ascii="Calibri" w:hAnsi="Calibri"/>
          <w:sz w:val="22"/>
          <w:szCs w:val="22"/>
        </w:rPr>
        <w:t xml:space="preserve">vozní </w:t>
      </w:r>
      <w:r>
        <w:rPr>
          <w:rFonts w:ascii="Calibri" w:hAnsi="Calibri"/>
          <w:sz w:val="22"/>
          <w:szCs w:val="22"/>
        </w:rPr>
        <w:t>průtok max. 500 m</w:t>
      </w:r>
      <w:r w:rsidRPr="00C23241">
        <w:rPr>
          <w:rFonts w:ascii="Calibri" w:hAnsi="Calibri"/>
          <w:sz w:val="22"/>
          <w:szCs w:val="22"/>
          <w:vertAlign w:val="superscript"/>
        </w:rPr>
        <w:t>3</w:t>
      </w:r>
      <w:r>
        <w:rPr>
          <w:rFonts w:ascii="Calibri" w:hAnsi="Calibri"/>
          <w:sz w:val="22"/>
          <w:szCs w:val="22"/>
        </w:rPr>
        <w:t>/hod</w:t>
      </w:r>
    </w:p>
    <w:p w:rsidR="00AB70A8" w:rsidRDefault="00204B3D" w:rsidP="00AB70A8">
      <w:pPr>
        <w:pStyle w:val="Default"/>
        <w:numPr>
          <w:ilvl w:val="0"/>
          <w:numId w:val="5"/>
        </w:numPr>
        <w:ind w:left="107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AB70A8">
        <w:rPr>
          <w:rFonts w:ascii="Calibri" w:hAnsi="Calibri"/>
          <w:sz w:val="22"/>
          <w:szCs w:val="22"/>
        </w:rPr>
        <w:t>rovozní zóna BNV</w:t>
      </w:r>
    </w:p>
    <w:p w:rsidR="00AB70A8" w:rsidRDefault="00204B3D" w:rsidP="00AB70A8">
      <w:pPr>
        <w:pStyle w:val="Default"/>
        <w:numPr>
          <w:ilvl w:val="0"/>
          <w:numId w:val="5"/>
        </w:numPr>
        <w:ind w:left="107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="00AB70A8">
        <w:rPr>
          <w:rFonts w:ascii="Calibri" w:hAnsi="Calibri"/>
          <w:sz w:val="22"/>
          <w:szCs w:val="22"/>
        </w:rPr>
        <w:t>on</w:t>
      </w:r>
      <w:r w:rsidR="00C23241">
        <w:rPr>
          <w:rFonts w:ascii="Calibri" w:hAnsi="Calibri"/>
          <w:sz w:val="22"/>
          <w:szCs w:val="22"/>
        </w:rPr>
        <w:t>strukční materiál</w:t>
      </w:r>
      <w:r w:rsidR="00AB70A8">
        <w:rPr>
          <w:rFonts w:ascii="Calibri" w:hAnsi="Calibri"/>
          <w:sz w:val="22"/>
          <w:szCs w:val="22"/>
        </w:rPr>
        <w:t xml:space="preserve"> – </w:t>
      </w:r>
      <w:r w:rsidR="00C23241">
        <w:rPr>
          <w:rFonts w:ascii="Calibri" w:hAnsi="Calibri"/>
          <w:sz w:val="22"/>
          <w:szCs w:val="22"/>
        </w:rPr>
        <w:t>nerezový plech</w:t>
      </w:r>
    </w:p>
    <w:p w:rsidR="00682E5B" w:rsidRDefault="00204B3D" w:rsidP="00C23241">
      <w:pPr>
        <w:pStyle w:val="Default"/>
        <w:numPr>
          <w:ilvl w:val="0"/>
          <w:numId w:val="5"/>
        </w:numPr>
        <w:ind w:left="107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AB70A8">
        <w:rPr>
          <w:rFonts w:ascii="Calibri" w:hAnsi="Calibri"/>
          <w:sz w:val="22"/>
          <w:szCs w:val="22"/>
        </w:rPr>
        <w:t>rocesn</w:t>
      </w:r>
      <w:r w:rsidR="00EF5C1B">
        <w:rPr>
          <w:rFonts w:ascii="Calibri" w:hAnsi="Calibri"/>
          <w:sz w:val="22"/>
          <w:szCs w:val="22"/>
        </w:rPr>
        <w:t>í p</w:t>
      </w:r>
      <w:r w:rsidR="00C23241">
        <w:rPr>
          <w:rFonts w:ascii="Calibri" w:hAnsi="Calibri"/>
          <w:sz w:val="22"/>
          <w:szCs w:val="22"/>
        </w:rPr>
        <w:t xml:space="preserve">řipojení – všechny technologické nádrže mají příruboví </w:t>
      </w:r>
      <w:proofErr w:type="spellStart"/>
      <w:r w:rsidR="00C23241">
        <w:rPr>
          <w:rFonts w:ascii="Calibri" w:hAnsi="Calibri"/>
          <w:sz w:val="22"/>
          <w:szCs w:val="22"/>
        </w:rPr>
        <w:t>návarek</w:t>
      </w:r>
      <w:proofErr w:type="spellEnd"/>
      <w:r w:rsidR="00C23241">
        <w:rPr>
          <w:rFonts w:ascii="Calibri" w:hAnsi="Calibri"/>
          <w:sz w:val="22"/>
          <w:szCs w:val="22"/>
        </w:rPr>
        <w:t xml:space="preserve"> o světlosti DN25</w:t>
      </w:r>
    </w:p>
    <w:p w:rsidR="00C23241" w:rsidRDefault="00C23241" w:rsidP="00C23241">
      <w:pPr>
        <w:pStyle w:val="Default"/>
        <w:numPr>
          <w:ilvl w:val="0"/>
          <w:numId w:val="5"/>
        </w:numPr>
        <w:ind w:left="107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dvě technologické nádrže s tenzometrickým vážením v</w:t>
      </w:r>
      <w:r w:rsidR="00134EB6">
        <w:rPr>
          <w:rFonts w:ascii="Calibri" w:hAnsi="Calibri"/>
          <w:sz w:val="22"/>
          <w:szCs w:val="22"/>
        </w:rPr>
        <w:t>yžadují</w:t>
      </w:r>
      <w:r>
        <w:rPr>
          <w:rFonts w:ascii="Calibri" w:hAnsi="Calibri"/>
          <w:sz w:val="22"/>
          <w:szCs w:val="22"/>
        </w:rPr>
        <w:t xml:space="preserve"> </w:t>
      </w:r>
      <w:r w:rsidR="00134EB6">
        <w:rPr>
          <w:rFonts w:ascii="Calibri" w:hAnsi="Calibri"/>
          <w:sz w:val="22"/>
          <w:szCs w:val="22"/>
        </w:rPr>
        <w:t>připojení</w:t>
      </w:r>
      <w:r>
        <w:rPr>
          <w:rFonts w:ascii="Calibri" w:hAnsi="Calibri"/>
          <w:sz w:val="22"/>
          <w:szCs w:val="22"/>
        </w:rPr>
        <w:t xml:space="preserve"> VZT přes </w:t>
      </w:r>
      <w:r w:rsidR="00134EB6">
        <w:rPr>
          <w:rFonts w:ascii="Calibri" w:hAnsi="Calibri"/>
          <w:sz w:val="22"/>
          <w:szCs w:val="22"/>
        </w:rPr>
        <w:t>elastické napojení</w:t>
      </w:r>
    </w:p>
    <w:p w:rsidR="00C23241" w:rsidRDefault="00C23241" w:rsidP="00C23241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23241" w:rsidRPr="00C23241" w:rsidRDefault="00C23241" w:rsidP="00C23241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D33E7" w:rsidRPr="00363413" w:rsidRDefault="00157020" w:rsidP="00157020">
      <w:pPr>
        <w:pStyle w:val="Nadpis2"/>
        <w:jc w:val="both"/>
      </w:pPr>
      <w:r>
        <w:t>Požadovaný rozsah nabídky</w:t>
      </w:r>
    </w:p>
    <w:p w:rsidR="00134EB6" w:rsidRDefault="00134EB6" w:rsidP="00157020">
      <w:pPr>
        <w:pStyle w:val="Odstavecseseznamem"/>
        <w:numPr>
          <w:ilvl w:val="0"/>
          <w:numId w:val="5"/>
        </w:numPr>
        <w:jc w:val="both"/>
      </w:pPr>
      <w:r>
        <w:t>Instalace a uvedení do provozu včetně zaškolení obsluhy</w:t>
      </w:r>
    </w:p>
    <w:p w:rsidR="00134EB6" w:rsidRDefault="00134EB6" w:rsidP="00157020">
      <w:pPr>
        <w:pStyle w:val="Odstavecseseznamem"/>
        <w:numPr>
          <w:ilvl w:val="0"/>
          <w:numId w:val="5"/>
        </w:numPr>
        <w:jc w:val="both"/>
      </w:pPr>
      <w:r>
        <w:t>Zkoušky SAT</w:t>
      </w:r>
    </w:p>
    <w:p w:rsidR="00134EB6" w:rsidRDefault="00134EB6" w:rsidP="00157020">
      <w:pPr>
        <w:pStyle w:val="Odstavecseseznamem"/>
        <w:numPr>
          <w:ilvl w:val="0"/>
          <w:numId w:val="5"/>
        </w:numPr>
        <w:jc w:val="both"/>
      </w:pPr>
      <w:r>
        <w:t>AS BUILT dokumentace</w:t>
      </w:r>
    </w:p>
    <w:p w:rsidR="00682E5B" w:rsidRDefault="00204B3D" w:rsidP="00157020">
      <w:pPr>
        <w:pStyle w:val="Odstavecseseznamem"/>
        <w:numPr>
          <w:ilvl w:val="0"/>
          <w:numId w:val="5"/>
        </w:numPr>
        <w:jc w:val="both"/>
      </w:pPr>
      <w:r>
        <w:t>s</w:t>
      </w:r>
      <w:r w:rsidR="00682E5B" w:rsidRPr="00363413">
        <w:t>pecifikace jednotlivých zařízení (objem, hmotnost, velikost, základní charakteristika, popis)</w:t>
      </w:r>
    </w:p>
    <w:p w:rsidR="00134EB6" w:rsidRPr="00363413" w:rsidRDefault="00134EB6" w:rsidP="00134EB6">
      <w:pPr>
        <w:pStyle w:val="Odstavecseseznamem"/>
        <w:numPr>
          <w:ilvl w:val="0"/>
          <w:numId w:val="5"/>
        </w:numPr>
        <w:jc w:val="both"/>
      </w:pPr>
      <w:r>
        <w:t>statické uspořádání a připojovací body</w:t>
      </w:r>
    </w:p>
    <w:p w:rsidR="00682E5B" w:rsidRPr="00363413" w:rsidRDefault="00204B3D" w:rsidP="00795C6C">
      <w:pPr>
        <w:pStyle w:val="Odstavecseseznamem"/>
        <w:numPr>
          <w:ilvl w:val="0"/>
          <w:numId w:val="5"/>
        </w:numPr>
        <w:jc w:val="both"/>
      </w:pPr>
      <w:r>
        <w:t>c</w:t>
      </w:r>
      <w:r w:rsidR="00682E5B" w:rsidRPr="00363413">
        <w:t>ena za celkovou dodávku „na klíč“</w:t>
      </w:r>
    </w:p>
    <w:p w:rsidR="00682E5B" w:rsidRDefault="00204B3D" w:rsidP="00795C6C">
      <w:pPr>
        <w:pStyle w:val="Odstavecseseznamem"/>
        <w:numPr>
          <w:ilvl w:val="0"/>
          <w:numId w:val="5"/>
        </w:numPr>
        <w:spacing w:after="0"/>
        <w:jc w:val="both"/>
      </w:pPr>
      <w:r>
        <w:t>n</w:t>
      </w:r>
      <w:r w:rsidR="00682E5B" w:rsidRPr="00363413">
        <w:t>ávrh na servisní práce, technickou podporu a jejich dostupnost</w:t>
      </w:r>
    </w:p>
    <w:p w:rsidR="00682E5B" w:rsidRPr="00363413" w:rsidRDefault="00682E5B" w:rsidP="00795C6C">
      <w:pPr>
        <w:pStyle w:val="Odstavecseseznamem"/>
        <w:spacing w:after="0"/>
        <w:jc w:val="both"/>
      </w:pPr>
    </w:p>
    <w:p w:rsidR="00CB08FF" w:rsidRDefault="00134EB6" w:rsidP="00134EB6">
      <w:pPr>
        <w:pStyle w:val="Nadpis1"/>
        <w:jc w:val="both"/>
      </w:pPr>
      <w:r>
        <w:t>Přílohy</w:t>
      </w:r>
    </w:p>
    <w:p w:rsidR="00134EB6" w:rsidRPr="00134EB6" w:rsidRDefault="00497518" w:rsidP="00134EB6">
      <w:r>
        <w:fldChar w:fldCharType="begin"/>
      </w:r>
      <w:r>
        <w:instrText xml:space="preserve"> LINK AcroExch.Document.11 "C:\\Users\\jan.hadrava\\Desktop\\ETL\\Souhrné správy\\Technická specifikace\\5_VZT_DSPS_211_3_V_006_VZT1NP_00.pdf" "" \a \p \f 0 </w:instrText>
      </w:r>
      <w:r>
        <w:fldChar w:fldCharType="separate"/>
      </w:r>
      <w:r w:rsidR="00282F3F"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>
            <v:imagedata r:id="rId9" o:title=""/>
          </v:shape>
        </w:object>
      </w:r>
      <w:r>
        <w:fldChar w:fldCharType="end"/>
      </w:r>
      <w:r>
        <w:fldChar w:fldCharType="begin"/>
      </w:r>
      <w:r>
        <w:instrText xml:space="preserve"> LINK AcroExch.Document.11 "C:\\Users\\jan.hadrava\\Dropbox\\ETL\\Technicka specifikace\\SSD\\Technologické schéma.pdf" "" \a \p \f 0 </w:instrText>
      </w:r>
      <w:r>
        <w:fldChar w:fldCharType="separate"/>
      </w:r>
      <w:r w:rsidR="00282F3F">
        <w:object w:dxaOrig="1551" w:dyaOrig="1004">
          <v:shape id="_x0000_i1026" type="#_x0000_t75" style="width:77.25pt;height:50.25pt">
            <v:imagedata r:id="rId10" o:title=""/>
          </v:shape>
        </w:object>
      </w:r>
      <w:r>
        <w:fldChar w:fldCharType="end"/>
      </w:r>
    </w:p>
    <w:sectPr w:rsidR="00134EB6" w:rsidRPr="00134EB6" w:rsidSect="00363413">
      <w:footerReference w:type="default" r:id="rId11"/>
      <w:pgSz w:w="11906" w:h="16838"/>
      <w:pgMar w:top="1417" w:right="1274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387" w:rsidRDefault="00A86387" w:rsidP="00363413">
      <w:pPr>
        <w:spacing w:after="0" w:line="240" w:lineRule="auto"/>
      </w:pPr>
      <w:r>
        <w:separator/>
      </w:r>
    </w:p>
  </w:endnote>
  <w:endnote w:type="continuationSeparator" w:id="0">
    <w:p w:rsidR="00A86387" w:rsidRDefault="00A86387" w:rsidP="0036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5B" w:rsidRPr="00363413" w:rsidRDefault="00682E5B" w:rsidP="00363413">
    <w:pPr>
      <w:pStyle w:val="Zpat"/>
      <w:jc w:val="right"/>
    </w:pPr>
    <w:r w:rsidRPr="00363413">
      <w:t xml:space="preserve">Stránka </w:t>
    </w:r>
    <w:r w:rsidRPr="00363413">
      <w:rPr>
        <w:bCs/>
      </w:rPr>
      <w:fldChar w:fldCharType="begin"/>
    </w:r>
    <w:r w:rsidRPr="00363413">
      <w:rPr>
        <w:bCs/>
      </w:rPr>
      <w:instrText>PAGE</w:instrText>
    </w:r>
    <w:r w:rsidRPr="00363413">
      <w:rPr>
        <w:bCs/>
      </w:rPr>
      <w:fldChar w:fldCharType="separate"/>
    </w:r>
    <w:r w:rsidR="00282F3F">
      <w:rPr>
        <w:bCs/>
        <w:noProof/>
      </w:rPr>
      <w:t>3</w:t>
    </w:r>
    <w:r w:rsidRPr="00363413">
      <w:rPr>
        <w:bCs/>
      </w:rPr>
      <w:fldChar w:fldCharType="end"/>
    </w:r>
    <w:r w:rsidRPr="00363413">
      <w:t xml:space="preserve"> z </w:t>
    </w:r>
    <w:r w:rsidRPr="00363413">
      <w:rPr>
        <w:bCs/>
      </w:rPr>
      <w:fldChar w:fldCharType="begin"/>
    </w:r>
    <w:r w:rsidRPr="00363413">
      <w:rPr>
        <w:bCs/>
      </w:rPr>
      <w:instrText>NUMPAGES</w:instrText>
    </w:r>
    <w:r w:rsidRPr="00363413">
      <w:rPr>
        <w:bCs/>
      </w:rPr>
      <w:fldChar w:fldCharType="separate"/>
    </w:r>
    <w:r w:rsidR="00282F3F">
      <w:rPr>
        <w:bCs/>
        <w:noProof/>
      </w:rPr>
      <w:t>3</w:t>
    </w:r>
    <w:r w:rsidRPr="00363413">
      <w:rPr>
        <w:bCs/>
      </w:rPr>
      <w:fldChar w:fldCharType="end"/>
    </w:r>
  </w:p>
  <w:p w:rsidR="00682E5B" w:rsidRDefault="00682E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387" w:rsidRDefault="00A86387" w:rsidP="00363413">
      <w:pPr>
        <w:spacing w:after="0" w:line="240" w:lineRule="auto"/>
      </w:pPr>
      <w:r>
        <w:separator/>
      </w:r>
    </w:p>
  </w:footnote>
  <w:footnote w:type="continuationSeparator" w:id="0">
    <w:p w:rsidR="00A86387" w:rsidRDefault="00A86387" w:rsidP="00363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23A0D"/>
    <w:multiLevelType w:val="multilevel"/>
    <w:tmpl w:val="E47C1E2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25E214C5"/>
    <w:multiLevelType w:val="multilevel"/>
    <w:tmpl w:val="09705334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27117F59"/>
    <w:multiLevelType w:val="multilevel"/>
    <w:tmpl w:val="85F21A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4266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FE92BCD"/>
    <w:multiLevelType w:val="hybridMultilevel"/>
    <w:tmpl w:val="3BEA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BCA"/>
    <w:multiLevelType w:val="hybridMultilevel"/>
    <w:tmpl w:val="E5E63BE2"/>
    <w:lvl w:ilvl="0" w:tplc="07DAB36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C60204"/>
    <w:multiLevelType w:val="multilevel"/>
    <w:tmpl w:val="D586F9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59CD5FE6"/>
    <w:multiLevelType w:val="hybridMultilevel"/>
    <w:tmpl w:val="881616CC"/>
    <w:lvl w:ilvl="0" w:tplc="7CD453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F660CCB"/>
    <w:multiLevelType w:val="hybridMultilevel"/>
    <w:tmpl w:val="81760A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5"/>
    <w:lvlOverride w:ilvl="0">
      <w:startOverride w:val="2"/>
    </w:lvlOverride>
    <w:lvlOverride w:ilvl="1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IY71f5eoLef3VC2KYKoEkzsPz/Oyw61N3JGV4wC/oqjFaFPFXVmzB5DiJZ9yrwkRkSCtBnfDXz9QAq7n9/Myg==" w:salt="M+18pAK9NU3GVggQXufn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C9"/>
    <w:rsid w:val="00013602"/>
    <w:rsid w:val="00015CD1"/>
    <w:rsid w:val="00023D1F"/>
    <w:rsid w:val="00057070"/>
    <w:rsid w:val="00073273"/>
    <w:rsid w:val="00076F23"/>
    <w:rsid w:val="00080AC2"/>
    <w:rsid w:val="000911D7"/>
    <w:rsid w:val="000D4A14"/>
    <w:rsid w:val="000D5A0A"/>
    <w:rsid w:val="000E12B4"/>
    <w:rsid w:val="000E4668"/>
    <w:rsid w:val="000F4562"/>
    <w:rsid w:val="000F4824"/>
    <w:rsid w:val="001006A5"/>
    <w:rsid w:val="00103F90"/>
    <w:rsid w:val="00125A07"/>
    <w:rsid w:val="00131175"/>
    <w:rsid w:val="00133EFE"/>
    <w:rsid w:val="00134EB6"/>
    <w:rsid w:val="00147FEC"/>
    <w:rsid w:val="00157020"/>
    <w:rsid w:val="00184183"/>
    <w:rsid w:val="001959B8"/>
    <w:rsid w:val="001B4D0F"/>
    <w:rsid w:val="001B4F98"/>
    <w:rsid w:val="001B7A1F"/>
    <w:rsid w:val="001C11A4"/>
    <w:rsid w:val="001C7C97"/>
    <w:rsid w:val="00201F95"/>
    <w:rsid w:val="0020324E"/>
    <w:rsid w:val="00203C75"/>
    <w:rsid w:val="00204B3D"/>
    <w:rsid w:val="002158B2"/>
    <w:rsid w:val="00215E9F"/>
    <w:rsid w:val="002479EF"/>
    <w:rsid w:val="00250053"/>
    <w:rsid w:val="00265FD2"/>
    <w:rsid w:val="00271DB2"/>
    <w:rsid w:val="00282F3F"/>
    <w:rsid w:val="00294254"/>
    <w:rsid w:val="002A7F41"/>
    <w:rsid w:val="002B2789"/>
    <w:rsid w:val="002D6B3E"/>
    <w:rsid w:val="002F1748"/>
    <w:rsid w:val="002F2B75"/>
    <w:rsid w:val="002F6643"/>
    <w:rsid w:val="003015C9"/>
    <w:rsid w:val="0032051E"/>
    <w:rsid w:val="00345486"/>
    <w:rsid w:val="00356A7E"/>
    <w:rsid w:val="00363413"/>
    <w:rsid w:val="003B5D7D"/>
    <w:rsid w:val="003E3028"/>
    <w:rsid w:val="003F0D89"/>
    <w:rsid w:val="003F5D34"/>
    <w:rsid w:val="003F5F9C"/>
    <w:rsid w:val="00445ABE"/>
    <w:rsid w:val="0047250E"/>
    <w:rsid w:val="0048013B"/>
    <w:rsid w:val="00490D22"/>
    <w:rsid w:val="00497518"/>
    <w:rsid w:val="004A272F"/>
    <w:rsid w:val="004A38F2"/>
    <w:rsid w:val="004A5CF1"/>
    <w:rsid w:val="004D1B8F"/>
    <w:rsid w:val="004D2420"/>
    <w:rsid w:val="004D799F"/>
    <w:rsid w:val="004F4F6C"/>
    <w:rsid w:val="00501818"/>
    <w:rsid w:val="00512744"/>
    <w:rsid w:val="00515D70"/>
    <w:rsid w:val="00546C6C"/>
    <w:rsid w:val="0055470E"/>
    <w:rsid w:val="00566B6E"/>
    <w:rsid w:val="005B268E"/>
    <w:rsid w:val="005D4385"/>
    <w:rsid w:val="005E5EB9"/>
    <w:rsid w:val="005E6440"/>
    <w:rsid w:val="006000B4"/>
    <w:rsid w:val="00602F53"/>
    <w:rsid w:val="006041EC"/>
    <w:rsid w:val="00634862"/>
    <w:rsid w:val="00634ACD"/>
    <w:rsid w:val="00653EF3"/>
    <w:rsid w:val="00661C60"/>
    <w:rsid w:val="006667B9"/>
    <w:rsid w:val="006715D2"/>
    <w:rsid w:val="00681D98"/>
    <w:rsid w:val="00682E13"/>
    <w:rsid w:val="00682E5B"/>
    <w:rsid w:val="00683320"/>
    <w:rsid w:val="006A2BFB"/>
    <w:rsid w:val="006A4E10"/>
    <w:rsid w:val="006A6829"/>
    <w:rsid w:val="006A6E1A"/>
    <w:rsid w:val="006D3E32"/>
    <w:rsid w:val="006D5C84"/>
    <w:rsid w:val="006E04F7"/>
    <w:rsid w:val="006F0591"/>
    <w:rsid w:val="007153D7"/>
    <w:rsid w:val="007240D6"/>
    <w:rsid w:val="00737BFF"/>
    <w:rsid w:val="00746BBA"/>
    <w:rsid w:val="00750BC9"/>
    <w:rsid w:val="00756846"/>
    <w:rsid w:val="00773F76"/>
    <w:rsid w:val="00777ED0"/>
    <w:rsid w:val="00781254"/>
    <w:rsid w:val="00795C6C"/>
    <w:rsid w:val="007D450E"/>
    <w:rsid w:val="007F7581"/>
    <w:rsid w:val="00803893"/>
    <w:rsid w:val="008231F8"/>
    <w:rsid w:val="00825073"/>
    <w:rsid w:val="008267D4"/>
    <w:rsid w:val="0082748B"/>
    <w:rsid w:val="00827B6D"/>
    <w:rsid w:val="00830C38"/>
    <w:rsid w:val="00832116"/>
    <w:rsid w:val="00846150"/>
    <w:rsid w:val="00850602"/>
    <w:rsid w:val="0085796A"/>
    <w:rsid w:val="00871A6C"/>
    <w:rsid w:val="008E2634"/>
    <w:rsid w:val="008F60B8"/>
    <w:rsid w:val="00940B64"/>
    <w:rsid w:val="00947AC4"/>
    <w:rsid w:val="00961F64"/>
    <w:rsid w:val="009744FC"/>
    <w:rsid w:val="00985EAB"/>
    <w:rsid w:val="009A11BA"/>
    <w:rsid w:val="009B3C36"/>
    <w:rsid w:val="009D60B9"/>
    <w:rsid w:val="00A0762A"/>
    <w:rsid w:val="00A50A83"/>
    <w:rsid w:val="00A738E5"/>
    <w:rsid w:val="00A75EF5"/>
    <w:rsid w:val="00A86387"/>
    <w:rsid w:val="00A91BEF"/>
    <w:rsid w:val="00AA6C4F"/>
    <w:rsid w:val="00AB0D24"/>
    <w:rsid w:val="00AB70A8"/>
    <w:rsid w:val="00AC11EB"/>
    <w:rsid w:val="00AC6DDE"/>
    <w:rsid w:val="00AE1B4F"/>
    <w:rsid w:val="00B03EEE"/>
    <w:rsid w:val="00B04F08"/>
    <w:rsid w:val="00B06F43"/>
    <w:rsid w:val="00B1509D"/>
    <w:rsid w:val="00B20984"/>
    <w:rsid w:val="00B47C83"/>
    <w:rsid w:val="00B51D83"/>
    <w:rsid w:val="00B62050"/>
    <w:rsid w:val="00B67354"/>
    <w:rsid w:val="00B73C42"/>
    <w:rsid w:val="00BA1CBA"/>
    <w:rsid w:val="00BA793E"/>
    <w:rsid w:val="00BB3C63"/>
    <w:rsid w:val="00BD5B8D"/>
    <w:rsid w:val="00BE7819"/>
    <w:rsid w:val="00C01E73"/>
    <w:rsid w:val="00C23241"/>
    <w:rsid w:val="00C46FD7"/>
    <w:rsid w:val="00C523C9"/>
    <w:rsid w:val="00C83DBD"/>
    <w:rsid w:val="00CB08FF"/>
    <w:rsid w:val="00CC76BA"/>
    <w:rsid w:val="00CE5C9C"/>
    <w:rsid w:val="00D06E60"/>
    <w:rsid w:val="00D2195A"/>
    <w:rsid w:val="00D43A04"/>
    <w:rsid w:val="00D767CE"/>
    <w:rsid w:val="00D86FF8"/>
    <w:rsid w:val="00DA18D6"/>
    <w:rsid w:val="00DD6A9C"/>
    <w:rsid w:val="00DE0EC2"/>
    <w:rsid w:val="00DE3314"/>
    <w:rsid w:val="00DE3551"/>
    <w:rsid w:val="00E0090D"/>
    <w:rsid w:val="00E00F4B"/>
    <w:rsid w:val="00E05BE9"/>
    <w:rsid w:val="00E150B7"/>
    <w:rsid w:val="00E229C5"/>
    <w:rsid w:val="00E24267"/>
    <w:rsid w:val="00E2592E"/>
    <w:rsid w:val="00E42BF0"/>
    <w:rsid w:val="00E538FF"/>
    <w:rsid w:val="00E6259E"/>
    <w:rsid w:val="00E72820"/>
    <w:rsid w:val="00E971D7"/>
    <w:rsid w:val="00EA22F3"/>
    <w:rsid w:val="00EB55C3"/>
    <w:rsid w:val="00EC77F1"/>
    <w:rsid w:val="00EE59CE"/>
    <w:rsid w:val="00EF5C1B"/>
    <w:rsid w:val="00F416EC"/>
    <w:rsid w:val="00F42C58"/>
    <w:rsid w:val="00F77613"/>
    <w:rsid w:val="00FA4BC8"/>
    <w:rsid w:val="00FA6B48"/>
    <w:rsid w:val="00FB0252"/>
    <w:rsid w:val="00FB3657"/>
    <w:rsid w:val="00FC21EB"/>
    <w:rsid w:val="00FC48F4"/>
    <w:rsid w:val="00FD0FC5"/>
    <w:rsid w:val="00FD33E7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E5638B4E-E6FE-4303-BAAC-8937E6B7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59CE"/>
    <w:pPr>
      <w:spacing w:after="160" w:line="259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F048A"/>
    <w:pPr>
      <w:numPr>
        <w:numId w:val="4"/>
      </w:numPr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FF048A"/>
    <w:pPr>
      <w:numPr>
        <w:ilvl w:val="1"/>
        <w:numId w:val="4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BE7819"/>
    <w:pPr>
      <w:numPr>
        <w:ilvl w:val="2"/>
        <w:numId w:val="4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BE7819"/>
    <w:pPr>
      <w:numPr>
        <w:ilvl w:val="3"/>
        <w:numId w:val="2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B51D83"/>
    <w:pPr>
      <w:spacing w:before="120" w:after="60" w:line="276" w:lineRule="auto"/>
      <w:ind w:left="1008" w:hanging="1008"/>
      <w:jc w:val="both"/>
      <w:outlineLvl w:val="4"/>
    </w:pPr>
    <w:rPr>
      <w:rFonts w:ascii="Arial" w:eastAsia="MS Mincho" w:hAnsi="Arial"/>
      <w:bCs/>
      <w:i/>
      <w:iCs/>
      <w:kern w:val="20"/>
      <w:sz w:val="26"/>
      <w:szCs w:val="26"/>
      <w:lang w:eastAsia="ja-JP"/>
    </w:rPr>
  </w:style>
  <w:style w:type="paragraph" w:styleId="Nadpis6">
    <w:name w:val="heading 6"/>
    <w:basedOn w:val="Normln"/>
    <w:next w:val="Normln"/>
    <w:link w:val="Nadpis6Char"/>
    <w:uiPriority w:val="99"/>
    <w:qFormat/>
    <w:rsid w:val="00B51D83"/>
    <w:pPr>
      <w:spacing w:before="120" w:after="0" w:line="276" w:lineRule="auto"/>
      <w:ind w:left="1152" w:hanging="1152"/>
      <w:jc w:val="both"/>
      <w:outlineLvl w:val="5"/>
    </w:pPr>
    <w:rPr>
      <w:rFonts w:ascii="Arial" w:eastAsia="MS Mincho" w:hAnsi="Arial"/>
      <w:b/>
      <w:bCs/>
      <w:i/>
      <w:iCs/>
      <w:spacing w:val="-8"/>
      <w:kern w:val="20"/>
      <w:lang w:eastAsia="ja-JP"/>
    </w:rPr>
  </w:style>
  <w:style w:type="paragraph" w:styleId="Nadpis7">
    <w:name w:val="heading 7"/>
    <w:basedOn w:val="Normln"/>
    <w:next w:val="Normln"/>
    <w:link w:val="Nadpis7Char"/>
    <w:uiPriority w:val="99"/>
    <w:qFormat/>
    <w:rsid w:val="00B51D83"/>
    <w:pPr>
      <w:spacing w:before="240" w:after="60" w:line="276" w:lineRule="auto"/>
      <w:ind w:left="1296" w:hanging="1296"/>
      <w:jc w:val="both"/>
      <w:outlineLvl w:val="6"/>
    </w:pPr>
    <w:rPr>
      <w:rFonts w:ascii="Arial" w:eastAsia="MS Mincho" w:hAnsi="Arial"/>
      <w:bCs/>
      <w:kern w:val="20"/>
      <w:sz w:val="24"/>
      <w:szCs w:val="24"/>
      <w:lang w:eastAsia="ja-JP"/>
    </w:rPr>
  </w:style>
  <w:style w:type="paragraph" w:styleId="Nadpis8">
    <w:name w:val="heading 8"/>
    <w:basedOn w:val="Normln"/>
    <w:next w:val="Normln"/>
    <w:link w:val="Nadpis8Char"/>
    <w:uiPriority w:val="99"/>
    <w:qFormat/>
    <w:rsid w:val="00B51D83"/>
    <w:pPr>
      <w:keepNext/>
      <w:spacing w:after="0" w:line="276" w:lineRule="auto"/>
      <w:ind w:left="1440" w:hanging="1440"/>
      <w:jc w:val="both"/>
      <w:outlineLvl w:val="7"/>
    </w:pPr>
    <w:rPr>
      <w:rFonts w:ascii="Arial" w:eastAsia="MS Mincho" w:hAnsi="Arial"/>
      <w:b/>
      <w:bCs/>
      <w:i/>
      <w:iCs/>
      <w:kern w:val="20"/>
      <w:sz w:val="24"/>
      <w:szCs w:val="24"/>
      <w:lang w:eastAsia="ja-JP"/>
    </w:rPr>
  </w:style>
  <w:style w:type="paragraph" w:styleId="Nadpis9">
    <w:name w:val="heading 9"/>
    <w:basedOn w:val="Normln"/>
    <w:next w:val="Normln"/>
    <w:link w:val="Nadpis9Char"/>
    <w:uiPriority w:val="99"/>
    <w:qFormat/>
    <w:rsid w:val="00B51D83"/>
    <w:pPr>
      <w:keepNext/>
      <w:spacing w:after="0" w:line="276" w:lineRule="auto"/>
      <w:ind w:left="1584" w:hanging="1584"/>
      <w:jc w:val="both"/>
      <w:outlineLvl w:val="8"/>
    </w:pPr>
    <w:rPr>
      <w:rFonts w:ascii="Arial" w:eastAsia="MS Mincho" w:hAnsi="Arial"/>
      <w:b/>
      <w:bCs/>
      <w:i/>
      <w:iCs/>
      <w:color w:val="000000"/>
      <w:kern w:val="20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F048A"/>
    <w:rPr>
      <w:rFonts w:cs="Times New Roman"/>
      <w:b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F048A"/>
    <w:rPr>
      <w:rFonts w:cs="Times New Roman"/>
      <w:b/>
      <w:sz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BE7819"/>
    <w:rPr>
      <w:rFonts w:cs="Times New Roman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BE7819"/>
    <w:rPr>
      <w:rFonts w:cs="Times New Roman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B51D83"/>
    <w:rPr>
      <w:rFonts w:ascii="Arial" w:eastAsia="MS Mincho" w:hAnsi="Arial" w:cs="Times New Roman"/>
      <w:i/>
      <w:kern w:val="20"/>
      <w:sz w:val="26"/>
      <w:lang w:eastAsia="ja-JP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B51D83"/>
    <w:rPr>
      <w:rFonts w:ascii="Arial" w:eastAsia="MS Mincho" w:hAnsi="Arial" w:cs="Times New Roman"/>
      <w:b/>
      <w:i/>
      <w:spacing w:val="-8"/>
      <w:kern w:val="20"/>
      <w:sz w:val="22"/>
      <w:lang w:eastAsia="ja-JP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B51D83"/>
    <w:rPr>
      <w:rFonts w:ascii="Arial" w:eastAsia="MS Mincho" w:hAnsi="Arial" w:cs="Times New Roman"/>
      <w:kern w:val="20"/>
      <w:sz w:val="24"/>
      <w:lang w:eastAsia="ja-JP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B51D83"/>
    <w:rPr>
      <w:rFonts w:ascii="Arial" w:eastAsia="MS Mincho" w:hAnsi="Arial" w:cs="Times New Roman"/>
      <w:b/>
      <w:i/>
      <w:kern w:val="20"/>
      <w:sz w:val="24"/>
      <w:lang w:eastAsia="ja-JP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51D83"/>
    <w:rPr>
      <w:rFonts w:ascii="Arial" w:eastAsia="MS Mincho" w:hAnsi="Arial" w:cs="Times New Roman"/>
      <w:b/>
      <w:i/>
      <w:color w:val="000000"/>
      <w:kern w:val="20"/>
      <w:sz w:val="24"/>
      <w:lang w:eastAsia="ja-JP"/>
    </w:rPr>
  </w:style>
  <w:style w:type="paragraph" w:styleId="Odstavecseseznamem">
    <w:name w:val="List Paragraph"/>
    <w:basedOn w:val="Normln"/>
    <w:uiPriority w:val="99"/>
    <w:qFormat/>
    <w:rsid w:val="003015C9"/>
    <w:pPr>
      <w:ind w:left="720"/>
      <w:contextualSpacing/>
    </w:pPr>
  </w:style>
  <w:style w:type="paragraph" w:customStyle="1" w:styleId="Default">
    <w:name w:val="Default"/>
    <w:uiPriority w:val="99"/>
    <w:rsid w:val="003015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99"/>
    <w:qFormat/>
    <w:rsid w:val="003015C9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3634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63413"/>
    <w:rPr>
      <w:rFonts w:cs="Times New Roman"/>
      <w:sz w:val="22"/>
      <w:lang w:eastAsia="en-US"/>
    </w:rPr>
  </w:style>
  <w:style w:type="paragraph" w:styleId="Zpat">
    <w:name w:val="footer"/>
    <w:basedOn w:val="Normln"/>
    <w:link w:val="ZpatChar"/>
    <w:uiPriority w:val="99"/>
    <w:rsid w:val="003634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63413"/>
    <w:rPr>
      <w:rFonts w:cs="Times New Roman"/>
      <w:sz w:val="22"/>
      <w:lang w:eastAsia="en-US"/>
    </w:rPr>
  </w:style>
  <w:style w:type="paragraph" w:styleId="Titulek">
    <w:name w:val="caption"/>
    <w:basedOn w:val="Normln"/>
    <w:next w:val="Normln"/>
    <w:uiPriority w:val="99"/>
    <w:qFormat/>
    <w:rsid w:val="000136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D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4A14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0F482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F48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F4824"/>
    <w:rPr>
      <w:rFonts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F48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F4824"/>
    <w:rPr>
      <w:rFonts w:cs="Times New Roman"/>
      <w:b/>
      <w:bCs/>
      <w:lang w:eastAsia="en-US"/>
    </w:rPr>
  </w:style>
  <w:style w:type="paragraph" w:styleId="Zkladntext">
    <w:name w:val="Body Text"/>
    <w:basedOn w:val="Normln"/>
    <w:link w:val="ZkladntextChar"/>
    <w:uiPriority w:val="99"/>
    <w:locked/>
    <w:rsid w:val="00B03EEE"/>
    <w:pPr>
      <w:spacing w:after="120" w:line="240" w:lineRule="auto"/>
      <w:jc w:val="both"/>
    </w:pPr>
    <w:rPr>
      <w:rFonts w:ascii="Arial" w:eastAsia="MS Mincho" w:hAnsi="Arial" w:cs="Arial"/>
      <w:bCs/>
      <w:kern w:val="20"/>
      <w:sz w:val="24"/>
      <w:szCs w:val="24"/>
      <w:lang w:val="de-DE" w:eastAsia="de-D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03EEE"/>
    <w:rPr>
      <w:rFonts w:ascii="Arial" w:eastAsia="MS Mincho" w:hAnsi="Arial" w:cs="Arial"/>
      <w:bCs/>
      <w:kern w:val="2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42896-9219-4B37-A1D6-2E216165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18812</TotalTime>
  <Pages>3</Pages>
  <Words>693</Words>
  <Characters>4531</Characters>
  <Application>Microsoft Office Word</Application>
  <DocSecurity>8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Zadávací popis separačního uzlu pro výběrové řízení ÚJV Řež</vt:lpstr>
      <vt:lpstr>Zadávací popis separačního uzlu pro výběrové řízení ÚJV Řež</vt:lpstr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popis separačního uzlu pro výběrové řízení ÚJV Řež</dc:title>
  <dc:subject/>
  <dc:creator>jan.hadrava@cvrez.cz</dc:creator>
  <cp:keywords/>
  <dc:description/>
  <cp:lastModifiedBy>Chyna Bohuslav</cp:lastModifiedBy>
  <cp:revision>18</cp:revision>
  <cp:lastPrinted>2015-11-12T12:37:00Z</cp:lastPrinted>
  <dcterms:created xsi:type="dcterms:W3CDTF">2016-03-10T12:29:00Z</dcterms:created>
  <dcterms:modified xsi:type="dcterms:W3CDTF">2017-01-25T08:52:00Z</dcterms:modified>
</cp:coreProperties>
</file>