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A9" w:rsidRDefault="00E61CA9" w:rsidP="00E61CA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Příloha č. 1:</w:t>
      </w:r>
      <w:r w:rsidRPr="0023234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Technické podmínky</w:t>
      </w:r>
    </w:p>
    <w:p w:rsidR="00E61CA9" w:rsidRDefault="00E61CA9" w:rsidP="00EE63C1">
      <w:pPr>
        <w:spacing w:after="240"/>
        <w:jc w:val="center"/>
      </w:pPr>
      <w:r>
        <w:rPr>
          <w:b/>
          <w:sz w:val="36"/>
          <w:szCs w:val="36"/>
        </w:rPr>
        <w:t>Technická specifikace</w:t>
      </w:r>
      <w:r w:rsidRPr="00894735">
        <w:rPr>
          <w:b/>
          <w:sz w:val="36"/>
        </w:rPr>
        <w:t xml:space="preserve"> </w:t>
      </w:r>
      <w:r>
        <w:rPr>
          <w:b/>
          <w:sz w:val="36"/>
        </w:rPr>
        <w:t xml:space="preserve">pro </w:t>
      </w:r>
      <w:r w:rsidRPr="002960FE">
        <w:rPr>
          <w:b/>
          <w:sz w:val="36"/>
        </w:rPr>
        <w:t>„SUSEN</w:t>
      </w:r>
      <w:r>
        <w:rPr>
          <w:b/>
          <w:sz w:val="36"/>
        </w:rPr>
        <w:t xml:space="preserve"> </w:t>
      </w:r>
      <w:r w:rsidRPr="002960FE">
        <w:rPr>
          <w:b/>
          <w:sz w:val="36"/>
        </w:rPr>
        <w:t xml:space="preserve">– </w:t>
      </w:r>
      <w:r w:rsidR="004109BC">
        <w:rPr>
          <w:b/>
          <w:sz w:val="36"/>
        </w:rPr>
        <w:t>Odparka</w:t>
      </w:r>
      <w:r w:rsidR="00731487">
        <w:rPr>
          <w:b/>
          <w:sz w:val="36"/>
        </w:rPr>
        <w:t xml:space="preserve"> pro experimentální linku ETL</w:t>
      </w:r>
      <w:r>
        <w:rPr>
          <w:b/>
          <w:sz w:val="36"/>
        </w:rPr>
        <w:t>“</w:t>
      </w:r>
    </w:p>
    <w:p w:rsidR="00E61CA9" w:rsidRPr="007A5050" w:rsidRDefault="00E61CA9" w:rsidP="00E61CA9">
      <w:pPr>
        <w:pStyle w:val="Zkladntext"/>
        <w:spacing w:after="0"/>
        <w:ind w:right="249"/>
        <w:jc w:val="center"/>
        <w:rPr>
          <w:b/>
          <w:i/>
          <w:sz w:val="28"/>
          <w:lang w:val="cs-CZ"/>
        </w:rPr>
      </w:pPr>
      <w:r w:rsidRPr="007A5050">
        <w:rPr>
          <w:b/>
          <w:i/>
          <w:sz w:val="28"/>
          <w:lang w:val="cs-CZ"/>
        </w:rPr>
        <w:t>Část I</w:t>
      </w:r>
    </w:p>
    <w:p w:rsidR="00E61CA9" w:rsidRDefault="00E61CA9" w:rsidP="00795C6C">
      <w:pPr>
        <w:jc w:val="both"/>
        <w:rPr>
          <w:b/>
          <w:sz w:val="28"/>
          <w:szCs w:val="28"/>
        </w:rPr>
      </w:pPr>
    </w:p>
    <w:p w:rsidR="00682E5B" w:rsidRPr="00363413" w:rsidRDefault="00731487" w:rsidP="00795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Zadávací popis separačního uzlu</w:t>
      </w:r>
    </w:p>
    <w:p w:rsidR="00682E5B" w:rsidRPr="00363413" w:rsidRDefault="00682E5B" w:rsidP="00795C6C">
      <w:pPr>
        <w:spacing w:after="0"/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>Úvod</w:t>
      </w:r>
    </w:p>
    <w:p w:rsidR="00682E5B" w:rsidRDefault="00682E5B" w:rsidP="00795C6C">
      <w:pPr>
        <w:jc w:val="both"/>
      </w:pPr>
      <w:r w:rsidRPr="00363413">
        <w:t xml:space="preserve">Tento dokument slouží pro zadání k výběrovému řízení </w:t>
      </w:r>
      <w:r>
        <w:t>na dodávku</w:t>
      </w:r>
      <w:r w:rsidRPr="00363413">
        <w:t xml:space="preserve">. </w:t>
      </w:r>
      <w:r w:rsidR="00930D0C">
        <w:t>Odparka bude</w:t>
      </w:r>
      <w:r w:rsidR="00057070">
        <w:t xml:space="preserve"> součástí</w:t>
      </w:r>
      <w:r>
        <w:t xml:space="preserve"> technologické linky ETL.  Tato technologická linka ETL bude sloužit pro výzkum, vývoj a testování v oblasti zpracování a úpravy kapalných a </w:t>
      </w:r>
      <w:proofErr w:type="spellStart"/>
      <w:r>
        <w:t>semi</w:t>
      </w:r>
      <w:proofErr w:type="spellEnd"/>
      <w:r>
        <w:t xml:space="preserve"> - kapalných radioaktivních odpadů s cílem minimalizace výsledných objemů od</w:t>
      </w:r>
      <w:r w:rsidR="00057070">
        <w:t>padů ve finální zpevněné formě.</w:t>
      </w:r>
    </w:p>
    <w:p w:rsidR="00682E5B" w:rsidRPr="00363413" w:rsidRDefault="00682E5B" w:rsidP="00795C6C">
      <w:pPr>
        <w:jc w:val="both"/>
      </w:pPr>
    </w:p>
    <w:p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rPr>
          <w:rStyle w:val="Siln"/>
          <w:b/>
        </w:rPr>
        <w:t>V rámci plnění předmětu dodávky budou splněny tyto činnosti:</w:t>
      </w:r>
    </w:p>
    <w:p w:rsidR="00682E5B" w:rsidRDefault="00682E5B" w:rsidP="0047250E">
      <w:pPr>
        <w:jc w:val="both"/>
      </w:pPr>
      <w:r>
        <w:t>Za splnění předmětu dodávky se považuje dodávka a samotná instalace zařízení. K dodávce patří i komplexní zkoušky FAT a SAT, zpracování AS BUILD dokumentace a uvedení do provozu včetně zaškolení obsluhy objednavatele.</w:t>
      </w:r>
    </w:p>
    <w:p w:rsidR="00682E5B" w:rsidRPr="00363413" w:rsidRDefault="00682E5B" w:rsidP="0047250E">
      <w:pPr>
        <w:jc w:val="both"/>
      </w:pPr>
    </w:p>
    <w:p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t>P</w:t>
      </w:r>
      <w:r w:rsidRPr="00363413">
        <w:rPr>
          <w:rStyle w:val="Siln"/>
          <w:b/>
        </w:rPr>
        <w:t>ředmět dodávky</w:t>
      </w:r>
    </w:p>
    <w:p w:rsidR="00682E5B" w:rsidRDefault="00930D0C" w:rsidP="00B1509D">
      <w:pPr>
        <w:jc w:val="both"/>
      </w:pPr>
      <w:r>
        <w:t xml:space="preserve">Odparka </w:t>
      </w:r>
      <w:r w:rsidR="00682E5B">
        <w:t xml:space="preserve">bude součástí technologické linky ETL. Technologická linka bude sloužit pro výzkum, vývoj a testování v oblasti zpracování a úpravy kapalných a </w:t>
      </w:r>
      <w:proofErr w:type="spellStart"/>
      <w:r w:rsidR="00682E5B">
        <w:t>semi</w:t>
      </w:r>
      <w:proofErr w:type="spellEnd"/>
      <w:r w:rsidR="00682E5B">
        <w:t xml:space="preserve"> - kapalných radioaktivních odpadů s cílem minimalizace výsledných objemů odpadů ve finální zpevněné formě. Výzkum bude soustředěn na kapalné a </w:t>
      </w:r>
      <w:proofErr w:type="spellStart"/>
      <w:r w:rsidR="00682E5B">
        <w:t>semi</w:t>
      </w:r>
      <w:proofErr w:type="spellEnd"/>
      <w:r w:rsidR="00682E5B">
        <w:t xml:space="preserve"> - kapalné odpady s dominantní složkou kyseliny borité s různou koncentrací, což jsou odpady z jaderných elektráren v ČR a SR. </w:t>
      </w:r>
    </w:p>
    <w:p w:rsidR="00682E5B" w:rsidRDefault="00682E5B" w:rsidP="00795C6C">
      <w:pPr>
        <w:jc w:val="both"/>
      </w:pPr>
      <w:r>
        <w:t>Celá technologická linka ETL je jeden z přímých výstupů projektu SUSEN, jako realizace demonstračního zařízení pro minimalizaci objemu kapalných RAO na pětinu stávající produkce.</w:t>
      </w:r>
    </w:p>
    <w:p w:rsidR="00682E5B" w:rsidRDefault="00057070" w:rsidP="00795C6C">
      <w:pPr>
        <w:jc w:val="both"/>
      </w:pPr>
      <w:r>
        <w:t>V rámci</w:t>
      </w:r>
      <w:r w:rsidR="00682E5B">
        <w:t xml:space="preserve"> </w:t>
      </w:r>
      <w:r w:rsidR="00930D0C">
        <w:t>odparky</w:t>
      </w:r>
      <w:r w:rsidR="00682E5B">
        <w:t xml:space="preserve"> technologie ETL budou studovány procesy:</w:t>
      </w:r>
    </w:p>
    <w:p w:rsidR="00682E5B" w:rsidRDefault="00682E5B" w:rsidP="00930D0C">
      <w:pPr>
        <w:spacing w:after="0"/>
        <w:ind w:left="705" w:hanging="705"/>
        <w:jc w:val="both"/>
      </w:pPr>
      <w:r>
        <w:t>•</w:t>
      </w:r>
      <w:r>
        <w:tab/>
      </w:r>
      <w:r w:rsidRPr="00B1509D">
        <w:rPr>
          <w:i/>
        </w:rPr>
        <w:t>Zahuštění</w:t>
      </w:r>
      <w:r>
        <w:t xml:space="preserve"> – krystalizace, tj. optimalizace provozních podmínek (teplota, tlak) pro dosažení maxim</w:t>
      </w:r>
      <w:r w:rsidR="00930D0C">
        <w:t>álního výtěžku krystalické fáze</w:t>
      </w:r>
    </w:p>
    <w:p w:rsidR="00682E5B" w:rsidRDefault="00682E5B" w:rsidP="00795C6C">
      <w:pPr>
        <w:jc w:val="both"/>
      </w:pPr>
    </w:p>
    <w:p w:rsidR="00930D0C" w:rsidRDefault="00930D0C" w:rsidP="00930D0C">
      <w:pPr>
        <w:jc w:val="both"/>
      </w:pPr>
      <w:r>
        <w:t xml:space="preserve">Předmětem dodávky je odpařovací zařízení, ve kterém se zahustí matečný roztok. Zařízení musí být vybaveno odpovídajícími senzory umožňující nejen řádný chod tohoto zařízení, ale i jejich řízení. Je nutné, aby zařízení bylo nejen snadno omyvatelné vodním kondenzátem, nebo demineralizovanou vodou, ale i spolehlivé a odolné. Zvláštní pozornost je nutné věnovat korozní odolnosti (viz kap. </w:t>
      </w:r>
      <w:smartTag w:uri="urn:schemas-microsoft-com:office:smarttags" w:element="metricconverter">
        <w:smartTagPr>
          <w:attr w:name="ProductID" w:val="2.1 a"/>
        </w:smartTagPr>
        <w:r>
          <w:t>2.1 a</w:t>
        </w:r>
      </w:smartTag>
      <w:r>
        <w:t xml:space="preserve"> </w:t>
      </w:r>
      <w:r>
        <w:lastRenderedPageBreak/>
        <w:t>2.2). Současně je požadován i přenos vybraných technologických parametrů do nadřazeného řídicího systému.</w:t>
      </w:r>
    </w:p>
    <w:p w:rsidR="00682E5B" w:rsidRDefault="00682E5B" w:rsidP="00795C6C">
      <w:pPr>
        <w:jc w:val="both"/>
      </w:pPr>
      <w:r>
        <w:t>Pře</w:t>
      </w:r>
      <w:r w:rsidR="008231F8">
        <w:t>dmětem dodávky bude její uvedení</w:t>
      </w:r>
      <w:r>
        <w:t xml:space="preserve"> do provozu a seznámení zadavatele s obsluhou.</w:t>
      </w:r>
    </w:p>
    <w:p w:rsidR="00E349AF" w:rsidRDefault="00E349AF" w:rsidP="00F76D0A">
      <w:pPr>
        <w:jc w:val="both"/>
      </w:pPr>
      <w:r>
        <w:t xml:space="preserve">Systém musí být </w:t>
      </w:r>
      <w:r w:rsidR="004109BC">
        <w:t>připraven</w:t>
      </w:r>
      <w:r>
        <w:t xml:space="preserve"> pro jeho </w:t>
      </w:r>
      <w:r w:rsidR="004109BC">
        <w:t>napojení k nadřazenému systému P</w:t>
      </w:r>
      <w:r>
        <w:t>LC.</w:t>
      </w:r>
    </w:p>
    <w:p w:rsidR="00682E5B" w:rsidRPr="00363413" w:rsidRDefault="00682E5B" w:rsidP="00930D0C">
      <w:pPr>
        <w:spacing w:after="0"/>
        <w:jc w:val="both"/>
      </w:pPr>
    </w:p>
    <w:p w:rsidR="00682E5B" w:rsidRDefault="00682E5B" w:rsidP="00795C6C">
      <w:pPr>
        <w:pStyle w:val="Nadpis2"/>
        <w:jc w:val="both"/>
        <w:rPr>
          <w:b w:val="0"/>
        </w:rPr>
      </w:pPr>
      <w:r>
        <w:t>Připojovací b</w:t>
      </w:r>
      <w:r w:rsidRPr="00363413">
        <w:rPr>
          <w:rStyle w:val="Nadpis2Char"/>
          <w:b/>
          <w:sz w:val="24"/>
        </w:rPr>
        <w:t>o</w:t>
      </w:r>
      <w:r>
        <w:t>dy</w:t>
      </w:r>
    </w:p>
    <w:p w:rsidR="00682E5B" w:rsidRDefault="00682E5B" w:rsidP="00D855ED">
      <w:pPr>
        <w:numPr>
          <w:ilvl w:val="0"/>
          <w:numId w:val="5"/>
        </w:numPr>
        <w:spacing w:after="0"/>
        <w:jc w:val="both"/>
      </w:pPr>
      <w:r>
        <w:t xml:space="preserve">Elektro: </w:t>
      </w:r>
      <w:r w:rsidR="00D855ED" w:rsidRPr="00D855ED">
        <w:t xml:space="preserve">Pro instalované zařízení obsahující elektrospotřebiče je k dispozici pouze 18 ks elektrických zásuvek (230V/16A) a 4 ks elektrických zásuvkových skříní (400V/32A). Všechny zásuvkové skříně jsou chráněny jističi s charakteristikou C. K dispozici jsou </w:t>
      </w:r>
      <w:r w:rsidR="00D855ED">
        <w:t>tři</w:t>
      </w:r>
      <w:r w:rsidR="00D855ED" w:rsidRPr="00D855ED">
        <w:t xml:space="preserve"> rozvodné skříně o rozměrech 800x2100x650 mm</w:t>
      </w:r>
      <w:r w:rsidR="00D855ED">
        <w:t>, které budou využívány dalšími technologiemi.</w:t>
      </w:r>
      <w:r w:rsidR="00D855ED" w:rsidRPr="00D855ED">
        <w:t xml:space="preserve"> Maximální elektrický příkon využitelný pro celkovou technologii je 500 kW</w:t>
      </w:r>
      <w:r>
        <w:t>.</w:t>
      </w:r>
    </w:p>
    <w:p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Vzduchotechnika: V místnosti se nachází technologická větev speciální aktivní VZT o světlosti DN250 s odbočkou pro připojení technologie DN200. Přípoj je ukončen uzavírací klapkou. Kapacita odsávané vzdušiny pro technologii ETL je 500 m</w:t>
      </w:r>
      <w:r w:rsidRPr="00B51D83">
        <w:rPr>
          <w:vertAlign w:val="superscript"/>
        </w:rPr>
        <w:t>3</w:t>
      </w:r>
      <w:r>
        <w:t xml:space="preserve">/hod.(materiál VZT potrubí – pozinkovaný plech třídy A, maximální teplota médií na výstupu z technologií do VZT je </w:t>
      </w:r>
      <w:smartTag w:uri="urn:schemas-microsoft-com:office:smarttags" w:element="metricconverter">
        <w:smartTagPr>
          <w:attr w:name="ProductID" w:val="30°C"/>
        </w:smartTagPr>
        <w:r>
          <w:t>50°C</w:t>
        </w:r>
      </w:smartTag>
      <w:r>
        <w:t>.). Větev DN250 je společná pro všechny technologie instalované v provozní hale (ETL, MSO – bezplamenné spalování odpadů a technologie Studený kelímek). Větev DN 250 je odsávána ventilátorem o výkonu 2600 m</w:t>
      </w:r>
      <w:r w:rsidRPr="00B51D83">
        <w:rPr>
          <w:vertAlign w:val="superscript"/>
        </w:rPr>
        <w:t>3</w:t>
      </w:r>
      <w:r>
        <w:t>/hod a tlaku 2900Pa, který je napojen na centrální VZT kanál. Vzduch je před vypuštěním do centrální VZT filtrován v aerosolovém filtru. Ventilátor a aerosolový filtr jsou umístěny ve VET centru.</w:t>
      </w:r>
    </w:p>
    <w:p w:rsidR="00682E5B" w:rsidRDefault="00682E5B" w:rsidP="00795C6C">
      <w:pPr>
        <w:numPr>
          <w:ilvl w:val="0"/>
          <w:numId w:val="5"/>
        </w:numPr>
        <w:spacing w:after="0"/>
        <w:jc w:val="both"/>
      </w:pPr>
      <w:r>
        <w:t>Rozvod vody: V pracovní hale je řešen přívod vody, který je opatřen odbočkou pro další rozvody ve výšce cca. 2,5m. Jedná se o přívod užitkové vody vodárensky upravované nitrifikací a odmanganováním, s obsahem aktivního chloru max. 1mg/l. Tlak vody 2-5 bar, teplota 10-</w:t>
      </w:r>
      <w:smartTag w:uri="urn:schemas-microsoft-com:office:smarttags" w:element="metricconverter">
        <w:smartTagPr>
          <w:attr w:name="ProductID" w:val="30°C"/>
        </w:smartTagPr>
        <w:r>
          <w:t>15°C</w:t>
        </w:r>
      </w:smartTag>
      <w:r>
        <w:t>, světlost potrubí je DN80.</w:t>
      </w:r>
    </w:p>
    <w:p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Topné médium – voda: 90/80°C, demineralizovaná voda</w:t>
      </w:r>
      <w:r w:rsidR="00D855ED">
        <w:t>, 6 m</w:t>
      </w:r>
      <w:r w:rsidR="00D855ED" w:rsidRPr="00D855ED">
        <w:rPr>
          <w:vertAlign w:val="superscript"/>
        </w:rPr>
        <w:t>3</w:t>
      </w:r>
      <w:r w:rsidR="00D855ED">
        <w:t>/h, 10 Bar</w:t>
      </w:r>
      <w:r>
        <w:t>.</w:t>
      </w:r>
    </w:p>
    <w:p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Chladící médium – voda: 35/25°C, užitková voda z hlavního rozvodu</w:t>
      </w:r>
      <w:r w:rsidR="00D855ED">
        <w:t>, 6 m</w:t>
      </w:r>
      <w:r w:rsidR="00D855ED" w:rsidRPr="00D855ED">
        <w:rPr>
          <w:vertAlign w:val="superscript"/>
        </w:rPr>
        <w:t>3</w:t>
      </w:r>
      <w:r w:rsidR="00D855ED">
        <w:t>/h, 10 Bar</w:t>
      </w:r>
      <w:r>
        <w:t>.</w:t>
      </w:r>
    </w:p>
    <w:p w:rsidR="00682E5B" w:rsidRDefault="00682E5B" w:rsidP="00795C6C">
      <w:pPr>
        <w:numPr>
          <w:ilvl w:val="0"/>
          <w:numId w:val="5"/>
        </w:numPr>
        <w:spacing w:after="0"/>
        <w:jc w:val="both"/>
      </w:pPr>
      <w:r>
        <w:t xml:space="preserve">Kanalizace: </w:t>
      </w:r>
      <w:r w:rsidRPr="008F60B8">
        <w:t xml:space="preserve">V </w:t>
      </w:r>
      <w:r>
        <w:t>hale</w:t>
      </w:r>
      <w:r w:rsidRPr="008F60B8">
        <w:t xml:space="preserve"> se nachází potrubí pro chemickou (DN60) a aktivní (DN50) kanalizaci (stoupačky). Potrubí jsou opatřena odb</w:t>
      </w:r>
      <w:r>
        <w:t>očkou pro napojení technologie.</w:t>
      </w:r>
    </w:p>
    <w:p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Odvod par: Odpařená voda v podobě vodní páry ze zahušťovacího, separačního a sušícího zařízení</w:t>
      </w:r>
      <w:r w:rsidRPr="002D6B3E">
        <w:t xml:space="preserve"> </w:t>
      </w:r>
      <w:r>
        <w:t xml:space="preserve">je po odloučení kapek </w:t>
      </w:r>
      <w:r w:rsidRPr="002D6B3E">
        <w:t>odváděna do deskového kondenzátoru</w:t>
      </w:r>
      <w:r w:rsidRPr="00634862">
        <w:t>. Vzniklý</w:t>
      </w:r>
      <w:r w:rsidRPr="002D6B3E">
        <w:t xml:space="preserve"> kondenzát je jímán do s</w:t>
      </w:r>
      <w:r>
        <w:t>kladovací nádrže na kondenzát</w:t>
      </w:r>
      <w:r w:rsidRPr="002D6B3E">
        <w:t>.</w:t>
      </w:r>
      <w:r>
        <w:t xml:space="preserve"> Odtah bude zajišťovat pomocí vývěvy, která bude zároveň plnit funkci tvorby podtlaku v odpařovacím a sušícím zařízení.</w:t>
      </w:r>
      <w:r w:rsidR="00D855ED">
        <w:t xml:space="preserve"> Vývěva není předmětem dodávky.</w:t>
      </w:r>
    </w:p>
    <w:p w:rsidR="00682E5B" w:rsidRDefault="00682E5B" w:rsidP="00795C6C">
      <w:pPr>
        <w:numPr>
          <w:ilvl w:val="0"/>
          <w:numId w:val="5"/>
        </w:numPr>
        <w:spacing w:after="0"/>
        <w:jc w:val="both"/>
      </w:pPr>
      <w:r>
        <w:t>Proplachovací médium: Separační uzel</w:t>
      </w:r>
      <w:r w:rsidRPr="00781254">
        <w:t xml:space="preserve"> bude napojen </w:t>
      </w:r>
      <w:r>
        <w:t xml:space="preserve">na </w:t>
      </w:r>
      <w:proofErr w:type="spellStart"/>
      <w:r>
        <w:t>proplachové</w:t>
      </w:r>
      <w:proofErr w:type="spellEnd"/>
      <w:r>
        <w:t xml:space="preserve"> médium. Médiem bude</w:t>
      </w:r>
      <w:r w:rsidRPr="00781254">
        <w:t xml:space="preserve"> kondenzát z</w:t>
      </w:r>
      <w:r>
        <w:t xml:space="preserve">e skladovací nádrže. Po ohřátí </w:t>
      </w:r>
      <w:r w:rsidRPr="00781254">
        <w:t xml:space="preserve"> v deskovém výměníku </w:t>
      </w:r>
      <w:r>
        <w:t xml:space="preserve">bude následně veden pomocí vysokotlakého čerpadla </w:t>
      </w:r>
      <w:r w:rsidRPr="00781254">
        <w:t xml:space="preserve">do jednotlivých zařízení </w:t>
      </w:r>
      <w:r>
        <w:t xml:space="preserve">a propojovacího potrubí separačního uzlu.  Odpadní </w:t>
      </w:r>
      <w:proofErr w:type="spellStart"/>
      <w:r>
        <w:t>proplachová</w:t>
      </w:r>
      <w:proofErr w:type="spellEnd"/>
      <w:r>
        <w:t xml:space="preserve"> voda bude</w:t>
      </w:r>
      <w:r w:rsidRPr="00781254">
        <w:t xml:space="preserve"> vedena do zásobní nádrže</w:t>
      </w:r>
      <w:r>
        <w:t xml:space="preserve"> na kapalný odpad.  Nedostatek </w:t>
      </w:r>
      <w:proofErr w:type="spellStart"/>
      <w:r>
        <w:t>proplachové</w:t>
      </w:r>
      <w:proofErr w:type="spellEnd"/>
      <w:r>
        <w:t xml:space="preserve"> vody bude kompenzován přípojkou na hlavní rozvod  demineralizované vody.</w:t>
      </w:r>
    </w:p>
    <w:p w:rsidR="00682E5B" w:rsidRDefault="00682E5B" w:rsidP="00D855ED">
      <w:pPr>
        <w:numPr>
          <w:ilvl w:val="0"/>
          <w:numId w:val="5"/>
        </w:numPr>
        <w:spacing w:after="0"/>
        <w:ind w:left="1077" w:hanging="357"/>
        <w:jc w:val="both"/>
      </w:pPr>
      <w:r>
        <w:t>Místní uspořádání, plocha, prostor: zastavěná plo</w:t>
      </w:r>
      <w:r w:rsidR="00FE38BB">
        <w:t xml:space="preserve">cha separačního uzle bude </w:t>
      </w:r>
      <w:r w:rsidR="00D855ED">
        <w:t xml:space="preserve">max. 6,02 </w:t>
      </w:r>
      <w:r w:rsidRPr="0067161E">
        <w:t>m</w:t>
      </w:r>
      <w:r w:rsidRPr="0067161E">
        <w:rPr>
          <w:vertAlign w:val="superscript"/>
        </w:rPr>
        <w:t>2</w:t>
      </w:r>
      <w:r w:rsidR="0067161E">
        <w:t>, výška nesmí přesáhnout 4,5</w:t>
      </w:r>
      <w:r>
        <w:t xml:space="preserve">m, výstup ze sušícího </w:t>
      </w:r>
      <w:r w:rsidR="00FE38BB">
        <w:t>zařízení alespoň 1,5m</w:t>
      </w:r>
      <w:r>
        <w:t xml:space="preserve"> nad podlahou.</w:t>
      </w:r>
    </w:p>
    <w:p w:rsidR="004109BC" w:rsidRDefault="004109BC" w:rsidP="004109BC">
      <w:pPr>
        <w:spacing w:after="0"/>
        <w:jc w:val="both"/>
      </w:pPr>
    </w:p>
    <w:p w:rsidR="004109BC" w:rsidRDefault="004109BC" w:rsidP="004109BC">
      <w:pPr>
        <w:spacing w:after="0"/>
        <w:jc w:val="both"/>
      </w:pPr>
    </w:p>
    <w:p w:rsidR="004109BC" w:rsidRPr="00363413" w:rsidRDefault="004109BC" w:rsidP="004109BC">
      <w:pPr>
        <w:spacing w:after="0"/>
        <w:jc w:val="both"/>
      </w:pPr>
    </w:p>
    <w:p w:rsidR="00682E5B" w:rsidRPr="00363413" w:rsidRDefault="00682E5B" w:rsidP="00795C6C">
      <w:pPr>
        <w:pStyle w:val="Odstavecseseznamem"/>
        <w:spacing w:after="0"/>
        <w:ind w:left="1080"/>
        <w:jc w:val="both"/>
      </w:pPr>
    </w:p>
    <w:p w:rsidR="00682E5B" w:rsidRPr="00363413" w:rsidRDefault="00682E5B" w:rsidP="00795C6C">
      <w:pPr>
        <w:pStyle w:val="Nadpis2"/>
        <w:jc w:val="both"/>
      </w:pPr>
      <w:r w:rsidRPr="00363413">
        <w:lastRenderedPageBreak/>
        <w:t>Obecné požadavky předmětu dodávky</w:t>
      </w:r>
    </w:p>
    <w:p w:rsidR="00682E5B" w:rsidRPr="00363413" w:rsidRDefault="00682E5B" w:rsidP="00795C6C">
      <w:pPr>
        <w:pStyle w:val="Nadpis3"/>
        <w:keepNext/>
        <w:numPr>
          <w:ilvl w:val="0"/>
          <w:numId w:val="5"/>
        </w:numPr>
        <w:spacing w:after="0"/>
        <w:ind w:left="1077" w:hanging="357"/>
        <w:jc w:val="both"/>
      </w:pPr>
      <w:r w:rsidRPr="00363413">
        <w:t xml:space="preserve">zpracování kapalných a </w:t>
      </w:r>
      <w:proofErr w:type="spellStart"/>
      <w:r w:rsidRPr="00363413">
        <w:t>semikapalných</w:t>
      </w:r>
      <w:proofErr w:type="spellEnd"/>
      <w:r w:rsidRPr="00363413">
        <w:t xml:space="preserve"> odpadů charakterizovaných v</w:t>
      </w:r>
      <w:r>
        <w:t> kap.</w:t>
      </w:r>
      <w:r w:rsidRPr="00363413">
        <w:t xml:space="preserve"> 2.1.a 2.2</w:t>
      </w:r>
    </w:p>
    <w:p w:rsidR="00682E5B" w:rsidRDefault="00682E5B" w:rsidP="00795C6C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zmenšení objemu kapalného odpadu jeho zahuštěním v</w:t>
      </w:r>
      <w:r>
        <w:rPr>
          <w:rFonts w:ascii="Calibri" w:hAnsi="Calibri"/>
          <w:sz w:val="22"/>
          <w:szCs w:val="22"/>
        </w:rPr>
        <w:t> odpařovacím zařízení</w:t>
      </w:r>
      <w:r w:rsidR="009D54AA">
        <w:rPr>
          <w:rFonts w:ascii="Calibri" w:hAnsi="Calibri"/>
          <w:sz w:val="22"/>
          <w:szCs w:val="22"/>
        </w:rPr>
        <w:t xml:space="preserve"> za různých provozních podmínek</w:t>
      </w:r>
    </w:p>
    <w:p w:rsidR="009D54AA" w:rsidRPr="00363413" w:rsidRDefault="009D54AA" w:rsidP="00795C6C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kondenzace brýdových par</w:t>
      </w:r>
    </w:p>
    <w:p w:rsidR="00682E5B" w:rsidRPr="00363413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 w:rsidRPr="00363413">
        <w:t xml:space="preserve">vysoce účinná </w:t>
      </w:r>
      <w:proofErr w:type="spellStart"/>
      <w:r w:rsidRPr="00363413">
        <w:t>promyvatelnost</w:t>
      </w:r>
      <w:proofErr w:type="spellEnd"/>
      <w:r w:rsidRPr="00363413">
        <w:t xml:space="preserve"> celého zařízení, snadná údržba a </w:t>
      </w:r>
      <w:proofErr w:type="spellStart"/>
      <w:r w:rsidRPr="00363413">
        <w:t>rozebíratelnost</w:t>
      </w:r>
      <w:proofErr w:type="spellEnd"/>
      <w:r w:rsidRPr="00363413">
        <w:t>, spolehlivost, odolnost</w:t>
      </w:r>
    </w:p>
    <w:p w:rsidR="00682E5B" w:rsidRDefault="00483EEF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>napojení na nadřazený systém PLC</w:t>
      </w:r>
    </w:p>
    <w:p w:rsidR="00682E5B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metrologie: měření teploty, tlaku, hladiny. Analogový výstupní signál </w:t>
      </w:r>
      <w:r w:rsidRPr="000D4A14">
        <w:t>0/4 - 20 mA</w:t>
      </w:r>
      <w:r>
        <w:t>, napájení 230V AC</w:t>
      </w:r>
    </w:p>
    <w:p w:rsidR="00682E5B" w:rsidRPr="00BB3C63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 w:rsidRPr="00BB3C63">
        <w:t>specifikace odběrů</w:t>
      </w:r>
      <w:r w:rsidR="00483EEF">
        <w:t xml:space="preserve"> vzorků k off-line analýze</w:t>
      </w:r>
      <w:r w:rsidR="00051B9E">
        <w:t>, např. kulové kohouty</w:t>
      </w:r>
      <w:r w:rsidRPr="00BB3C63">
        <w:t>:</w:t>
      </w:r>
    </w:p>
    <w:p w:rsidR="00682E5B" w:rsidRPr="00BB3C63" w:rsidRDefault="00682E5B" w:rsidP="00795C6C">
      <w:pPr>
        <w:pStyle w:val="Odstavecseseznamem"/>
        <w:numPr>
          <w:ilvl w:val="1"/>
          <w:numId w:val="5"/>
        </w:numPr>
        <w:spacing w:after="0"/>
        <w:jc w:val="both"/>
      </w:pPr>
      <w:r w:rsidRPr="00BB3C63">
        <w:t xml:space="preserve">1x odběr před odtokovým ventilem </w:t>
      </w:r>
      <w:r>
        <w:t>ze zhušťovacího zařízení</w:t>
      </w:r>
    </w:p>
    <w:p w:rsidR="00682E5B" w:rsidRPr="00BB2A6A" w:rsidRDefault="00682E5B" w:rsidP="006A6E1A">
      <w:pPr>
        <w:pStyle w:val="Odstavecseseznamem"/>
        <w:numPr>
          <w:ilvl w:val="0"/>
          <w:numId w:val="5"/>
        </w:numPr>
        <w:spacing w:after="0"/>
        <w:jc w:val="both"/>
      </w:pPr>
      <w:r w:rsidRPr="00A738E5">
        <w:t>korozní odolnost konstrukčních materiálů</w:t>
      </w:r>
      <w:r>
        <w:t>,</w:t>
      </w:r>
      <w:r w:rsidRPr="00A738E5">
        <w:t xml:space="preserve"> upozornění na vysokou solnost </w:t>
      </w:r>
      <w:r>
        <w:t xml:space="preserve">zahuštěných </w:t>
      </w:r>
      <w:r w:rsidRPr="00A738E5">
        <w:t>roztoků</w:t>
      </w:r>
      <w:r>
        <w:t xml:space="preserve">, zvýšený obsah </w:t>
      </w:r>
      <w:r w:rsidRPr="00A738E5">
        <w:t> C</w:t>
      </w:r>
      <w:r>
        <w:t>l</w:t>
      </w:r>
      <w:r w:rsidRPr="00A738E5">
        <w:rPr>
          <w:vertAlign w:val="superscript"/>
        </w:rPr>
        <w:t>-</w:t>
      </w:r>
    </w:p>
    <w:p w:rsidR="00682E5B" w:rsidRPr="00363413" w:rsidRDefault="00682E5B" w:rsidP="00795C6C">
      <w:pPr>
        <w:pStyle w:val="Nadpis2"/>
        <w:jc w:val="both"/>
      </w:pPr>
      <w:r w:rsidRPr="00363413">
        <w:t>Požadovaný rozsah nabídky</w:t>
      </w:r>
    </w:p>
    <w:p w:rsidR="00682E5B" w:rsidRPr="00363413" w:rsidRDefault="00682E5B" w:rsidP="00795C6C">
      <w:pPr>
        <w:pStyle w:val="Odstavecseseznamem"/>
        <w:numPr>
          <w:ilvl w:val="0"/>
          <w:numId w:val="5"/>
        </w:numPr>
        <w:jc w:val="both"/>
      </w:pPr>
      <w:r w:rsidRPr="00363413">
        <w:t>GA list</w:t>
      </w:r>
    </w:p>
    <w:p w:rsidR="00682E5B" w:rsidRPr="00363413" w:rsidRDefault="00483EEF" w:rsidP="00795C6C">
      <w:pPr>
        <w:pStyle w:val="Odstavecseseznamem"/>
        <w:numPr>
          <w:ilvl w:val="0"/>
          <w:numId w:val="5"/>
        </w:numPr>
        <w:jc w:val="both"/>
      </w:pPr>
      <w:r>
        <w:t>Specifikace</w:t>
      </w:r>
      <w:r w:rsidR="00682E5B" w:rsidRPr="00363413">
        <w:t xml:space="preserve"> zařízení (objem, hmotnost, velikost, základní charakteristika, popis)</w:t>
      </w:r>
    </w:p>
    <w:p w:rsidR="00682E5B" w:rsidRPr="00363413" w:rsidRDefault="00682E5B" w:rsidP="00795C6C">
      <w:pPr>
        <w:pStyle w:val="Odstavecseseznamem"/>
        <w:numPr>
          <w:ilvl w:val="0"/>
          <w:numId w:val="5"/>
        </w:numPr>
        <w:jc w:val="both"/>
      </w:pPr>
      <w:r w:rsidRPr="00363413">
        <w:t>Připojovací body zařízení, energetické nároky zařízení</w:t>
      </w:r>
    </w:p>
    <w:p w:rsidR="00682E5B" w:rsidRPr="00363413" w:rsidRDefault="00682E5B" w:rsidP="00795C6C">
      <w:pPr>
        <w:pStyle w:val="Odstavecseseznamem"/>
        <w:numPr>
          <w:ilvl w:val="0"/>
          <w:numId w:val="5"/>
        </w:numPr>
        <w:jc w:val="both"/>
      </w:pPr>
      <w:r w:rsidRPr="00363413">
        <w:t>Cena za celkovou dodávku „na klíč“</w:t>
      </w:r>
    </w:p>
    <w:p w:rsidR="00D855ED" w:rsidRDefault="00682E5B" w:rsidP="00D855ED">
      <w:pPr>
        <w:pStyle w:val="Odstavecseseznamem"/>
        <w:numPr>
          <w:ilvl w:val="0"/>
          <w:numId w:val="5"/>
        </w:numPr>
        <w:spacing w:after="0"/>
        <w:jc w:val="both"/>
      </w:pPr>
      <w:r w:rsidRPr="00363413">
        <w:t>Návrh na servisní práce, technickou podporu a jejich dostupnost</w:t>
      </w:r>
    </w:p>
    <w:p w:rsidR="00682E5B" w:rsidRPr="00363413" w:rsidRDefault="00682E5B" w:rsidP="00D855ED">
      <w:pPr>
        <w:spacing w:after="0"/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 xml:space="preserve">Charakteristika vstupních médií </w:t>
      </w:r>
    </w:p>
    <w:p w:rsidR="00682E5B" w:rsidRPr="00363413" w:rsidRDefault="00682E5B" w:rsidP="00795C6C">
      <w:pPr>
        <w:pStyle w:val="Nadpis2"/>
        <w:jc w:val="both"/>
      </w:pPr>
      <w:r w:rsidRPr="00363413">
        <w:t xml:space="preserve"> Kapalné odpady</w:t>
      </w:r>
    </w:p>
    <w:p w:rsidR="00682E5B" w:rsidRPr="00AA3936" w:rsidRDefault="00682E5B" w:rsidP="00795C6C">
      <w:pPr>
        <w:pStyle w:val="Odstavecseseznamem"/>
        <w:spacing w:after="0"/>
        <w:ind w:left="0"/>
        <w:jc w:val="both"/>
        <w:rPr>
          <w:iCs/>
        </w:rPr>
      </w:pPr>
      <w:r w:rsidRPr="00363413">
        <w:t>Vstup</w:t>
      </w:r>
      <w:r w:rsidR="00483EEF">
        <w:t>ním médiem bude modelový roztok</w:t>
      </w:r>
      <w:r w:rsidRPr="00363413">
        <w:t>. Složení modelového roztoku je uvedeno v</w:t>
      </w:r>
      <w:r>
        <w:t> </w:t>
      </w:r>
      <w:r w:rsidRPr="00363413">
        <w:t>tab</w:t>
      </w:r>
      <w:r>
        <w:t>ulce</w:t>
      </w:r>
      <w:r w:rsidRPr="00363413">
        <w:t xml:space="preserve"> č. 1</w:t>
      </w:r>
      <w:r w:rsidRPr="00363413">
        <w:rPr>
          <w:iCs/>
        </w:rPr>
        <w:t>.  Koncentrace vstupního roztoku te</w:t>
      </w:r>
      <w:r>
        <w:rPr>
          <w:iCs/>
        </w:rPr>
        <w:t xml:space="preserve">dy může kolísat od 10 g/l do 300 g/l RAS. Parametry roztoku jsou uvedeny v tabulce č. </w:t>
      </w:r>
      <w:r w:rsidRPr="00AA3936">
        <w:rPr>
          <w:iCs/>
        </w:rPr>
        <w:t>2.</w:t>
      </w:r>
    </w:p>
    <w:p w:rsidR="00682E5B" w:rsidRDefault="00682E5B" w:rsidP="00795C6C">
      <w:pPr>
        <w:pStyle w:val="Odstavecseseznamem"/>
        <w:spacing w:after="0"/>
        <w:ind w:left="0"/>
        <w:jc w:val="both"/>
      </w:pPr>
      <w:r w:rsidRPr="00013602">
        <w:t>Na zařízení budou probíhat neaktivní experimenty s modelovým roztokem a experimenty se simulovanou aktivitou pro optimalizaci podmínek provozu. Jako modelový roztok bude sloužit odpadní voda z bloků jaderných elektráren. Modelové složení je v tabulce 1. Jako simulátor aktivity bude používán CsNO</w:t>
      </w:r>
      <w:r w:rsidRPr="00795C6C">
        <w:rPr>
          <w:vertAlign w:val="subscript"/>
        </w:rPr>
        <w:t>3</w:t>
      </w:r>
      <w:r w:rsidR="004D2420">
        <w:t xml:space="preserve">, </w:t>
      </w:r>
      <w:r w:rsidR="004D2420" w:rsidRPr="00013602">
        <w:t>Co</w:t>
      </w:r>
      <w:r w:rsidR="004D2420">
        <w:t>(NO</w:t>
      </w:r>
      <w:r w:rsidR="004D2420" w:rsidRPr="004D2420">
        <w:rPr>
          <w:vertAlign w:val="subscript"/>
        </w:rPr>
        <w:t>3</w:t>
      </w:r>
      <w:r w:rsidRPr="00013602">
        <w:t>)</w:t>
      </w:r>
      <w:r w:rsidRPr="005E5EB9">
        <w:rPr>
          <w:vertAlign w:val="subscript"/>
        </w:rPr>
        <w:t>2</w:t>
      </w:r>
      <w:r w:rsidRPr="00013602">
        <w:t>.6H</w:t>
      </w:r>
      <w:r w:rsidRPr="00795C6C">
        <w:rPr>
          <w:vertAlign w:val="subscript"/>
        </w:rPr>
        <w:t>2</w:t>
      </w:r>
      <w:r w:rsidRPr="00013602">
        <w:t>O nebo SrCO</w:t>
      </w:r>
      <w:r w:rsidRPr="00795C6C">
        <w:rPr>
          <w:vertAlign w:val="subscript"/>
        </w:rPr>
        <w:t>3</w:t>
      </w:r>
      <w:r w:rsidRPr="00013602">
        <w:t xml:space="preserve">. Budou zjišťovány stopy těchto látek a jejich koncentrace ve všech výstupech technologických uzlů. Tj. zahuštěná směs s krystaly, suché a vlhké krystaly, filtrát, kondenzát z odparky, </w:t>
      </w:r>
      <w:proofErr w:type="spellStart"/>
      <w:r w:rsidRPr="00013602">
        <w:t>proplachová</w:t>
      </w:r>
      <w:proofErr w:type="spellEnd"/>
      <w:r w:rsidRPr="00013602">
        <w:t xml:space="preserve"> odpadní voda</w:t>
      </w:r>
      <w:r>
        <w:t>.</w:t>
      </w: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Default="00483EEF" w:rsidP="00795C6C">
      <w:pPr>
        <w:pStyle w:val="Odstavecseseznamem"/>
        <w:spacing w:after="0"/>
        <w:ind w:left="0"/>
        <w:jc w:val="both"/>
      </w:pPr>
    </w:p>
    <w:p w:rsidR="00483EEF" w:rsidRPr="00013602" w:rsidRDefault="00483EEF" w:rsidP="00795C6C">
      <w:pPr>
        <w:pStyle w:val="Odstavecseseznamem"/>
        <w:spacing w:after="0"/>
        <w:ind w:left="0"/>
        <w:jc w:val="both"/>
      </w:pPr>
    </w:p>
    <w:p w:rsidR="00682E5B" w:rsidRPr="00363413" w:rsidRDefault="00682E5B" w:rsidP="00795C6C">
      <w:pPr>
        <w:pStyle w:val="Odstavecseseznamem"/>
        <w:spacing w:after="0"/>
        <w:jc w:val="both"/>
      </w:pPr>
    </w:p>
    <w:p w:rsidR="00682E5B" w:rsidRDefault="00682E5B" w:rsidP="00795C6C">
      <w:pPr>
        <w:pStyle w:val="Titulek"/>
        <w:keepNext/>
        <w:jc w:val="both"/>
      </w:pPr>
      <w:r>
        <w:lastRenderedPageBreak/>
        <w:t xml:space="preserve">Tabulka </w:t>
      </w:r>
      <w:r w:rsidR="00434E20">
        <w:fldChar w:fldCharType="begin"/>
      </w:r>
      <w:r w:rsidR="00434E20">
        <w:instrText xml:space="preserve"> SEQ Tabulka \* ARABIC </w:instrText>
      </w:r>
      <w:r w:rsidR="00434E20">
        <w:fldChar w:fldCharType="separate"/>
      </w:r>
      <w:r w:rsidR="00057070">
        <w:rPr>
          <w:noProof/>
        </w:rPr>
        <w:t>1</w:t>
      </w:r>
      <w:r w:rsidR="00434E20">
        <w:rPr>
          <w:noProof/>
        </w:rPr>
        <w:fldChar w:fldCharType="end"/>
      </w:r>
      <w:r>
        <w:t>. Složení modelové roztoku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1"/>
        <w:gridCol w:w="1439"/>
        <w:gridCol w:w="1800"/>
        <w:gridCol w:w="1620"/>
        <w:gridCol w:w="1792"/>
      </w:tblGrid>
      <w:tr w:rsidR="00682E5B" w:rsidRPr="001C11A4" w:rsidTr="00756846">
        <w:trPr>
          <w:trHeight w:val="195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E5B" w:rsidRPr="002A7F41" w:rsidRDefault="00682E5B" w:rsidP="00756846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model</w:t>
            </w:r>
            <w:r>
              <w:rPr>
                <w:color w:val="000000"/>
              </w:rPr>
              <w:t>ový roztok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682E5B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modelový koncentrát</w:t>
            </w:r>
          </w:p>
        </w:tc>
      </w:tr>
      <w:tr w:rsidR="00682E5B" w:rsidRPr="001C11A4" w:rsidTr="00756846">
        <w:trPr>
          <w:trHeight w:val="195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složení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682E5B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g/l(H</w:t>
            </w:r>
            <w:r w:rsidRPr="00483EEF">
              <w:rPr>
                <w:b/>
                <w:color w:val="000000"/>
                <w:vertAlign w:val="subscript"/>
              </w:rPr>
              <w:t>2</w:t>
            </w:r>
            <w:r w:rsidRPr="00483EEF">
              <w:rPr>
                <w:b/>
                <w:color w:val="000000"/>
              </w:rPr>
              <w:t>O)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H</w:t>
            </w:r>
            <w:r w:rsidRPr="00E0090D">
              <w:rPr>
                <w:color w:val="000000"/>
                <w:vertAlign w:val="subscript"/>
              </w:rPr>
              <w:t>3</w:t>
            </w:r>
            <w:r w:rsidRPr="002A7F41">
              <w:rPr>
                <w:color w:val="000000"/>
              </w:rPr>
              <w:t>BO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33,6</w:t>
            </w: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56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420" w:rsidRPr="00483EEF" w:rsidRDefault="004D2420" w:rsidP="004D242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269,04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2A7F41">
              <w:rPr>
                <w:color w:val="000000"/>
              </w:rPr>
              <w:t>NaCl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1,68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</w:t>
            </w: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2,8</w:t>
            </w:r>
            <w:r>
              <w:rPr>
                <w:color w:val="000000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13,45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CO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21,21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2,12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35,32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169,69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12,3</w:t>
            </w: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1,2</w:t>
            </w: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20,56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98,78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SO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</w:t>
            </w: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3,84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18,45</w:t>
            </w:r>
          </w:p>
        </w:tc>
      </w:tr>
      <w:tr w:rsidR="00682E5B" w:rsidRPr="001C11A4" w:rsidTr="00756846">
        <w:trPr>
          <w:trHeight w:val="256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(COONa</w:t>
            </w:r>
            <w:r w:rsidRPr="002A7F41">
              <w:rPr>
                <w:color w:val="000000"/>
              </w:rPr>
              <w:t>)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2,53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4,22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20,27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11,39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KNO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10,4</w:t>
            </w:r>
            <w:r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1,0</w:t>
            </w: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17,41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83,64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NaOH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14,41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24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483EEF" w:rsidRDefault="004D2420" w:rsidP="00795C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83EEF">
              <w:rPr>
                <w:b/>
                <w:color w:val="000000"/>
              </w:rPr>
              <w:t>115,30</w:t>
            </w:r>
          </w:p>
        </w:tc>
      </w:tr>
      <w:tr w:rsidR="00682E5B" w:rsidRPr="001C11A4" w:rsidTr="00756846">
        <w:trPr>
          <w:trHeight w:val="245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Celkem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7F41">
              <w:rPr>
                <w:b/>
                <w:bCs/>
                <w:color w:val="000000"/>
              </w:rPr>
              <w:t>166,52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2E5B" w:rsidRPr="00483EEF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83EEF">
              <w:rPr>
                <w:b/>
                <w:bCs/>
                <w:color w:val="000000"/>
              </w:rPr>
              <w:t>800</w:t>
            </w:r>
          </w:p>
        </w:tc>
      </w:tr>
    </w:tbl>
    <w:p w:rsidR="00682E5B" w:rsidRDefault="00682E5B" w:rsidP="00795C6C">
      <w:pPr>
        <w:pStyle w:val="Titulek"/>
        <w:keepNext/>
        <w:jc w:val="both"/>
      </w:pPr>
    </w:p>
    <w:p w:rsidR="00682E5B" w:rsidRDefault="00682E5B" w:rsidP="00795C6C">
      <w:pPr>
        <w:pStyle w:val="Titulek"/>
        <w:keepNext/>
        <w:jc w:val="both"/>
      </w:pPr>
      <w:r>
        <w:t xml:space="preserve">Tabulka </w:t>
      </w:r>
      <w:r w:rsidR="00434E20">
        <w:fldChar w:fldCharType="begin"/>
      </w:r>
      <w:r w:rsidR="00434E20">
        <w:instrText xml:space="preserve"> SEQ Tabulka \* ARABIC </w:instrText>
      </w:r>
      <w:r w:rsidR="00434E20">
        <w:fldChar w:fldCharType="separate"/>
      </w:r>
      <w:r w:rsidR="00057070">
        <w:rPr>
          <w:noProof/>
        </w:rPr>
        <w:t>2</w:t>
      </w:r>
      <w:r w:rsidR="00434E20">
        <w:rPr>
          <w:noProof/>
        </w:rPr>
        <w:fldChar w:fldCharType="end"/>
      </w:r>
      <w:r>
        <w:t xml:space="preserve">. </w:t>
      </w:r>
      <w:r w:rsidRPr="00DE3551">
        <w:t>Parametry vstup</w:t>
      </w:r>
      <w:r>
        <w:t>ního média odpařovacího systému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827"/>
      </w:tblGrid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Solnost na vstupu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Objem na vstupu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10 - 300g/l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 w:rsidRPr="0085796A">
              <w:t>1000 l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Teplota média na vstupu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15 – 30 ˚C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Hustota (při 15 – 30 ˚C)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1000 – 1200 kg/m</w:t>
            </w:r>
            <w:r w:rsidRPr="00795C6C">
              <w:rPr>
                <w:vertAlign w:val="superscript"/>
              </w:rPr>
              <w:t>3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pH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6 – 11,5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Vodivost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0 – 110 mS/cm</w:t>
            </w:r>
          </w:p>
        </w:tc>
      </w:tr>
    </w:tbl>
    <w:p w:rsidR="00682E5B" w:rsidRDefault="00682E5B" w:rsidP="00483EEF">
      <w:pPr>
        <w:pStyle w:val="Nadpis2"/>
        <w:numPr>
          <w:ilvl w:val="0"/>
          <w:numId w:val="0"/>
        </w:numPr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 xml:space="preserve">Technologická linka </w:t>
      </w:r>
      <w:r w:rsidR="00790CFA">
        <w:t xml:space="preserve">ETL </w:t>
      </w:r>
      <w:r w:rsidRPr="00363413">
        <w:t>– uspořádání</w:t>
      </w:r>
    </w:p>
    <w:p w:rsidR="00682E5B" w:rsidRPr="00363413" w:rsidRDefault="00682E5B" w:rsidP="00795C6C">
      <w:pPr>
        <w:jc w:val="both"/>
      </w:pPr>
      <w:r>
        <w:t>Při zpracování kapalných odpadů bude ze</w:t>
      </w:r>
      <w:r w:rsidRPr="00363413">
        <w:t xml:space="preserve"> zásobní nádrže pro kapalné </w:t>
      </w:r>
      <w:r w:rsidRPr="00795C6C">
        <w:t>modelové</w:t>
      </w:r>
      <w:r>
        <w:rPr>
          <w:color w:val="FF0000"/>
        </w:rPr>
        <w:t xml:space="preserve"> </w:t>
      </w:r>
      <w:r w:rsidRPr="00363413">
        <w:t>radioaktivní odpady  přečerpán</w:t>
      </w:r>
      <w:r>
        <w:t xml:space="preserve"> maximálně 1 m</w:t>
      </w:r>
      <w:r>
        <w:rPr>
          <w:vertAlign w:val="superscript"/>
        </w:rPr>
        <w:t>3</w:t>
      </w:r>
      <w:r>
        <w:t xml:space="preserve"> </w:t>
      </w:r>
      <w:r w:rsidRPr="00363413">
        <w:t xml:space="preserve"> roztoku, do odpařovacího zařízení. </w:t>
      </w:r>
      <w:r w:rsidR="00A36795">
        <w:t xml:space="preserve">Zásobní nádrže a čerpadla nejsou předmětem dodávky. </w:t>
      </w:r>
      <w:r w:rsidRPr="00363413">
        <w:t>Po požadovaném zahuštění dojde ke gravitačnímu přepuštění do krystalizátoru, kde řízeným ochlazováním dojde k tvorbě krystalů. Z krystalizátoru je</w:t>
      </w:r>
      <w:r>
        <w:t xml:space="preserve"> směs krystalů a matečného roztoku</w:t>
      </w:r>
      <w:r w:rsidRPr="00363413">
        <w:t xml:space="preserve"> </w:t>
      </w:r>
      <w:r>
        <w:t>přepuštěna</w:t>
      </w:r>
      <w:r w:rsidRPr="00363413">
        <w:t xml:space="preserve"> do </w:t>
      </w:r>
      <w:r>
        <w:t>separačního zařízení, kde d</w:t>
      </w:r>
      <w:r w:rsidRPr="00363413">
        <w:t>ojde k separaci krystalů od matečného roztoku</w:t>
      </w:r>
      <w:r>
        <w:t xml:space="preserve"> a m</w:t>
      </w:r>
      <w:r w:rsidRPr="00363413">
        <w:t>atečný roztok je veden do zásobníku matečného roztoku</w:t>
      </w:r>
      <w:r>
        <w:t>. Při opakované krystalizac</w:t>
      </w:r>
      <w:r w:rsidR="00A36795">
        <w:t>i</w:t>
      </w:r>
      <w:r>
        <w:t xml:space="preserve"> je možné použít malou část zachyceného filtrátu jako tzv. „očko“. Krystaly ze separační odstředivky jsou transportovány do sušícího zařízení. Toto sušící zařízení je současně využito jako mezioperační skladovací nádr</w:t>
      </w:r>
      <w:r w:rsidR="004D2420">
        <w:t>ž</w:t>
      </w:r>
      <w:r w:rsidR="00790CFA">
        <w:t xml:space="preserve"> s kapacitou </w:t>
      </w:r>
      <w:r w:rsidR="004D2420">
        <w:t>cca 16 -</w:t>
      </w:r>
      <w:r>
        <w:t xml:space="preserve"> 18 kg usušených krystalů. Toto množství je nutné pro  navazující technologické zpracování spočívající ve fixaci  krystalů ve vhodné matrici.</w:t>
      </w:r>
      <w:r w:rsidRPr="00363413">
        <w:t xml:space="preserve"> </w:t>
      </w:r>
    </w:p>
    <w:p w:rsidR="00682E5B" w:rsidRDefault="00682E5B" w:rsidP="00795C6C">
      <w:pPr>
        <w:jc w:val="both"/>
      </w:pPr>
      <w:r w:rsidRPr="00363413">
        <w:t>Veškeré řízení procesů bude připraveno pro plně automatizovaný provoz bez nutnosti zásahu operátora. Ovládání bude z centrálního velínu z PC, bude možné ale i místní ovládání.</w:t>
      </w:r>
      <w:r w:rsidR="009D54AA">
        <w:t xml:space="preserve"> Technologie ETL bude usazena v ocelové nosné konstrukci, viz příloha.</w:t>
      </w:r>
    </w:p>
    <w:p w:rsidR="00790CFA" w:rsidRDefault="00790CFA" w:rsidP="00795C6C">
      <w:pPr>
        <w:jc w:val="both"/>
      </w:pPr>
    </w:p>
    <w:p w:rsidR="00790CFA" w:rsidRDefault="00790CFA" w:rsidP="00795C6C">
      <w:pPr>
        <w:jc w:val="both"/>
      </w:pPr>
    </w:p>
    <w:p w:rsidR="00790CFA" w:rsidRDefault="00790CFA" w:rsidP="00795C6C">
      <w:pPr>
        <w:jc w:val="both"/>
      </w:pPr>
    </w:p>
    <w:p w:rsidR="00790CFA" w:rsidRDefault="00790CFA" w:rsidP="00795C6C">
      <w:pPr>
        <w:jc w:val="both"/>
      </w:pPr>
    </w:p>
    <w:p w:rsidR="00682E5B" w:rsidRPr="00795C6C" w:rsidRDefault="00682E5B" w:rsidP="00795C6C">
      <w:pPr>
        <w:pStyle w:val="Nadpis1"/>
        <w:jc w:val="both"/>
      </w:pPr>
      <w:r w:rsidRPr="00363413">
        <w:lastRenderedPageBreak/>
        <w:t>Dodávaná zařízení separační linky</w:t>
      </w:r>
    </w:p>
    <w:p w:rsidR="00682E5B" w:rsidRPr="00363413" w:rsidRDefault="00682E5B" w:rsidP="00795C6C">
      <w:pPr>
        <w:pStyle w:val="Nadpis2"/>
        <w:jc w:val="both"/>
      </w:pPr>
      <w:r w:rsidRPr="00363413">
        <w:t>Zařízení na odpařování kapalných modelových a radioaktivních roztoků</w:t>
      </w:r>
    </w:p>
    <w:p w:rsidR="00682E5B" w:rsidRPr="00363413" w:rsidRDefault="00682E5B" w:rsidP="00795C6C">
      <w:pPr>
        <w:jc w:val="both"/>
      </w:pPr>
      <w:r w:rsidRPr="00363413">
        <w:t xml:space="preserve">Kapalné odpady jsou čerpány na odpařovací zařízení. Odpařená pára je svedena do kondenzátoru. Zařízení </w:t>
      </w:r>
      <w:r>
        <w:t>bude pracovat v d</w:t>
      </w:r>
      <w:r w:rsidRPr="00363413">
        <w:t>iskon</w:t>
      </w:r>
      <w:r w:rsidR="009D54AA">
        <w:t>tinuálním provozu</w:t>
      </w:r>
      <w:r w:rsidRPr="00363413">
        <w:t>.</w:t>
      </w:r>
    </w:p>
    <w:p w:rsidR="00682E5B" w:rsidRPr="00363413" w:rsidRDefault="00682E5B" w:rsidP="00795C6C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Vstupní koncentrace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  <w:t>viz kapitola 2.1 tedy 10-</w:t>
      </w:r>
      <w:r>
        <w:rPr>
          <w:rFonts w:ascii="Calibri" w:hAnsi="Calibri"/>
          <w:sz w:val="22"/>
          <w:szCs w:val="22"/>
        </w:rPr>
        <w:t>300</w:t>
      </w:r>
      <w:r w:rsidRPr="00363413">
        <w:rPr>
          <w:rFonts w:ascii="Calibri" w:hAnsi="Calibri"/>
          <w:sz w:val="22"/>
          <w:szCs w:val="22"/>
        </w:rPr>
        <w:t xml:space="preserve"> g/l RAS</w:t>
      </w:r>
    </w:p>
    <w:p w:rsidR="00682E5B" w:rsidRPr="00363413" w:rsidRDefault="009D54AA" w:rsidP="00795C6C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Denní provoz</w:t>
      </w:r>
      <w:r w:rsidR="00682E5B" w:rsidRPr="00363413">
        <w:rPr>
          <w:rFonts w:ascii="Calibri" w:hAnsi="Calibri"/>
          <w:sz w:val="22"/>
          <w:szCs w:val="22"/>
        </w:rPr>
        <w:t xml:space="preserve"> </w:t>
      </w:r>
      <w:r w:rsidR="00682E5B" w:rsidRPr="00363413">
        <w:rPr>
          <w:rFonts w:ascii="Calibri" w:hAnsi="Calibri"/>
          <w:sz w:val="22"/>
          <w:szCs w:val="22"/>
        </w:rPr>
        <w:tab/>
      </w:r>
      <w:r w:rsidR="00682E5B" w:rsidRPr="00363413">
        <w:rPr>
          <w:rFonts w:ascii="Calibri" w:hAnsi="Calibri"/>
          <w:sz w:val="22"/>
          <w:szCs w:val="22"/>
        </w:rPr>
        <w:tab/>
      </w:r>
      <w:r w:rsidR="00682E5B" w:rsidRPr="00363413">
        <w:rPr>
          <w:rFonts w:ascii="Calibri" w:hAnsi="Calibri"/>
          <w:sz w:val="22"/>
          <w:szCs w:val="22"/>
        </w:rPr>
        <w:tab/>
      </w:r>
      <w:r w:rsidR="00682E5B">
        <w:rPr>
          <w:rFonts w:ascii="Calibri" w:hAnsi="Calibri"/>
          <w:sz w:val="22"/>
          <w:szCs w:val="22"/>
        </w:rPr>
        <w:t>-</w:t>
      </w:r>
      <w:r w:rsidR="00682E5B">
        <w:rPr>
          <w:rFonts w:ascii="Calibri" w:hAnsi="Calibri"/>
          <w:sz w:val="22"/>
          <w:szCs w:val="22"/>
        </w:rPr>
        <w:tab/>
        <w:t xml:space="preserve">až </w:t>
      </w:r>
      <w:r w:rsidR="00682E5B" w:rsidRPr="00795C6C">
        <w:rPr>
          <w:rFonts w:ascii="Calibri" w:hAnsi="Calibri"/>
          <w:color w:val="auto"/>
          <w:sz w:val="22"/>
          <w:szCs w:val="22"/>
        </w:rPr>
        <w:t>1,0</w:t>
      </w:r>
      <w:r w:rsidR="00682E5B" w:rsidRPr="00363413">
        <w:rPr>
          <w:rFonts w:ascii="Calibri" w:hAnsi="Calibri"/>
          <w:sz w:val="22"/>
          <w:szCs w:val="22"/>
        </w:rPr>
        <w:t xml:space="preserve"> m</w:t>
      </w:r>
      <w:r w:rsidR="00682E5B" w:rsidRPr="00795C6C">
        <w:rPr>
          <w:rFonts w:ascii="Calibri" w:hAnsi="Calibri"/>
          <w:sz w:val="22"/>
          <w:szCs w:val="22"/>
          <w:vertAlign w:val="superscript"/>
        </w:rPr>
        <w:t>3</w:t>
      </w:r>
      <w:r w:rsidR="00682E5B" w:rsidRPr="00363413">
        <w:rPr>
          <w:rFonts w:ascii="Calibri" w:hAnsi="Calibri"/>
          <w:sz w:val="22"/>
          <w:szCs w:val="22"/>
        </w:rPr>
        <w:t xml:space="preserve"> vsádkově (max. množství </w:t>
      </w:r>
    </w:p>
    <w:p w:rsidR="00682E5B" w:rsidRPr="00363413" w:rsidRDefault="00682E5B" w:rsidP="00795C6C">
      <w:pPr>
        <w:pStyle w:val="Default"/>
        <w:ind w:left="4620" w:firstLine="336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zpracovaných roztoků)</w:t>
      </w:r>
    </w:p>
    <w:p w:rsidR="00682E5B" w:rsidRPr="00363413" w:rsidRDefault="00682E5B" w:rsidP="00795C6C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odhad 100-300 kg/h páry – specifikuje </w:t>
      </w:r>
    </w:p>
    <w:p w:rsidR="00682E5B" w:rsidRPr="00363413" w:rsidRDefault="00682E5B" w:rsidP="00795C6C">
      <w:pPr>
        <w:pStyle w:val="Default"/>
        <w:ind w:left="4248" w:firstLine="708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dodavatel</w:t>
      </w:r>
    </w:p>
    <w:p w:rsidR="00682E5B" w:rsidRPr="00363413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 xml:space="preserve">Zařízení bude mít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  <w:t>inspekční okno umožňující kontrolu zařízení</w:t>
      </w:r>
    </w:p>
    <w:p w:rsidR="00682E5B" w:rsidRPr="00795C6C" w:rsidRDefault="00682E5B" w:rsidP="00795C6C">
      <w:pPr>
        <w:pStyle w:val="Default"/>
        <w:ind w:left="3912" w:firstLine="336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připo</w:t>
      </w:r>
      <w:r>
        <w:rPr>
          <w:rFonts w:ascii="Calibri" w:hAnsi="Calibri"/>
          <w:sz w:val="22"/>
          <w:szCs w:val="22"/>
        </w:rPr>
        <w:t>jení na proplachová média (CIP)</w:t>
      </w:r>
    </w:p>
    <w:p w:rsidR="00682E5B" w:rsidRPr="00363413" w:rsidRDefault="00682E5B" w:rsidP="00854FD6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>vlastní kondenzátor par</w:t>
      </w:r>
    </w:p>
    <w:p w:rsidR="00682E5B" w:rsidRPr="00363413" w:rsidRDefault="00682E5B" w:rsidP="00795C6C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>spodní vypouštění</w:t>
      </w:r>
    </w:p>
    <w:p w:rsidR="00682E5B" w:rsidRPr="00795C6C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Topné médium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="009D54AA">
        <w:rPr>
          <w:rFonts w:ascii="Calibri" w:hAnsi="Calibri"/>
          <w:sz w:val="22"/>
          <w:szCs w:val="22"/>
        </w:rPr>
        <w:t>navrhne dodavatel</w:t>
      </w:r>
    </w:p>
    <w:p w:rsidR="00682E5B" w:rsidRPr="00363413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Měření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Pr="003B5D7D">
        <w:rPr>
          <w:rFonts w:ascii="Calibri" w:hAnsi="Calibri"/>
          <w:sz w:val="22"/>
          <w:szCs w:val="22"/>
        </w:rPr>
        <w:t>tlak, teplota</w:t>
      </w:r>
    </w:p>
    <w:p w:rsidR="00682E5B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Další měřené veličiny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hladina (radarový snímač)</w:t>
      </w:r>
    </w:p>
    <w:p w:rsidR="00682E5B" w:rsidRPr="00363413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Systém čištění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</w:t>
      </w:r>
      <w:r>
        <w:rPr>
          <w:rFonts w:ascii="Calibri" w:hAnsi="Calibri"/>
          <w:sz w:val="22"/>
          <w:szCs w:val="22"/>
        </w:rPr>
        <w:tab/>
        <w:t>navrhne dodavatel</w:t>
      </w:r>
    </w:p>
    <w:p w:rsidR="00682E5B" w:rsidRDefault="00682E5B" w:rsidP="006A4E10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F032C3" w:rsidRPr="00790CFA" w:rsidRDefault="00682E5B" w:rsidP="00790CFA">
      <w:pPr>
        <w:pStyle w:val="Default"/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roztoků, jejichž složení je uvedeno v tab. 1</w:t>
      </w:r>
      <w:r w:rsidR="003D58FF">
        <w:rPr>
          <w:rFonts w:ascii="Calibri" w:hAnsi="Calibri"/>
          <w:sz w:val="22"/>
          <w:szCs w:val="22"/>
        </w:rPr>
        <w:t xml:space="preserve">, zadavatel doporučuje </w:t>
      </w:r>
      <w:r w:rsidR="006B755B">
        <w:rPr>
          <w:rFonts w:ascii="Calibri" w:hAnsi="Calibri"/>
          <w:sz w:val="22"/>
          <w:szCs w:val="22"/>
        </w:rPr>
        <w:t>jako kontaktní nerezové oceli typu Super Duplex 1.4410 nebo TP 904L austenit 1.4539</w:t>
      </w:r>
    </w:p>
    <w:p w:rsidR="00F032C3" w:rsidRDefault="00F032C3" w:rsidP="00F032C3">
      <w:pPr>
        <w:spacing w:after="0" w:line="240" w:lineRule="auto"/>
        <w:jc w:val="both"/>
        <w:rPr>
          <w:lang w:eastAsia="cs-CZ"/>
        </w:rPr>
      </w:pPr>
    </w:p>
    <w:p w:rsidR="004569D3" w:rsidRDefault="004569D3" w:rsidP="004569D3">
      <w:pPr>
        <w:spacing w:after="0" w:line="240" w:lineRule="auto"/>
        <w:jc w:val="both"/>
        <w:rPr>
          <w:lang w:eastAsia="cs-CZ"/>
        </w:rPr>
      </w:pPr>
    </w:p>
    <w:p w:rsidR="004569D3" w:rsidRDefault="00F032C3" w:rsidP="00F032C3">
      <w:pPr>
        <w:pStyle w:val="Nadpis2"/>
        <w:jc w:val="both"/>
      </w:pPr>
      <w:r>
        <w:t>Hranice dodávky</w:t>
      </w:r>
    </w:p>
    <w:p w:rsidR="00F032C3" w:rsidRDefault="00F032C3" w:rsidP="00F032C3">
      <w:pPr>
        <w:jc w:val="both"/>
      </w:pPr>
      <w:r>
        <w:t>Zadavatel informuje zájemce, že přiložené technologické schéma je pouze indikativní. Rozsah dodávky je určen zadávací dokumentací takto:</w:t>
      </w:r>
    </w:p>
    <w:p w:rsidR="00F032C3" w:rsidRDefault="00F032C3" w:rsidP="00F032C3">
      <w:pPr>
        <w:pStyle w:val="Odstavecseseznamem"/>
        <w:numPr>
          <w:ilvl w:val="0"/>
          <w:numId w:val="15"/>
        </w:numPr>
        <w:jc w:val="both"/>
      </w:pPr>
      <w:r>
        <w:t>Zařízení na odpařování kapalných modelových roztoků FE1 včetně vstupních ventilů V28, 29, 30, 31, 32, 33. Vstup suroviny do FE1 doporučuje zadavatel provést přírubově o světlosti DN40.</w:t>
      </w:r>
    </w:p>
    <w:p w:rsidR="00682E5B" w:rsidRDefault="00F032C3" w:rsidP="00795C6C">
      <w:pPr>
        <w:pStyle w:val="Odstavecseseznamem"/>
        <w:numPr>
          <w:ilvl w:val="0"/>
          <w:numId w:val="15"/>
        </w:numPr>
        <w:jc w:val="both"/>
      </w:pPr>
      <w:r>
        <w:t>Zařízení pro kondenzaci brýdových par E1, E2 včetně ventilů V48 a V49. Výstupy kondenzátoru zadavatel doporučuje provést přírubově DN40.</w:t>
      </w:r>
    </w:p>
    <w:p w:rsidR="00EC4585" w:rsidRDefault="003C768E" w:rsidP="0099313A">
      <w:pPr>
        <w:tabs>
          <w:tab w:val="left" w:pos="851"/>
        </w:tabs>
        <w:jc w:val="both"/>
      </w:pPr>
      <w:r>
        <w:t>Přílohy:</w:t>
      </w:r>
    </w:p>
    <w:p w:rsidR="00EC4585" w:rsidRDefault="00EC4585" w:rsidP="0099313A">
      <w:pPr>
        <w:tabs>
          <w:tab w:val="left" w:pos="851"/>
        </w:tabs>
        <w:jc w:val="both"/>
      </w:pPr>
      <w:r>
        <w:t>Informace o laboratorních výsledcích zahušťování roztoků</w:t>
      </w:r>
    </w:p>
    <w:p w:rsidR="004569D3" w:rsidRDefault="0099313A" w:rsidP="0099313A">
      <w:pPr>
        <w:tabs>
          <w:tab w:val="left" w:pos="851"/>
        </w:tabs>
        <w:jc w:val="both"/>
      </w:pPr>
      <w:r>
        <w:t>Technologické schéma separačního uzlu</w:t>
      </w:r>
    </w:p>
    <w:p w:rsidR="00EC4585" w:rsidRDefault="00EC4585" w:rsidP="0099313A">
      <w:pPr>
        <w:tabs>
          <w:tab w:val="left" w:pos="851"/>
        </w:tabs>
        <w:jc w:val="both"/>
      </w:pPr>
      <w:r>
        <w:t>Schéma ocelové nosné konstrukce</w:t>
      </w:r>
    </w:p>
    <w:p w:rsidR="003C768E" w:rsidRPr="00363413" w:rsidRDefault="003C768E" w:rsidP="0099313A">
      <w:pPr>
        <w:tabs>
          <w:tab w:val="left" w:pos="851"/>
        </w:tabs>
        <w:jc w:val="both"/>
      </w:pPr>
      <w:r>
        <w:fldChar w:fldCharType="begin"/>
      </w:r>
      <w:r>
        <w:instrText xml:space="preserve"> LINK Word.Document.12 "C:\\Users\\jan.hadrava\\Dropbox\\ETL\\Vlastnosti superkoncentrátu.docx" "" \a \p \f 0 </w:instrText>
      </w:r>
      <w:r>
        <w:fldChar w:fldCharType="separate"/>
      </w:r>
      <w:r w:rsidR="00434E20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>
            <v:imagedata r:id="rId7" o:title=""/>
          </v:shape>
        </w:object>
      </w:r>
      <w:r>
        <w:fldChar w:fldCharType="end"/>
      </w:r>
      <w:r>
        <w:fldChar w:fldCharType="begin"/>
      </w:r>
      <w:r>
        <w:instrText xml:space="preserve"> LINK AcroExch.Document.11 "C:\\Users\\jan.hadrava\\Dropbox\\ETL\\Technicka specifikace\\SSD\\Technologické schéma.pdf" "" \a \p \f 0 </w:instrText>
      </w:r>
      <w:r>
        <w:fldChar w:fldCharType="separate"/>
      </w:r>
      <w:r w:rsidR="00434E20">
        <w:object w:dxaOrig="1531" w:dyaOrig="990">
          <v:shape id="_x0000_i1026" type="#_x0000_t75" style="width:76.5pt;height:49.5pt">
            <v:imagedata r:id="rId8" o:title=""/>
          </v:shape>
        </w:object>
      </w:r>
      <w:r>
        <w:fldChar w:fldCharType="end"/>
      </w:r>
      <w:r>
        <w:fldChar w:fldCharType="begin"/>
      </w:r>
      <w:r>
        <w:instrText xml:space="preserve"> LINK AcroExch.Document.11 "C:\\Users\\jan.hadrava\\Desktop\\Konstrukce\\Ocelové konstrukce - Plošina.pdf" "" \a \p \f 0 </w:instrText>
      </w:r>
      <w:r>
        <w:fldChar w:fldCharType="separate"/>
      </w:r>
      <w:r w:rsidR="00434E20">
        <w:object w:dxaOrig="1531" w:dyaOrig="990">
          <v:shape id="_x0000_i1027" type="#_x0000_t75" style="width:76.5pt;height:49.5pt">
            <v:imagedata r:id="rId9" o:title=""/>
          </v:shape>
        </w:object>
      </w:r>
      <w:r>
        <w:fldChar w:fldCharType="end"/>
      </w:r>
    </w:p>
    <w:sectPr w:rsidR="003C768E" w:rsidRPr="00363413" w:rsidSect="00AA3936">
      <w:headerReference w:type="default" r:id="rId10"/>
      <w:footerReference w:type="default" r:id="rId11"/>
      <w:pgSz w:w="11906" w:h="16838" w:code="9"/>
      <w:pgMar w:top="1418" w:right="1276" w:bottom="1418" w:left="1418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68" w:rsidRDefault="00543368" w:rsidP="00363413">
      <w:pPr>
        <w:spacing w:after="0" w:line="240" w:lineRule="auto"/>
      </w:pPr>
      <w:r>
        <w:separator/>
      </w:r>
    </w:p>
  </w:endnote>
  <w:endnote w:type="continuationSeparator" w:id="0">
    <w:p w:rsidR="00543368" w:rsidRDefault="00543368" w:rsidP="0036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D5" w:rsidRPr="00FA59D5" w:rsidRDefault="00FA59D5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 w:cs="Arial"/>
        <w:b/>
        <w:sz w:val="18"/>
        <w:szCs w:val="16"/>
      </w:rPr>
    </w:pPr>
    <w:r w:rsidRPr="00FA59D5">
      <w:rPr>
        <w:rFonts w:asciiTheme="minorHAnsi" w:hAnsiTheme="minorHAnsi" w:cs="Arial"/>
        <w:b/>
        <w:sz w:val="18"/>
        <w:szCs w:val="16"/>
      </w:rPr>
      <w:t>Veřejná zakázka</w:t>
    </w:r>
    <w:r w:rsidRPr="00FA59D5">
      <w:rPr>
        <w:rFonts w:asciiTheme="minorHAnsi" w:hAnsiTheme="minorHAnsi" w:cs="Arial"/>
        <w:b/>
        <w:sz w:val="18"/>
        <w:szCs w:val="16"/>
      </w:rPr>
      <w:tab/>
    </w:r>
    <w:r w:rsidRPr="00FA59D5">
      <w:rPr>
        <w:rFonts w:asciiTheme="minorHAnsi" w:hAnsiTheme="minorHAnsi" w:cs="Arial"/>
        <w:b/>
        <w:sz w:val="18"/>
        <w:szCs w:val="16"/>
      </w:rPr>
      <w:tab/>
    </w:r>
    <w:r w:rsidRPr="00FA59D5">
      <w:rPr>
        <w:rFonts w:asciiTheme="minorHAnsi" w:hAnsiTheme="minorHAnsi" w:cs="Arial"/>
        <w:sz w:val="18"/>
        <w:szCs w:val="20"/>
        <w:lang w:val="en-US"/>
      </w:rPr>
      <w:fldChar w:fldCharType="begin"/>
    </w:r>
    <w:r w:rsidRPr="00FA59D5">
      <w:rPr>
        <w:rFonts w:asciiTheme="minorHAnsi" w:hAnsiTheme="minorHAnsi" w:cs="Arial"/>
        <w:sz w:val="18"/>
        <w:szCs w:val="20"/>
        <w:lang w:val="en-US"/>
      </w:rPr>
      <w:instrText xml:space="preserve"> PAGE </w:instrText>
    </w:r>
    <w:r w:rsidRPr="00FA59D5">
      <w:rPr>
        <w:rFonts w:asciiTheme="minorHAnsi" w:hAnsiTheme="minorHAnsi" w:cs="Arial"/>
        <w:sz w:val="18"/>
        <w:szCs w:val="20"/>
        <w:lang w:val="en-US"/>
      </w:rPr>
      <w:fldChar w:fldCharType="separate"/>
    </w:r>
    <w:r w:rsidR="00434E20">
      <w:rPr>
        <w:rFonts w:asciiTheme="minorHAnsi" w:hAnsiTheme="minorHAnsi" w:cs="Arial"/>
        <w:noProof/>
        <w:sz w:val="18"/>
        <w:szCs w:val="20"/>
        <w:lang w:val="en-US"/>
      </w:rPr>
      <w:t>5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end"/>
    </w:r>
    <w:r w:rsidRPr="00FA59D5">
      <w:rPr>
        <w:rFonts w:asciiTheme="minorHAnsi" w:hAnsiTheme="minorHAnsi" w:cs="Arial"/>
        <w:sz w:val="18"/>
        <w:szCs w:val="20"/>
        <w:lang w:val="en-US"/>
      </w:rPr>
      <w:t>/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begin"/>
    </w:r>
    <w:r w:rsidRPr="00FA59D5">
      <w:rPr>
        <w:rFonts w:asciiTheme="minorHAnsi" w:hAnsiTheme="minorHAnsi" w:cs="Arial"/>
        <w:sz w:val="18"/>
        <w:szCs w:val="20"/>
        <w:lang w:val="en-US"/>
      </w:rPr>
      <w:instrText xml:space="preserve"> NUMPAGES </w:instrText>
    </w:r>
    <w:r w:rsidRPr="00FA59D5">
      <w:rPr>
        <w:rFonts w:asciiTheme="minorHAnsi" w:hAnsiTheme="minorHAnsi" w:cs="Arial"/>
        <w:sz w:val="18"/>
        <w:szCs w:val="20"/>
        <w:lang w:val="en-US"/>
      </w:rPr>
      <w:fldChar w:fldCharType="separate"/>
    </w:r>
    <w:r w:rsidR="00434E20">
      <w:rPr>
        <w:rFonts w:asciiTheme="minorHAnsi" w:hAnsiTheme="minorHAnsi" w:cs="Arial"/>
        <w:noProof/>
        <w:sz w:val="18"/>
        <w:szCs w:val="20"/>
        <w:lang w:val="en-US"/>
      </w:rPr>
      <w:t>5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end"/>
    </w:r>
  </w:p>
  <w:p w:rsidR="00FA59D5" w:rsidRPr="00FA59D5" w:rsidRDefault="00FA59D5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b/>
        <w:sz w:val="18"/>
        <w:szCs w:val="16"/>
      </w:rPr>
    </w:pPr>
    <w:r w:rsidRPr="00FA59D5">
      <w:rPr>
        <w:rFonts w:asciiTheme="minorHAnsi" w:hAnsiTheme="minorHAnsi"/>
        <w:b/>
        <w:sz w:val="18"/>
        <w:szCs w:val="16"/>
      </w:rPr>
      <w:t>„SUSEN – Separační zařízení pro experimentální linku ETL“</w:t>
    </w:r>
  </w:p>
  <w:p w:rsidR="00682E5B" w:rsidRPr="00FA59D5" w:rsidRDefault="00FA59D5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b/>
        <w:sz w:val="18"/>
        <w:szCs w:val="16"/>
      </w:rPr>
    </w:pPr>
    <w:r w:rsidRPr="00FA59D5">
      <w:rPr>
        <w:rFonts w:asciiTheme="minorHAnsi" w:hAnsiTheme="minorHAnsi"/>
        <w:b/>
        <w:sz w:val="18"/>
        <w:szCs w:val="16"/>
      </w:rPr>
      <w:t>Zadávací dokumentace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68" w:rsidRDefault="00543368" w:rsidP="00363413">
      <w:pPr>
        <w:spacing w:after="0" w:line="240" w:lineRule="auto"/>
      </w:pPr>
      <w:r>
        <w:separator/>
      </w:r>
    </w:p>
  </w:footnote>
  <w:footnote w:type="continuationSeparator" w:id="0">
    <w:p w:rsidR="00543368" w:rsidRDefault="00543368" w:rsidP="0036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27" w:rsidRPr="00E44E64" w:rsidRDefault="009C2827" w:rsidP="00EE63C1">
    <w:pPr>
      <w:pStyle w:val="Zhlav"/>
      <w:tabs>
        <w:tab w:val="clear" w:pos="4536"/>
        <w:tab w:val="clear" w:pos="9072"/>
        <w:tab w:val="left" w:pos="3600"/>
        <w:tab w:val="left" w:pos="7950"/>
      </w:tabs>
      <w:ind w:left="-142" w:right="-144"/>
    </w:pPr>
    <w:r w:rsidRPr="00EE63C1"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5AAF8520" wp14:editId="1A92F7F7">
          <wp:simplePos x="0" y="0"/>
          <wp:positionH relativeFrom="margin">
            <wp:align>left</wp:align>
          </wp:positionH>
          <wp:positionV relativeFrom="paragraph">
            <wp:posOffset>-497205</wp:posOffset>
          </wp:positionV>
          <wp:extent cx="400050" cy="409575"/>
          <wp:effectExtent l="0" t="0" r="0" b="9525"/>
          <wp:wrapSquare wrapText="bothSides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3C1"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133F8252" wp14:editId="06773120">
          <wp:simplePos x="0" y="0"/>
          <wp:positionH relativeFrom="margin">
            <wp:posOffset>4402455</wp:posOffset>
          </wp:positionH>
          <wp:positionV relativeFrom="paragraph">
            <wp:posOffset>-697230</wp:posOffset>
          </wp:positionV>
          <wp:extent cx="1409700" cy="697865"/>
          <wp:effectExtent l="0" t="0" r="0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C1"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25A447FB" wp14:editId="2A6A3A3B">
          <wp:simplePos x="0" y="0"/>
          <wp:positionH relativeFrom="column">
            <wp:posOffset>1571625</wp:posOffset>
          </wp:positionH>
          <wp:positionV relativeFrom="paragraph">
            <wp:posOffset>-733425</wp:posOffset>
          </wp:positionV>
          <wp:extent cx="2819400" cy="734060"/>
          <wp:effectExtent l="0" t="0" r="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3C1">
      <w:rPr>
        <w:sz w:val="20"/>
      </w:rPr>
      <w:t>_</w:t>
    </w:r>
    <w:r w:rsidR="00EE63C1" w:rsidRPr="00EE63C1">
      <w:rPr>
        <w:sz w:val="20"/>
      </w:rPr>
      <w:t>_____________________________________________________________________________________</w:t>
    </w:r>
    <w:r w:rsidR="00EE63C1">
      <w:rPr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3A0D"/>
    <w:multiLevelType w:val="multilevel"/>
    <w:tmpl w:val="E47C1E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5E214C5"/>
    <w:multiLevelType w:val="multilevel"/>
    <w:tmpl w:val="0970533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26CE56AD"/>
    <w:multiLevelType w:val="hybridMultilevel"/>
    <w:tmpl w:val="D8689238"/>
    <w:lvl w:ilvl="0" w:tplc="07DAB364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117F59"/>
    <w:multiLevelType w:val="multilevel"/>
    <w:tmpl w:val="85F21A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26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373D6BCA"/>
    <w:multiLevelType w:val="hybridMultilevel"/>
    <w:tmpl w:val="BD784096"/>
    <w:lvl w:ilvl="0" w:tplc="07DAB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D2FA1"/>
    <w:multiLevelType w:val="hybridMultilevel"/>
    <w:tmpl w:val="F28C9CAE"/>
    <w:lvl w:ilvl="0" w:tplc="07DAB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0204"/>
    <w:multiLevelType w:val="multilevel"/>
    <w:tmpl w:val="D586F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9CD5FE6"/>
    <w:multiLevelType w:val="hybridMultilevel"/>
    <w:tmpl w:val="881616CC"/>
    <w:lvl w:ilvl="0" w:tplc="7CD453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660CCB"/>
    <w:multiLevelType w:val="hybridMultilevel"/>
    <w:tmpl w:val="81760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020F6B"/>
    <w:multiLevelType w:val="hybridMultilevel"/>
    <w:tmpl w:val="78188DBA"/>
    <w:lvl w:ilvl="0" w:tplc="07DAB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6"/>
    <w:lvlOverride w:ilvl="0">
      <w:startOverride w:val="2"/>
    </w:lvlOverride>
    <w:lvlOverride w:ilvl="1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XEEv9mNXlx9LvvK4JIOsu4M+rqfwV28NjtY7KzmED98t3mdwnY9A6XWJYJwhlDmJAbxustvkv5+CCS2TZxXA==" w:salt="6pb3SUQynpzqJg8qsUCR9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9"/>
    <w:rsid w:val="00013602"/>
    <w:rsid w:val="00015CD1"/>
    <w:rsid w:val="00023D1F"/>
    <w:rsid w:val="00051B9E"/>
    <w:rsid w:val="00057070"/>
    <w:rsid w:val="00076F23"/>
    <w:rsid w:val="00080AC2"/>
    <w:rsid w:val="000D4A14"/>
    <w:rsid w:val="000E12B4"/>
    <w:rsid w:val="000E4668"/>
    <w:rsid w:val="000F4562"/>
    <w:rsid w:val="000F4824"/>
    <w:rsid w:val="001006A5"/>
    <w:rsid w:val="00103F90"/>
    <w:rsid w:val="00125A07"/>
    <w:rsid w:val="00131175"/>
    <w:rsid w:val="00137D8F"/>
    <w:rsid w:val="00147FEC"/>
    <w:rsid w:val="001B4F98"/>
    <w:rsid w:val="001C11A4"/>
    <w:rsid w:val="001C7C97"/>
    <w:rsid w:val="001E19F3"/>
    <w:rsid w:val="0020324E"/>
    <w:rsid w:val="00215E9F"/>
    <w:rsid w:val="00250053"/>
    <w:rsid w:val="00265FD2"/>
    <w:rsid w:val="00266AB9"/>
    <w:rsid w:val="00283B33"/>
    <w:rsid w:val="002A7F41"/>
    <w:rsid w:val="002B2789"/>
    <w:rsid w:val="002D6B3E"/>
    <w:rsid w:val="002F1748"/>
    <w:rsid w:val="002F2B75"/>
    <w:rsid w:val="002F6643"/>
    <w:rsid w:val="003015C9"/>
    <w:rsid w:val="0032051E"/>
    <w:rsid w:val="00345486"/>
    <w:rsid w:val="00356A7E"/>
    <w:rsid w:val="00363413"/>
    <w:rsid w:val="003B5D7D"/>
    <w:rsid w:val="003C768E"/>
    <w:rsid w:val="003D58FF"/>
    <w:rsid w:val="003E3028"/>
    <w:rsid w:val="003F0D89"/>
    <w:rsid w:val="003F5F9C"/>
    <w:rsid w:val="004109BC"/>
    <w:rsid w:val="00434E20"/>
    <w:rsid w:val="00445ABE"/>
    <w:rsid w:val="004569D3"/>
    <w:rsid w:val="0047250E"/>
    <w:rsid w:val="0048013B"/>
    <w:rsid w:val="00483EEF"/>
    <w:rsid w:val="00490D22"/>
    <w:rsid w:val="004A38F2"/>
    <w:rsid w:val="004A5CF1"/>
    <w:rsid w:val="004D1B8F"/>
    <w:rsid w:val="004D2420"/>
    <w:rsid w:val="004D799F"/>
    <w:rsid w:val="004F4F6C"/>
    <w:rsid w:val="00543368"/>
    <w:rsid w:val="00546C6C"/>
    <w:rsid w:val="0055470E"/>
    <w:rsid w:val="00566B6E"/>
    <w:rsid w:val="005B268E"/>
    <w:rsid w:val="005E5EB9"/>
    <w:rsid w:val="005E6440"/>
    <w:rsid w:val="00602F53"/>
    <w:rsid w:val="006041EC"/>
    <w:rsid w:val="00634862"/>
    <w:rsid w:val="00634ACD"/>
    <w:rsid w:val="00653EF3"/>
    <w:rsid w:val="006715D2"/>
    <w:rsid w:val="0067161E"/>
    <w:rsid w:val="00681D98"/>
    <w:rsid w:val="00682E13"/>
    <w:rsid w:val="00682E5B"/>
    <w:rsid w:val="00683320"/>
    <w:rsid w:val="00695B58"/>
    <w:rsid w:val="006A2BFB"/>
    <w:rsid w:val="006A4E10"/>
    <w:rsid w:val="006A6E1A"/>
    <w:rsid w:val="006B755B"/>
    <w:rsid w:val="006D3E32"/>
    <w:rsid w:val="006F0591"/>
    <w:rsid w:val="007153D7"/>
    <w:rsid w:val="007240D6"/>
    <w:rsid w:val="00731487"/>
    <w:rsid w:val="00737BFF"/>
    <w:rsid w:val="00750BC9"/>
    <w:rsid w:val="00756846"/>
    <w:rsid w:val="00773F76"/>
    <w:rsid w:val="00777ED0"/>
    <w:rsid w:val="00781254"/>
    <w:rsid w:val="00790CFA"/>
    <w:rsid w:val="00795C6C"/>
    <w:rsid w:val="007D450E"/>
    <w:rsid w:val="007F7581"/>
    <w:rsid w:val="00815C6D"/>
    <w:rsid w:val="008231F8"/>
    <w:rsid w:val="00825073"/>
    <w:rsid w:val="0082748B"/>
    <w:rsid w:val="00827B6D"/>
    <w:rsid w:val="00832116"/>
    <w:rsid w:val="00850602"/>
    <w:rsid w:val="00854FD6"/>
    <w:rsid w:val="0085796A"/>
    <w:rsid w:val="00871A6C"/>
    <w:rsid w:val="008E2634"/>
    <w:rsid w:val="008F60B8"/>
    <w:rsid w:val="00917673"/>
    <w:rsid w:val="00930D0C"/>
    <w:rsid w:val="00940B64"/>
    <w:rsid w:val="00947AC4"/>
    <w:rsid w:val="00961F64"/>
    <w:rsid w:val="009624AB"/>
    <w:rsid w:val="00985EAB"/>
    <w:rsid w:val="0099313A"/>
    <w:rsid w:val="009A11BA"/>
    <w:rsid w:val="009B3C36"/>
    <w:rsid w:val="009C2827"/>
    <w:rsid w:val="009D54AA"/>
    <w:rsid w:val="009D60B9"/>
    <w:rsid w:val="00A050DE"/>
    <w:rsid w:val="00A0762A"/>
    <w:rsid w:val="00A21F79"/>
    <w:rsid w:val="00A36795"/>
    <w:rsid w:val="00A3687D"/>
    <w:rsid w:val="00A738E5"/>
    <w:rsid w:val="00A80AEB"/>
    <w:rsid w:val="00A91BEF"/>
    <w:rsid w:val="00AA3936"/>
    <w:rsid w:val="00AB0D24"/>
    <w:rsid w:val="00AC11EB"/>
    <w:rsid w:val="00AC6DDE"/>
    <w:rsid w:val="00AE1B4F"/>
    <w:rsid w:val="00B04F08"/>
    <w:rsid w:val="00B1509D"/>
    <w:rsid w:val="00B20984"/>
    <w:rsid w:val="00B24516"/>
    <w:rsid w:val="00B47C83"/>
    <w:rsid w:val="00B51D83"/>
    <w:rsid w:val="00BA1CBA"/>
    <w:rsid w:val="00BB2A6A"/>
    <w:rsid w:val="00BB3C63"/>
    <w:rsid w:val="00BD5B8D"/>
    <w:rsid w:val="00BE7819"/>
    <w:rsid w:val="00C01E73"/>
    <w:rsid w:val="00C523C9"/>
    <w:rsid w:val="00C83DBD"/>
    <w:rsid w:val="00CA3693"/>
    <w:rsid w:val="00CC76BA"/>
    <w:rsid w:val="00CE5C9C"/>
    <w:rsid w:val="00D06E60"/>
    <w:rsid w:val="00D767CE"/>
    <w:rsid w:val="00D855ED"/>
    <w:rsid w:val="00D86FF8"/>
    <w:rsid w:val="00DA18D6"/>
    <w:rsid w:val="00DC0346"/>
    <w:rsid w:val="00DD6A9C"/>
    <w:rsid w:val="00DE0EC2"/>
    <w:rsid w:val="00DE3314"/>
    <w:rsid w:val="00DE3551"/>
    <w:rsid w:val="00E0090D"/>
    <w:rsid w:val="00E00F4B"/>
    <w:rsid w:val="00E05BE9"/>
    <w:rsid w:val="00E150B7"/>
    <w:rsid w:val="00E349AF"/>
    <w:rsid w:val="00E42BF0"/>
    <w:rsid w:val="00E61CA9"/>
    <w:rsid w:val="00EB55C3"/>
    <w:rsid w:val="00EC4585"/>
    <w:rsid w:val="00EC77F1"/>
    <w:rsid w:val="00EE59CE"/>
    <w:rsid w:val="00EE63C1"/>
    <w:rsid w:val="00F032C3"/>
    <w:rsid w:val="00F416EC"/>
    <w:rsid w:val="00F42C58"/>
    <w:rsid w:val="00F42F3B"/>
    <w:rsid w:val="00F76D0A"/>
    <w:rsid w:val="00F77613"/>
    <w:rsid w:val="00FA59D5"/>
    <w:rsid w:val="00FB0252"/>
    <w:rsid w:val="00FB3657"/>
    <w:rsid w:val="00FC21EB"/>
    <w:rsid w:val="00FC48F4"/>
    <w:rsid w:val="00FD0FC5"/>
    <w:rsid w:val="00FE38BB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5638B4E-E6FE-4303-BAAC-8937E6B7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9CE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48A"/>
    <w:pPr>
      <w:numPr>
        <w:numId w:val="4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F048A"/>
    <w:pPr>
      <w:numPr>
        <w:ilvl w:val="1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E7819"/>
    <w:pPr>
      <w:numPr>
        <w:ilvl w:val="2"/>
        <w:numId w:val="4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BE7819"/>
    <w:pPr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B51D83"/>
    <w:pPr>
      <w:spacing w:before="120" w:after="60" w:line="276" w:lineRule="auto"/>
      <w:ind w:left="1008" w:hanging="1008"/>
      <w:jc w:val="both"/>
      <w:outlineLvl w:val="4"/>
    </w:pPr>
    <w:rPr>
      <w:rFonts w:ascii="Arial" w:eastAsia="MS Mincho" w:hAnsi="Arial"/>
      <w:bCs/>
      <w:i/>
      <w:iCs/>
      <w:kern w:val="20"/>
      <w:sz w:val="26"/>
      <w:szCs w:val="26"/>
      <w:lang w:eastAsia="ja-JP"/>
    </w:rPr>
  </w:style>
  <w:style w:type="paragraph" w:styleId="Nadpis6">
    <w:name w:val="heading 6"/>
    <w:basedOn w:val="Normln"/>
    <w:next w:val="Normln"/>
    <w:link w:val="Nadpis6Char"/>
    <w:uiPriority w:val="99"/>
    <w:qFormat/>
    <w:rsid w:val="00B51D83"/>
    <w:pPr>
      <w:spacing w:before="120" w:after="0" w:line="276" w:lineRule="auto"/>
      <w:ind w:left="1152" w:hanging="1152"/>
      <w:jc w:val="both"/>
      <w:outlineLvl w:val="5"/>
    </w:pPr>
    <w:rPr>
      <w:rFonts w:ascii="Arial" w:eastAsia="MS Mincho" w:hAnsi="Arial"/>
      <w:b/>
      <w:bCs/>
      <w:i/>
      <w:iCs/>
      <w:spacing w:val="-8"/>
      <w:kern w:val="20"/>
      <w:lang w:eastAsia="ja-JP"/>
    </w:rPr>
  </w:style>
  <w:style w:type="paragraph" w:styleId="Nadpis7">
    <w:name w:val="heading 7"/>
    <w:basedOn w:val="Normln"/>
    <w:next w:val="Normln"/>
    <w:link w:val="Nadpis7Char"/>
    <w:uiPriority w:val="99"/>
    <w:qFormat/>
    <w:rsid w:val="00B51D83"/>
    <w:pPr>
      <w:spacing w:before="240" w:after="60" w:line="276" w:lineRule="auto"/>
      <w:ind w:left="1296" w:hanging="1296"/>
      <w:jc w:val="both"/>
      <w:outlineLvl w:val="6"/>
    </w:pPr>
    <w:rPr>
      <w:rFonts w:ascii="Arial" w:eastAsia="MS Mincho" w:hAnsi="Arial"/>
      <w:bCs/>
      <w:kern w:val="20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9"/>
    <w:qFormat/>
    <w:rsid w:val="00B51D83"/>
    <w:pPr>
      <w:keepNext/>
      <w:spacing w:after="0" w:line="276" w:lineRule="auto"/>
      <w:ind w:left="1440" w:hanging="1440"/>
      <w:jc w:val="both"/>
      <w:outlineLvl w:val="7"/>
    </w:pPr>
    <w:rPr>
      <w:rFonts w:ascii="Arial" w:eastAsia="MS Mincho" w:hAnsi="Arial"/>
      <w:b/>
      <w:bCs/>
      <w:i/>
      <w:iCs/>
      <w:kern w:val="20"/>
      <w:sz w:val="24"/>
      <w:szCs w:val="24"/>
      <w:lang w:eastAsia="ja-JP"/>
    </w:rPr>
  </w:style>
  <w:style w:type="paragraph" w:styleId="Nadpis9">
    <w:name w:val="heading 9"/>
    <w:basedOn w:val="Normln"/>
    <w:next w:val="Normln"/>
    <w:link w:val="Nadpis9Char"/>
    <w:uiPriority w:val="99"/>
    <w:qFormat/>
    <w:rsid w:val="00B51D83"/>
    <w:pPr>
      <w:keepNext/>
      <w:spacing w:after="0" w:line="276" w:lineRule="auto"/>
      <w:ind w:left="1584" w:hanging="1584"/>
      <w:jc w:val="both"/>
      <w:outlineLvl w:val="8"/>
    </w:pPr>
    <w:rPr>
      <w:rFonts w:ascii="Arial" w:eastAsia="MS Mincho" w:hAnsi="Arial"/>
      <w:b/>
      <w:bCs/>
      <w:i/>
      <w:iCs/>
      <w:color w:val="000000"/>
      <w:kern w:val="20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E7819"/>
    <w:rPr>
      <w:rFonts w:cs="Times New Roman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7819"/>
    <w:rPr>
      <w:rFonts w:cs="Times New Roman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51D83"/>
    <w:rPr>
      <w:rFonts w:ascii="Arial" w:eastAsia="MS Mincho" w:hAnsi="Arial" w:cs="Times New Roman"/>
      <w:i/>
      <w:kern w:val="20"/>
      <w:sz w:val="26"/>
      <w:lang w:eastAsia="ja-JP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51D83"/>
    <w:rPr>
      <w:rFonts w:ascii="Arial" w:eastAsia="MS Mincho" w:hAnsi="Arial" w:cs="Times New Roman"/>
      <w:b/>
      <w:i/>
      <w:spacing w:val="-8"/>
      <w:kern w:val="20"/>
      <w:sz w:val="22"/>
      <w:lang w:eastAsia="ja-JP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51D83"/>
    <w:rPr>
      <w:rFonts w:ascii="Arial" w:eastAsia="MS Mincho" w:hAnsi="Arial" w:cs="Times New Roman"/>
      <w:kern w:val="20"/>
      <w:sz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51D83"/>
    <w:rPr>
      <w:rFonts w:ascii="Arial" w:eastAsia="MS Mincho" w:hAnsi="Arial" w:cs="Times New Roman"/>
      <w:b/>
      <w:i/>
      <w:kern w:val="20"/>
      <w:sz w:val="24"/>
      <w:lang w:eastAsia="ja-JP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1D83"/>
    <w:rPr>
      <w:rFonts w:ascii="Arial" w:eastAsia="MS Mincho" w:hAnsi="Arial" w:cs="Times New Roman"/>
      <w:b/>
      <w:i/>
      <w:color w:val="000000"/>
      <w:kern w:val="20"/>
      <w:sz w:val="24"/>
      <w:lang w:eastAsia="ja-JP"/>
    </w:rPr>
  </w:style>
  <w:style w:type="paragraph" w:styleId="Odstavecseseznamem">
    <w:name w:val="List Paragraph"/>
    <w:basedOn w:val="Normln"/>
    <w:uiPriority w:val="99"/>
    <w:qFormat/>
    <w:rsid w:val="003015C9"/>
    <w:pPr>
      <w:ind w:left="720"/>
      <w:contextualSpacing/>
    </w:pPr>
  </w:style>
  <w:style w:type="paragraph" w:customStyle="1" w:styleId="Default">
    <w:name w:val="Default"/>
    <w:uiPriority w:val="99"/>
    <w:rsid w:val="0030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3015C9"/>
    <w:rPr>
      <w:rFonts w:cs="Times New Roman"/>
      <w:b/>
    </w:rPr>
  </w:style>
  <w:style w:type="paragraph" w:styleId="Zhlav">
    <w:name w:val="header"/>
    <w:basedOn w:val="Normln"/>
    <w:link w:val="ZhlavChar"/>
    <w:rsid w:val="003634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63413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634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63413"/>
    <w:rPr>
      <w:rFonts w:cs="Times New Roman"/>
      <w:sz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0136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4A1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F48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F4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F482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F4824"/>
    <w:rPr>
      <w:rFonts w:cs="Times New Roman"/>
      <w:b/>
      <w:bCs/>
      <w:lang w:eastAsia="en-US"/>
    </w:rPr>
  </w:style>
  <w:style w:type="paragraph" w:styleId="Zkladntext">
    <w:name w:val="Body Text"/>
    <w:basedOn w:val="Normln"/>
    <w:link w:val="ZkladntextChar"/>
    <w:uiPriority w:val="99"/>
    <w:locked/>
    <w:rsid w:val="00E61CA9"/>
    <w:pPr>
      <w:spacing w:after="120" w:line="240" w:lineRule="auto"/>
      <w:jc w:val="both"/>
    </w:pPr>
    <w:rPr>
      <w:rFonts w:ascii="Arial" w:eastAsia="MS Mincho" w:hAnsi="Arial" w:cs="Arial"/>
      <w:bCs/>
      <w:kern w:val="20"/>
      <w:sz w:val="24"/>
      <w:szCs w:val="24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1CA9"/>
    <w:rPr>
      <w:rFonts w:ascii="Arial" w:eastAsia="MS Mincho" w:hAnsi="Arial" w:cs="Arial"/>
      <w:bCs/>
      <w:kern w:val="2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5</Pages>
  <Words>1478</Words>
  <Characters>9232</Characters>
  <Application>Microsoft Office Word</Application>
  <DocSecurity>8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popis separačního uzlu pro výběrové řízení ÚJV Řež</vt:lpstr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popis separačního uzlu pro výběrové řízení ÚJV Řež</dc:title>
  <dc:subject/>
  <dc:creator>Jan Sýkora</dc:creator>
  <cp:keywords/>
  <dc:description/>
  <cp:lastModifiedBy>Chyna Bohuslav</cp:lastModifiedBy>
  <cp:revision>27</cp:revision>
  <cp:lastPrinted>2015-11-12T12:37:00Z</cp:lastPrinted>
  <dcterms:created xsi:type="dcterms:W3CDTF">2016-03-10T14:27:00Z</dcterms:created>
  <dcterms:modified xsi:type="dcterms:W3CDTF">2017-01-25T09:01:00Z</dcterms:modified>
</cp:coreProperties>
</file>