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0A90261B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6567E5">
        <w:rPr>
          <w:rFonts w:ascii="Arial" w:hAnsi="Arial" w:cs="Arial"/>
          <w:b/>
        </w:rPr>
        <w:t>23/</w:t>
      </w:r>
      <w:r w:rsidR="00E567AB">
        <w:rPr>
          <w:rFonts w:ascii="Arial" w:hAnsi="Arial" w:cs="Arial"/>
          <w:b/>
        </w:rPr>
        <w:t>6</w:t>
      </w:r>
      <w:r w:rsidR="006567E5">
        <w:rPr>
          <w:rFonts w:ascii="Arial" w:hAnsi="Arial" w:cs="Arial"/>
          <w:b/>
        </w:rPr>
        <w:t>0-0</w:t>
      </w:r>
      <w:r w:rsidR="00525DA8">
        <w:rPr>
          <w:rFonts w:ascii="Arial" w:hAnsi="Arial" w:cs="Arial"/>
          <w:b/>
        </w:rPr>
        <w:t>1</w:t>
      </w:r>
      <w:r w:rsidR="00E567AB">
        <w:rPr>
          <w:rFonts w:ascii="Arial" w:hAnsi="Arial" w:cs="Arial"/>
          <w:b/>
        </w:rPr>
        <w:t>2</w:t>
      </w:r>
      <w:r w:rsidR="00207066">
        <w:rPr>
          <w:rFonts w:ascii="Arial" w:hAnsi="Arial" w:cs="Arial"/>
          <w:b/>
        </w:rPr>
        <w:t>4</w:t>
      </w:r>
    </w:p>
    <w:p w14:paraId="094AF1E5" w14:textId="02B5FACC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525DA8">
        <w:rPr>
          <w:rFonts w:ascii="Arial" w:hAnsi="Arial" w:cs="Arial"/>
          <w:b/>
        </w:rPr>
        <w:t>12.09.</w:t>
      </w:r>
      <w:r w:rsidR="006567E5">
        <w:rPr>
          <w:rFonts w:ascii="Arial" w:hAnsi="Arial" w:cs="Arial"/>
          <w:b/>
        </w:rPr>
        <w:t>2023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6928CDBE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207066">
        <w:rPr>
          <w:rFonts w:ascii="Arial" w:hAnsi="Arial" w:cs="Arial"/>
        </w:rPr>
        <w:t>Hi</w:t>
      </w:r>
      <w:proofErr w:type="spellEnd"/>
      <w:r w:rsidR="00207066">
        <w:rPr>
          <w:rFonts w:ascii="Arial" w:hAnsi="Arial" w:cs="Arial"/>
        </w:rPr>
        <w:t>-Tech inovační klastr z.s.</w:t>
      </w:r>
      <w:r w:rsidR="006567E5">
        <w:rPr>
          <w:rFonts w:ascii="Arial" w:hAnsi="Arial" w:cs="Arial"/>
        </w:rPr>
        <w:t xml:space="preserve"> IČ:</w:t>
      </w:r>
      <w:r w:rsidR="007D1D06">
        <w:rPr>
          <w:rFonts w:ascii="Arial" w:hAnsi="Arial" w:cs="Arial"/>
        </w:rPr>
        <w:t xml:space="preserve"> </w:t>
      </w:r>
      <w:r w:rsidR="00207066">
        <w:rPr>
          <w:rFonts w:ascii="Arial" w:hAnsi="Arial" w:cs="Arial"/>
        </w:rPr>
        <w:t>22827668</w:t>
      </w:r>
    </w:p>
    <w:p w14:paraId="212234E7" w14:textId="1243AC03" w:rsidR="006567E5" w:rsidRDefault="006567E5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207066">
        <w:rPr>
          <w:rFonts w:ascii="Arial" w:hAnsi="Arial" w:cs="Arial"/>
        </w:rPr>
        <w:t>S.K. Neumanna 797, 530 02 Pardubice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7D869DE7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6567E5">
        <w:rPr>
          <w:rFonts w:ascii="Arial" w:hAnsi="Arial" w:cs="Arial"/>
          <w:color w:val="000000" w:themeColor="text1"/>
        </w:rPr>
        <w:t>23/</w:t>
      </w:r>
      <w:r w:rsidR="00E567AB">
        <w:rPr>
          <w:rFonts w:ascii="Arial" w:hAnsi="Arial" w:cs="Arial"/>
          <w:color w:val="000000" w:themeColor="text1"/>
        </w:rPr>
        <w:t>6</w:t>
      </w:r>
      <w:r w:rsidR="006567E5">
        <w:rPr>
          <w:rFonts w:ascii="Arial" w:hAnsi="Arial" w:cs="Arial"/>
          <w:color w:val="000000" w:themeColor="text1"/>
        </w:rPr>
        <w:t>0-0</w:t>
      </w:r>
      <w:r w:rsidR="00525DA8">
        <w:rPr>
          <w:rFonts w:ascii="Arial" w:hAnsi="Arial" w:cs="Arial"/>
          <w:color w:val="000000" w:themeColor="text1"/>
        </w:rPr>
        <w:t>1</w:t>
      </w:r>
      <w:r w:rsidR="00E567AB">
        <w:rPr>
          <w:rFonts w:ascii="Arial" w:hAnsi="Arial" w:cs="Arial"/>
          <w:color w:val="000000" w:themeColor="text1"/>
        </w:rPr>
        <w:t>2</w:t>
      </w:r>
      <w:r w:rsidR="00207066">
        <w:rPr>
          <w:rFonts w:ascii="Arial" w:hAnsi="Arial" w:cs="Arial"/>
          <w:color w:val="000000" w:themeColor="text1"/>
        </w:rPr>
        <w:t>4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E567AB">
        <w:rPr>
          <w:rFonts w:ascii="Arial" w:hAnsi="Arial" w:cs="Arial"/>
          <w:color w:val="000000" w:themeColor="text1"/>
        </w:rPr>
        <w:t>06.10</w:t>
      </w:r>
      <w:r w:rsidR="006567E5">
        <w:rPr>
          <w:rFonts w:ascii="Arial" w:hAnsi="Arial" w:cs="Arial"/>
          <w:color w:val="000000" w:themeColor="text1"/>
        </w:rPr>
        <w:t>.2023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3BD86155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567E5">
        <w:rPr>
          <w:rFonts w:ascii="Arial" w:hAnsi="Arial" w:cs="Arial"/>
        </w:rPr>
        <w:t xml:space="preserve"> </w:t>
      </w:r>
      <w:r w:rsidR="00E567AB">
        <w:rPr>
          <w:rFonts w:ascii="Arial" w:hAnsi="Arial" w:cs="Arial"/>
        </w:rPr>
        <w:t>06.10.</w:t>
      </w:r>
      <w:r w:rsidR="006567E5">
        <w:rPr>
          <w:rFonts w:ascii="Arial" w:hAnsi="Arial" w:cs="Arial"/>
        </w:rPr>
        <w:t>2023</w:t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207066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25DA8"/>
    <w:rsid w:val="005C6043"/>
    <w:rsid w:val="005E2AF6"/>
    <w:rsid w:val="005F43E4"/>
    <w:rsid w:val="00607CBA"/>
    <w:rsid w:val="006567E5"/>
    <w:rsid w:val="006E0976"/>
    <w:rsid w:val="007A40E6"/>
    <w:rsid w:val="007C03E5"/>
    <w:rsid w:val="007D1D06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E567AB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26</cp:revision>
  <cp:lastPrinted>2023-10-06T12:03:00Z</cp:lastPrinted>
  <dcterms:created xsi:type="dcterms:W3CDTF">2020-11-26T11:09:00Z</dcterms:created>
  <dcterms:modified xsi:type="dcterms:W3CDTF">2023-10-06T12:03:00Z</dcterms:modified>
</cp:coreProperties>
</file>