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13A58" w14:textId="77777777" w:rsidR="00E61CA9" w:rsidRDefault="00E61CA9" w:rsidP="00E61CA9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Příloha č. 1:</w:t>
      </w:r>
      <w:r w:rsidRPr="0023234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Technické podmínky</w:t>
      </w:r>
    </w:p>
    <w:p w14:paraId="784825B2" w14:textId="77777777" w:rsidR="00E61CA9" w:rsidRDefault="00E61CA9" w:rsidP="00EE63C1">
      <w:pPr>
        <w:spacing w:after="240"/>
        <w:jc w:val="center"/>
      </w:pPr>
      <w:r>
        <w:rPr>
          <w:b/>
          <w:sz w:val="36"/>
          <w:szCs w:val="36"/>
        </w:rPr>
        <w:t>Technická specifikace</w:t>
      </w:r>
      <w:r w:rsidRPr="00894735">
        <w:rPr>
          <w:b/>
          <w:sz w:val="36"/>
        </w:rPr>
        <w:t xml:space="preserve"> </w:t>
      </w:r>
      <w:r>
        <w:rPr>
          <w:b/>
          <w:sz w:val="36"/>
        </w:rPr>
        <w:t xml:space="preserve">pro </w:t>
      </w:r>
      <w:r w:rsidRPr="002960FE">
        <w:rPr>
          <w:b/>
          <w:sz w:val="36"/>
        </w:rPr>
        <w:t>„SUSEN</w:t>
      </w:r>
      <w:r>
        <w:rPr>
          <w:b/>
          <w:sz w:val="36"/>
        </w:rPr>
        <w:t xml:space="preserve"> </w:t>
      </w:r>
      <w:r w:rsidRPr="002960FE">
        <w:rPr>
          <w:b/>
          <w:sz w:val="36"/>
        </w:rPr>
        <w:t xml:space="preserve">– </w:t>
      </w:r>
      <w:proofErr w:type="spellStart"/>
      <w:r w:rsidR="004C7F7C">
        <w:rPr>
          <w:b/>
          <w:sz w:val="36"/>
        </w:rPr>
        <w:t>Solidifikační</w:t>
      </w:r>
      <w:proofErr w:type="spellEnd"/>
      <w:r w:rsidR="004C7F7C">
        <w:rPr>
          <w:b/>
          <w:sz w:val="36"/>
        </w:rPr>
        <w:t xml:space="preserve"> zařízení pro experimentální technologickou linku</w:t>
      </w:r>
      <w:r>
        <w:rPr>
          <w:b/>
          <w:sz w:val="36"/>
        </w:rPr>
        <w:t>“</w:t>
      </w:r>
    </w:p>
    <w:p w14:paraId="02DB14CE" w14:textId="24F49500" w:rsidR="00E61CA9" w:rsidRPr="007A5050" w:rsidRDefault="006238CA" w:rsidP="00E61CA9">
      <w:pPr>
        <w:pStyle w:val="Zkladntext"/>
        <w:spacing w:after="0"/>
        <w:ind w:right="249"/>
        <w:jc w:val="center"/>
        <w:rPr>
          <w:b/>
          <w:i/>
          <w:sz w:val="28"/>
          <w:lang w:val="cs-CZ"/>
        </w:rPr>
      </w:pPr>
      <w:r>
        <w:rPr>
          <w:b/>
          <w:i/>
          <w:sz w:val="28"/>
          <w:lang w:val="cs-CZ"/>
        </w:rPr>
        <w:t>Díl</w:t>
      </w:r>
      <w:r w:rsidR="00E61CA9" w:rsidRPr="007A5050">
        <w:rPr>
          <w:b/>
          <w:i/>
          <w:sz w:val="28"/>
          <w:lang w:val="cs-CZ"/>
        </w:rPr>
        <w:t xml:space="preserve"> I</w:t>
      </w:r>
    </w:p>
    <w:p w14:paraId="29B9CF1F" w14:textId="77777777" w:rsidR="00E61CA9" w:rsidRDefault="00E61CA9" w:rsidP="00795C6C">
      <w:pPr>
        <w:jc w:val="both"/>
        <w:rPr>
          <w:b/>
          <w:sz w:val="28"/>
          <w:szCs w:val="28"/>
        </w:rPr>
      </w:pPr>
    </w:p>
    <w:p w14:paraId="584B9927" w14:textId="77777777" w:rsidR="00682E5B" w:rsidRPr="00363413" w:rsidRDefault="004E0E74" w:rsidP="00795C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Zadávací popis </w:t>
      </w:r>
      <w:proofErr w:type="spellStart"/>
      <w:r>
        <w:rPr>
          <w:b/>
          <w:sz w:val="28"/>
          <w:szCs w:val="28"/>
        </w:rPr>
        <w:t>solidifikačního</w:t>
      </w:r>
      <w:proofErr w:type="spellEnd"/>
      <w:r w:rsidR="00E679D1">
        <w:rPr>
          <w:b/>
          <w:sz w:val="28"/>
          <w:szCs w:val="28"/>
        </w:rPr>
        <w:t xml:space="preserve"> zařízení</w:t>
      </w:r>
    </w:p>
    <w:p w14:paraId="673F432F" w14:textId="77777777" w:rsidR="00682E5B" w:rsidRPr="00363413" w:rsidRDefault="00682E5B" w:rsidP="00795C6C">
      <w:pPr>
        <w:spacing w:after="0"/>
        <w:jc w:val="both"/>
      </w:pPr>
    </w:p>
    <w:p w14:paraId="01015000" w14:textId="77777777" w:rsidR="00682E5B" w:rsidRPr="00363413" w:rsidRDefault="00682E5B" w:rsidP="00795C6C">
      <w:pPr>
        <w:pStyle w:val="Nadpis1"/>
        <w:jc w:val="both"/>
      </w:pPr>
      <w:r w:rsidRPr="00363413">
        <w:t>Úvod</w:t>
      </w:r>
    </w:p>
    <w:p w14:paraId="2A66AF06" w14:textId="77777777" w:rsidR="00682E5B" w:rsidRDefault="00682E5B" w:rsidP="00795C6C">
      <w:pPr>
        <w:jc w:val="both"/>
      </w:pPr>
      <w:r w:rsidRPr="00363413">
        <w:t xml:space="preserve">Tento dokument slouží pro zadání k výběrovému řízení </w:t>
      </w:r>
      <w:r>
        <w:t xml:space="preserve">na dodávku </w:t>
      </w:r>
      <w:proofErr w:type="spellStart"/>
      <w:r w:rsidR="004E0E74">
        <w:t>solidifikačního</w:t>
      </w:r>
      <w:proofErr w:type="spellEnd"/>
      <w:r w:rsidR="004C7F7C">
        <w:t xml:space="preserve"> zařízení</w:t>
      </w:r>
      <w:r>
        <w:t xml:space="preserve"> </w:t>
      </w:r>
      <w:r w:rsidRPr="00363413">
        <w:t xml:space="preserve">pro </w:t>
      </w:r>
      <w:r w:rsidR="00057070">
        <w:t xml:space="preserve">linku </w:t>
      </w:r>
      <w:r w:rsidR="004C7F7C">
        <w:br/>
      </w:r>
      <w:r w:rsidR="00057070">
        <w:t>na zpracování</w:t>
      </w:r>
      <w:r w:rsidRPr="00363413">
        <w:t xml:space="preserve"> kapalných a </w:t>
      </w:r>
      <w:proofErr w:type="spellStart"/>
      <w:r w:rsidRPr="00363413">
        <w:t>semi</w:t>
      </w:r>
      <w:proofErr w:type="spellEnd"/>
      <w:r w:rsidR="004C7F7C">
        <w:t xml:space="preserve"> - k</w:t>
      </w:r>
      <w:r w:rsidRPr="00363413">
        <w:t xml:space="preserve">apalných radioaktivních odpadů pro </w:t>
      </w:r>
      <w:r>
        <w:t>Centrum výzkumu</w:t>
      </w:r>
      <w:r w:rsidRPr="00363413">
        <w:t xml:space="preserve"> Řež. </w:t>
      </w:r>
      <w:r w:rsidR="00F444BA">
        <w:br/>
      </w:r>
      <w:r>
        <w:t>T</w:t>
      </w:r>
      <w:r w:rsidR="00F444BA">
        <w:t xml:space="preserve">ento </w:t>
      </w:r>
      <w:proofErr w:type="spellStart"/>
      <w:r w:rsidR="00F444BA">
        <w:t>solidifikační</w:t>
      </w:r>
      <w:proofErr w:type="spellEnd"/>
      <w:r w:rsidR="004C7F7C">
        <w:t xml:space="preserve"> prvek</w:t>
      </w:r>
      <w:r w:rsidR="00057070">
        <w:t xml:space="preserve"> je součástí</w:t>
      </w:r>
      <w:r>
        <w:t xml:space="preserve"> technologické linky ETL.  Tato technologická linka ETL bude sloužit pro výzkum, vývoj a testování v oblasti zpracování a úpravy kapalných a </w:t>
      </w:r>
      <w:proofErr w:type="spellStart"/>
      <w:r>
        <w:t>semi</w:t>
      </w:r>
      <w:proofErr w:type="spellEnd"/>
      <w:r>
        <w:t xml:space="preserve"> - kapalných radioaktivních odpadů s cílem minimalizace výsledných objemů od</w:t>
      </w:r>
      <w:r w:rsidR="00057070">
        <w:t>padů ve finální zpevněné formě.</w:t>
      </w:r>
    </w:p>
    <w:p w14:paraId="4055344D" w14:textId="77777777" w:rsidR="00682E5B" w:rsidRPr="00363413" w:rsidRDefault="00682E5B" w:rsidP="00795C6C">
      <w:pPr>
        <w:jc w:val="both"/>
      </w:pPr>
    </w:p>
    <w:p w14:paraId="1FC43904" w14:textId="77777777" w:rsidR="00682E5B" w:rsidRDefault="00682E5B" w:rsidP="00795C6C">
      <w:pPr>
        <w:pStyle w:val="Nadpis2"/>
        <w:jc w:val="both"/>
        <w:rPr>
          <w:rStyle w:val="Siln"/>
          <w:b/>
        </w:rPr>
      </w:pPr>
      <w:r w:rsidRPr="00363413">
        <w:rPr>
          <w:rStyle w:val="Siln"/>
          <w:b/>
        </w:rPr>
        <w:t>V rámci plnění předmětu dodávky budou splněny tyto činnosti:</w:t>
      </w:r>
    </w:p>
    <w:p w14:paraId="45CC11BD" w14:textId="77777777" w:rsidR="00682E5B" w:rsidRDefault="00682E5B" w:rsidP="0047250E">
      <w:pPr>
        <w:jc w:val="both"/>
      </w:pPr>
      <w:r>
        <w:t xml:space="preserve">Za splnění předmětu dodávky se považuje zpracování projektové a průvodní technické dokumentace. Dále pak dodávka a samotná instalace zařízení </w:t>
      </w:r>
      <w:r w:rsidR="004C7F7C">
        <w:t xml:space="preserve">na fixaci v sudu do </w:t>
      </w:r>
      <w:proofErr w:type="spellStart"/>
      <w:r w:rsidR="004C7F7C">
        <w:t>geopolymerové</w:t>
      </w:r>
      <w:proofErr w:type="spellEnd"/>
      <w:r w:rsidR="004C7F7C">
        <w:t xml:space="preserve"> a </w:t>
      </w:r>
      <w:proofErr w:type="spellStart"/>
      <w:r w:rsidR="004C7F7C">
        <w:t>polysiloxanové</w:t>
      </w:r>
      <w:proofErr w:type="spellEnd"/>
      <w:r w:rsidR="004C7F7C">
        <w:t xml:space="preserve"> matrice </w:t>
      </w:r>
      <w:r>
        <w:t>pro technologii ETL. K dodávce patří i komplexní zkoušky FAT a SAT, zpracování AS BUILD dokumentace a uvedení do provozu včetně zaškolení obsluhy objednavatele.</w:t>
      </w:r>
    </w:p>
    <w:p w14:paraId="40D15DD8" w14:textId="77777777" w:rsidR="00682E5B" w:rsidRPr="00363413" w:rsidRDefault="00682E5B" w:rsidP="0047250E">
      <w:pPr>
        <w:jc w:val="both"/>
      </w:pPr>
    </w:p>
    <w:p w14:paraId="3B0A0DAC" w14:textId="77777777" w:rsidR="00682E5B" w:rsidRDefault="00682E5B" w:rsidP="00795C6C">
      <w:pPr>
        <w:pStyle w:val="Nadpis2"/>
        <w:jc w:val="both"/>
        <w:rPr>
          <w:rStyle w:val="Siln"/>
          <w:b/>
        </w:rPr>
      </w:pPr>
      <w:r w:rsidRPr="00363413">
        <w:t>P</w:t>
      </w:r>
      <w:r w:rsidRPr="00363413">
        <w:rPr>
          <w:rStyle w:val="Siln"/>
          <w:b/>
        </w:rPr>
        <w:t>ředmět dodávky</w:t>
      </w:r>
    </w:p>
    <w:p w14:paraId="0BBB5009" w14:textId="77777777" w:rsidR="00682E5B" w:rsidRDefault="004E0E74" w:rsidP="00B1509D">
      <w:pPr>
        <w:jc w:val="both"/>
      </w:pPr>
      <w:proofErr w:type="spellStart"/>
      <w:r>
        <w:t>Solidifikační</w:t>
      </w:r>
      <w:proofErr w:type="spellEnd"/>
      <w:r>
        <w:t xml:space="preserve"> zařízení</w:t>
      </w:r>
      <w:r w:rsidR="00682E5B">
        <w:t xml:space="preserve"> bude součástí technologické linky ETL. Technologická linka bude sloužit pro výzkum, vývoj a testování v oblasti zpracování a úpravy kapalných a </w:t>
      </w:r>
      <w:proofErr w:type="spellStart"/>
      <w:r w:rsidR="00682E5B">
        <w:t>semi</w:t>
      </w:r>
      <w:proofErr w:type="spellEnd"/>
      <w:r w:rsidR="00682E5B">
        <w:t xml:space="preserve"> - kapalných radioaktivních odpadů </w:t>
      </w:r>
      <w:r>
        <w:br/>
      </w:r>
      <w:r w:rsidR="00682E5B">
        <w:t xml:space="preserve">s cílem minimalizace výsledných objemů odpadů ve finální zpevněné formě. Výzkum bude soustředěn na kapalné a </w:t>
      </w:r>
      <w:proofErr w:type="spellStart"/>
      <w:r w:rsidR="00682E5B">
        <w:t>semi</w:t>
      </w:r>
      <w:proofErr w:type="spellEnd"/>
      <w:r w:rsidR="00682E5B">
        <w:t xml:space="preserve"> - kapalné odpady s dominantní složkou kyseliny borité s různou koncentrací, což jsou odpady z jaderných elektráren v ČR a SR. </w:t>
      </w:r>
    </w:p>
    <w:p w14:paraId="2BFA26DD" w14:textId="77777777" w:rsidR="00682E5B" w:rsidRDefault="00682E5B" w:rsidP="00795C6C">
      <w:pPr>
        <w:jc w:val="both"/>
      </w:pPr>
      <w:r>
        <w:t>Celá technologická linka ETL je jeden z přímých výstupů projektu SUSEN, jako realizace demonstračního zařízení pro minimalizaci objemu kapalných RAO na pětinu stávající produkce.</w:t>
      </w:r>
    </w:p>
    <w:p w14:paraId="36B1AB9A" w14:textId="77777777" w:rsidR="004E0E74" w:rsidRDefault="00057070" w:rsidP="00795C6C">
      <w:pPr>
        <w:jc w:val="both"/>
      </w:pPr>
      <w:r>
        <w:t>V rámci</w:t>
      </w:r>
      <w:r w:rsidR="004E0E74">
        <w:t xml:space="preserve"> </w:t>
      </w:r>
      <w:proofErr w:type="spellStart"/>
      <w:r w:rsidR="004E0E74">
        <w:t>solidifikačního</w:t>
      </w:r>
      <w:proofErr w:type="spellEnd"/>
      <w:r w:rsidR="004E0E74">
        <w:t xml:space="preserve"> zařízení</w:t>
      </w:r>
      <w:r w:rsidR="00682E5B">
        <w:t xml:space="preserve"> technolo</w:t>
      </w:r>
      <w:r w:rsidR="004E0E74">
        <w:t xml:space="preserve">gie ETL budou studovány dva koncepty: </w:t>
      </w:r>
    </w:p>
    <w:p w14:paraId="5910F914" w14:textId="77777777" w:rsidR="004E0E74" w:rsidRDefault="004E0E74" w:rsidP="004E0E74">
      <w:pPr>
        <w:pStyle w:val="Odstavecseseznamem"/>
        <w:numPr>
          <w:ilvl w:val="0"/>
          <w:numId w:val="12"/>
        </w:numPr>
        <w:jc w:val="both"/>
      </w:pPr>
      <w:r>
        <w:t>fixace odpadů v </w:t>
      </w:r>
      <w:proofErr w:type="spellStart"/>
      <w:r>
        <w:t>geopolymerní</w:t>
      </w:r>
      <w:proofErr w:type="spellEnd"/>
      <w:r>
        <w:t xml:space="preserve"> matrici.</w:t>
      </w:r>
    </w:p>
    <w:p w14:paraId="7B304EB3" w14:textId="77777777" w:rsidR="00682E5B" w:rsidRDefault="004E0E74" w:rsidP="006310B4">
      <w:pPr>
        <w:pStyle w:val="Odstavecseseznamem"/>
        <w:numPr>
          <w:ilvl w:val="0"/>
          <w:numId w:val="12"/>
        </w:numPr>
        <w:jc w:val="both"/>
      </w:pPr>
      <w:r>
        <w:t>fixace odpadů v </w:t>
      </w:r>
      <w:proofErr w:type="spellStart"/>
      <w:r>
        <w:t>polysiloxanové</w:t>
      </w:r>
      <w:proofErr w:type="spellEnd"/>
      <w:r>
        <w:t xml:space="preserve"> matrici.</w:t>
      </w:r>
    </w:p>
    <w:p w14:paraId="07483273" w14:textId="77777777" w:rsidR="00682E5B" w:rsidRDefault="00682E5B" w:rsidP="00795C6C">
      <w:pPr>
        <w:jc w:val="both"/>
      </w:pPr>
      <w:r>
        <w:t xml:space="preserve">Předmětem dodávky </w:t>
      </w:r>
      <w:r w:rsidR="00C56854">
        <w:t>je</w:t>
      </w:r>
      <w:r>
        <w:t xml:space="preserve"> zařízení</w:t>
      </w:r>
      <w:r w:rsidR="00057070">
        <w:t>,</w:t>
      </w:r>
      <w:r>
        <w:t xml:space="preserve"> které umožní pro</w:t>
      </w:r>
      <w:r w:rsidR="00F81D4F">
        <w:t xml:space="preserve">vádění </w:t>
      </w:r>
      <w:r w:rsidR="00C56854">
        <w:t>obou</w:t>
      </w:r>
      <w:r>
        <w:t xml:space="preserve"> </w:t>
      </w:r>
      <w:r w:rsidR="00AE2B45">
        <w:t>konceptů</w:t>
      </w:r>
      <w:r w:rsidR="00F81D4F">
        <w:t xml:space="preserve">. Jedná se o zařízení, které bude umožňovat fixaci nebezpečných odpadů </w:t>
      </w:r>
      <w:r>
        <w:t>(viz kap. 2.1</w:t>
      </w:r>
      <w:r w:rsidR="00F81D4F">
        <w:t xml:space="preserve"> a 2.2</w:t>
      </w:r>
      <w:r>
        <w:t xml:space="preserve">) </w:t>
      </w:r>
      <w:r w:rsidR="00447666">
        <w:br/>
      </w:r>
      <w:r w:rsidR="00F81D4F">
        <w:t xml:space="preserve">do požadované matrice </w:t>
      </w:r>
      <w:r>
        <w:t>za různých provozních podmínek. Součástí dodávky</w:t>
      </w:r>
      <w:r w:rsidR="00602F53">
        <w:t xml:space="preserve"> jsou i kondenzátory brýdových par a</w:t>
      </w:r>
      <w:r>
        <w:t xml:space="preserve"> potrubní spojení mezi jednotlivými zařízeními. Jednotlivá zařízení musí být vybavena </w:t>
      </w:r>
      <w:r>
        <w:lastRenderedPageBreak/>
        <w:t xml:space="preserve">odpovídajícími senzory umožňující nejen řádný chod těchto zařízení, ale i jejich řízení. </w:t>
      </w:r>
      <w:r w:rsidR="00D52870">
        <w:t xml:space="preserve">Dále je </w:t>
      </w:r>
      <w:r>
        <w:t>nutné, aby</w:t>
      </w:r>
      <w:r w:rsidR="00F444BA">
        <w:t xml:space="preserve"> jednotlivá zařízení</w:t>
      </w:r>
      <w:r>
        <w:t>, včetně potrubních propojení</w:t>
      </w:r>
      <w:r w:rsidR="00447666">
        <w:t>,</w:t>
      </w:r>
      <w:r>
        <w:t xml:space="preserve"> byla nejen snadno </w:t>
      </w:r>
      <w:proofErr w:type="spellStart"/>
      <w:r>
        <w:t>promyvatelná</w:t>
      </w:r>
      <w:proofErr w:type="spellEnd"/>
      <w:r>
        <w:t xml:space="preserve"> vodním kondenzátem, nebo demineralizovanou vodou, ale i spolehlivá a odolná. Zvláštní pozornost je nutné věnovat korozní odolnosti (viz kap. </w:t>
      </w:r>
      <w:smartTag w:uri="urn:schemas-microsoft-com:office:smarttags" w:element="metricconverter">
        <w:smartTagPr>
          <w:attr w:name="ProductID" w:val="2.1 a"/>
        </w:smartTagPr>
        <w:r>
          <w:t>2.1 a</w:t>
        </w:r>
      </w:smartTag>
      <w:r>
        <w:t xml:space="preserve"> 2.2). Z hlediska řízení je požadavek na automatické ovládání pomocí </w:t>
      </w:r>
      <w:r w:rsidR="00057070">
        <w:t>řídicího</w:t>
      </w:r>
      <w:r w:rsidR="00F81D4F">
        <w:t xml:space="preserve"> systému</w:t>
      </w:r>
      <w:r w:rsidR="00447666">
        <w:t xml:space="preserve"> i ruční místní ovládání.</w:t>
      </w:r>
      <w:r>
        <w:t xml:space="preserve"> Současně je požadován i přenos vybraných technologických parametrů do nadřazeného </w:t>
      </w:r>
      <w:r w:rsidR="00057070">
        <w:t>řídicího</w:t>
      </w:r>
      <w:r>
        <w:t xml:space="preserve"> systému. </w:t>
      </w:r>
    </w:p>
    <w:p w14:paraId="77C41E58" w14:textId="77777777" w:rsidR="00682E5B" w:rsidRDefault="00682E5B" w:rsidP="00795C6C">
      <w:pPr>
        <w:jc w:val="both"/>
      </w:pPr>
      <w:r>
        <w:t>Pře</w:t>
      </w:r>
      <w:r w:rsidR="008231F8">
        <w:t>dmětem dodávky bude její uvedení</w:t>
      </w:r>
      <w:r>
        <w:t xml:space="preserve"> do provozu a seznámení zadavatele s obsluhou.</w:t>
      </w:r>
    </w:p>
    <w:p w14:paraId="39CD1B7E" w14:textId="77777777" w:rsidR="00682E5B" w:rsidRPr="00363413" w:rsidRDefault="00682E5B" w:rsidP="00795C6C">
      <w:pPr>
        <w:pStyle w:val="Odstavecseseznamem"/>
        <w:spacing w:after="0"/>
        <w:jc w:val="both"/>
      </w:pPr>
    </w:p>
    <w:p w14:paraId="0CA47EA1" w14:textId="77777777" w:rsidR="00682E5B" w:rsidRDefault="00682E5B" w:rsidP="00795C6C">
      <w:pPr>
        <w:pStyle w:val="Nadpis2"/>
        <w:jc w:val="both"/>
        <w:rPr>
          <w:b w:val="0"/>
        </w:rPr>
      </w:pPr>
      <w:r>
        <w:t>Připojovací b</w:t>
      </w:r>
      <w:r w:rsidRPr="00363413">
        <w:rPr>
          <w:rStyle w:val="Nadpis2Char"/>
          <w:b/>
          <w:sz w:val="24"/>
        </w:rPr>
        <w:t>o</w:t>
      </w:r>
      <w:r>
        <w:t>dy</w:t>
      </w:r>
      <w:r w:rsidR="002F6066">
        <w:t xml:space="preserve"> pro dodávané zařízení</w:t>
      </w:r>
    </w:p>
    <w:p w14:paraId="1D9A8F67" w14:textId="77777777" w:rsidR="00C902A5" w:rsidRDefault="00C902A5" w:rsidP="00795C6C">
      <w:pPr>
        <w:numPr>
          <w:ilvl w:val="0"/>
          <w:numId w:val="5"/>
        </w:numPr>
        <w:spacing w:after="0"/>
        <w:jc w:val="both"/>
      </w:pPr>
      <w:r>
        <w:t xml:space="preserve">Technologie ETL: dodávané </w:t>
      </w:r>
      <w:proofErr w:type="spellStart"/>
      <w:r>
        <w:t>solidifikační</w:t>
      </w:r>
      <w:proofErr w:type="spellEnd"/>
      <w:r>
        <w:t xml:space="preserve"> zařízení bude napojeno pod technologickou linku ETL, která bude umístěna v ocelové nosné konstrukci (příloha č. 1)</w:t>
      </w:r>
    </w:p>
    <w:p w14:paraId="4D7C1CA3" w14:textId="77777777" w:rsidR="00682E5B" w:rsidRDefault="00682E5B" w:rsidP="00795C6C">
      <w:pPr>
        <w:numPr>
          <w:ilvl w:val="0"/>
          <w:numId w:val="5"/>
        </w:numPr>
        <w:spacing w:after="0"/>
        <w:jc w:val="both"/>
      </w:pPr>
      <w:r>
        <w:t xml:space="preserve">Elektro: Pro instalované zařízení </w:t>
      </w:r>
      <w:r w:rsidRPr="00B51D83">
        <w:t>obsahující elektrospotřebiče je k dispozici pouze 18 ks elektrických zásuvek (230V/16A) a 4</w:t>
      </w:r>
      <w:r w:rsidR="00447666">
        <w:t xml:space="preserve"> </w:t>
      </w:r>
      <w:r w:rsidRPr="00B51D83">
        <w:t>ks elektrických zásuvkových skříní (400V/32A). Všechny zásuvkové skříně jsou chráněny jističi s charakteristikou C</w:t>
      </w:r>
      <w:r w:rsidR="00D43161">
        <w:t xml:space="preserve">. K dispozici jsou dvě rozvodné skříně o rozměrech 800x2100x650 mm.  </w:t>
      </w:r>
      <w:r>
        <w:t>Maximální elektrický příkon využ</w:t>
      </w:r>
      <w:r w:rsidR="00447666">
        <w:t>itelný pro celkovou technologii</w:t>
      </w:r>
      <w:r>
        <w:t xml:space="preserve"> je 500 kW.</w:t>
      </w:r>
    </w:p>
    <w:p w14:paraId="2D63783A" w14:textId="77777777" w:rsidR="00682E5B" w:rsidRDefault="00682E5B" w:rsidP="00795C6C">
      <w:pPr>
        <w:numPr>
          <w:ilvl w:val="0"/>
          <w:numId w:val="5"/>
        </w:numPr>
        <w:spacing w:after="0"/>
        <w:ind w:left="1077" w:hanging="357"/>
        <w:jc w:val="both"/>
      </w:pPr>
      <w:r>
        <w:t>Vzduchotechnika: V místnosti se nachází technologická větev speciální aktivní VZT o světlosti DN250 s odbočkou pro připojení technologie DN200. Přípoj je ukončen uzavírací klapkou. Kapacita odsávané vzdušiny pro technologii ETL je 500 m</w:t>
      </w:r>
      <w:r w:rsidRPr="00B51D83">
        <w:rPr>
          <w:vertAlign w:val="superscript"/>
        </w:rPr>
        <w:t>3</w:t>
      </w:r>
      <w:r>
        <w:t>/hod.</w:t>
      </w:r>
      <w:r w:rsidR="00447666">
        <w:t xml:space="preserve"> </w:t>
      </w:r>
      <w:r>
        <w:t xml:space="preserve">(materiál VZT potrubí – pozinkovaný plech třídy A, maximální teplota médií na výstupu z technologií do VZT je </w:t>
      </w:r>
      <w:r w:rsidR="00447666">
        <w:br/>
      </w:r>
      <w:r>
        <w:t>50</w:t>
      </w:r>
      <w:r w:rsidR="00447666">
        <w:t xml:space="preserve"> </w:t>
      </w:r>
      <w:r>
        <w:t>°C.). Větev DN250 je společná pro všechny technologie instalované v provozní hale (ETL, MSO – bezplamenné spalování odpadů a technol</w:t>
      </w:r>
      <w:r w:rsidR="00447666">
        <w:t>ogie Studený kelímek). Větev DN</w:t>
      </w:r>
      <w:r>
        <w:t>250 je odsávána ventilátorem o výkonu 2600 m</w:t>
      </w:r>
      <w:r w:rsidRPr="00B51D83">
        <w:rPr>
          <w:vertAlign w:val="superscript"/>
        </w:rPr>
        <w:t>3</w:t>
      </w:r>
      <w:r>
        <w:t>/hod a tlaku 2900</w:t>
      </w:r>
      <w:r w:rsidR="00447666">
        <w:t xml:space="preserve"> </w:t>
      </w:r>
      <w:r>
        <w:t>Pa, který je napojen na centrální VZT kanál. Vzduch je před vypuštěním do centrální VZT filtrován v aerosolovém filtru. Ventilátor a aerosolový filtr jsou umístěny ve VET centru.</w:t>
      </w:r>
    </w:p>
    <w:p w14:paraId="5C0808D5" w14:textId="77777777" w:rsidR="00682E5B" w:rsidRDefault="00682E5B" w:rsidP="00795C6C">
      <w:pPr>
        <w:numPr>
          <w:ilvl w:val="0"/>
          <w:numId w:val="5"/>
        </w:numPr>
        <w:spacing w:after="0"/>
        <w:jc w:val="both"/>
      </w:pPr>
      <w:r>
        <w:t>Rozvod vody: V pracovní hale je řešen přívod vody, který je opatřen odbočkou pro další rozvody ve výšce cca. 2,5</w:t>
      </w:r>
      <w:r w:rsidR="00447666">
        <w:t xml:space="preserve"> </w:t>
      </w:r>
      <w:r>
        <w:t>m. Jedná se o přívod užitkové vody vodárensky upravované nitrifikací a odmanganováním, s obsahem aktivního chloru max. 1</w:t>
      </w:r>
      <w:r w:rsidR="00447666">
        <w:t xml:space="preserve"> </w:t>
      </w:r>
      <w:r>
        <w:t>mg/l. Tlak vody 2-5 bar, teplota 10-15</w:t>
      </w:r>
      <w:r w:rsidR="00447666">
        <w:t xml:space="preserve"> </w:t>
      </w:r>
      <w:r>
        <w:t>°C, světlost potrubí je DN80.</w:t>
      </w:r>
    </w:p>
    <w:p w14:paraId="3B47C353" w14:textId="77777777" w:rsidR="00682E5B" w:rsidRDefault="00682E5B" w:rsidP="00795C6C">
      <w:pPr>
        <w:numPr>
          <w:ilvl w:val="0"/>
          <w:numId w:val="5"/>
        </w:numPr>
        <w:spacing w:after="0"/>
        <w:ind w:left="1077" w:hanging="357"/>
        <w:jc w:val="both"/>
      </w:pPr>
      <w:r>
        <w:t>Topné médium – voda: 90/80</w:t>
      </w:r>
      <w:r w:rsidR="00447666">
        <w:t xml:space="preserve"> °C, demineralizovaná voda, tlak 10 bar, max. průtok 6 m</w:t>
      </w:r>
      <w:r w:rsidR="00447666" w:rsidRPr="00D52870">
        <w:rPr>
          <w:vertAlign w:val="superscript"/>
        </w:rPr>
        <w:t>3</w:t>
      </w:r>
      <w:r w:rsidR="00447666">
        <w:t>/h.</w:t>
      </w:r>
    </w:p>
    <w:p w14:paraId="4B1D08DD" w14:textId="77777777" w:rsidR="00682E5B" w:rsidRDefault="00682E5B" w:rsidP="00795C6C">
      <w:pPr>
        <w:numPr>
          <w:ilvl w:val="0"/>
          <w:numId w:val="5"/>
        </w:numPr>
        <w:spacing w:after="0"/>
        <w:ind w:left="1077" w:hanging="357"/>
        <w:jc w:val="both"/>
      </w:pPr>
      <w:r>
        <w:t>Chladící médium – voda: 35/25</w:t>
      </w:r>
      <w:r w:rsidR="00447666">
        <w:t xml:space="preserve"> </w:t>
      </w:r>
      <w:r>
        <w:t>°C, užitková voda z hlavního rozvodu</w:t>
      </w:r>
      <w:r w:rsidR="00447666">
        <w:t xml:space="preserve">, tlak 10 bar, </w:t>
      </w:r>
      <w:r w:rsidR="00570E1B">
        <w:br/>
      </w:r>
      <w:r w:rsidR="00447666">
        <w:t>max. průtok 6 m</w:t>
      </w:r>
      <w:r w:rsidR="00447666" w:rsidRPr="00AE2B45">
        <w:rPr>
          <w:vertAlign w:val="superscript"/>
        </w:rPr>
        <w:t>3</w:t>
      </w:r>
      <w:r w:rsidR="00447666">
        <w:t>/h.</w:t>
      </w:r>
    </w:p>
    <w:p w14:paraId="33E9EB97" w14:textId="77777777" w:rsidR="00682E5B" w:rsidRDefault="00682E5B" w:rsidP="00795C6C">
      <w:pPr>
        <w:numPr>
          <w:ilvl w:val="0"/>
          <w:numId w:val="5"/>
        </w:numPr>
        <w:spacing w:after="0"/>
        <w:jc w:val="both"/>
      </w:pPr>
      <w:r>
        <w:t xml:space="preserve">Kanalizace: </w:t>
      </w:r>
      <w:r w:rsidRPr="008F60B8">
        <w:t xml:space="preserve">V </w:t>
      </w:r>
      <w:r>
        <w:t>hale</w:t>
      </w:r>
      <w:r w:rsidRPr="008F60B8">
        <w:t xml:space="preserve"> se nachází potrubí pro chemickou (DN60) a aktivní (DN50) kanalizaci (stoupačky). Potrubí jsou opatřena odb</w:t>
      </w:r>
      <w:r>
        <w:t>očkou pro napojení technologie.</w:t>
      </w:r>
    </w:p>
    <w:p w14:paraId="2FFFC983" w14:textId="77777777" w:rsidR="00682E5B" w:rsidRDefault="00682E5B" w:rsidP="00795C6C">
      <w:pPr>
        <w:numPr>
          <w:ilvl w:val="0"/>
          <w:numId w:val="5"/>
        </w:numPr>
        <w:spacing w:after="0"/>
        <w:ind w:left="1077" w:hanging="357"/>
        <w:jc w:val="both"/>
      </w:pPr>
      <w:r>
        <w:t>Odvod par: Odpař</w:t>
      </w:r>
      <w:r w:rsidR="00447666">
        <w:t>ená voda v podobě vodní páry z fixačního zařízení</w:t>
      </w:r>
      <w:r w:rsidRPr="002D6B3E">
        <w:t xml:space="preserve"> </w:t>
      </w:r>
      <w:r>
        <w:t xml:space="preserve">je po odloučení kapek </w:t>
      </w:r>
      <w:r w:rsidRPr="002D6B3E">
        <w:t>odváděna do deskového kondenzátoru</w:t>
      </w:r>
      <w:r w:rsidRPr="00634862">
        <w:t>. Vzniklý</w:t>
      </w:r>
      <w:r w:rsidRPr="002D6B3E">
        <w:t xml:space="preserve"> kondenzát je jímán do s</w:t>
      </w:r>
      <w:r>
        <w:t xml:space="preserve">kladovací nádrže </w:t>
      </w:r>
      <w:r w:rsidR="00447666">
        <w:br/>
      </w:r>
      <w:r>
        <w:t>na kondenzát</w:t>
      </w:r>
      <w:r w:rsidRPr="002D6B3E">
        <w:t>.</w:t>
      </w:r>
      <w:r>
        <w:t xml:space="preserve"> Odtah bude zajišťovat</w:t>
      </w:r>
      <w:r w:rsidR="00447666">
        <w:t xml:space="preserve"> pomocí vývěvy</w:t>
      </w:r>
      <w:r>
        <w:t>.</w:t>
      </w:r>
    </w:p>
    <w:p w14:paraId="02E26F46" w14:textId="77777777" w:rsidR="00682E5B" w:rsidRDefault="00682E5B" w:rsidP="00795C6C">
      <w:pPr>
        <w:numPr>
          <w:ilvl w:val="0"/>
          <w:numId w:val="5"/>
        </w:numPr>
        <w:spacing w:after="0"/>
        <w:jc w:val="both"/>
      </w:pPr>
      <w:r>
        <w:t>Proplachovací médiu</w:t>
      </w:r>
      <w:r w:rsidR="00447666">
        <w:t xml:space="preserve">m: </w:t>
      </w:r>
      <w:proofErr w:type="spellStart"/>
      <w:r w:rsidR="00447666">
        <w:t>Solidifikační</w:t>
      </w:r>
      <w:proofErr w:type="spellEnd"/>
      <w:r w:rsidR="00447666">
        <w:t xml:space="preserve"> zařízení</w:t>
      </w:r>
      <w:r w:rsidRPr="00781254">
        <w:t xml:space="preserve"> bude napojen</w:t>
      </w:r>
      <w:r w:rsidR="00F444BA">
        <w:t>o</w:t>
      </w:r>
      <w:r w:rsidRPr="00781254">
        <w:t xml:space="preserve"> </w:t>
      </w:r>
      <w:r>
        <w:t xml:space="preserve">na </w:t>
      </w:r>
      <w:proofErr w:type="spellStart"/>
      <w:r>
        <w:t>proplachové</w:t>
      </w:r>
      <w:proofErr w:type="spellEnd"/>
      <w:r>
        <w:t xml:space="preserve"> médium. Médiem bude</w:t>
      </w:r>
      <w:r w:rsidRPr="00781254">
        <w:t xml:space="preserve"> kondenzát z</w:t>
      </w:r>
      <w:r>
        <w:t>e skladovací nádrže</w:t>
      </w:r>
      <w:r w:rsidR="002F6066">
        <w:t xml:space="preserve"> v technologie ETL</w:t>
      </w:r>
      <w:r>
        <w:t xml:space="preserve">. Po ohřátí </w:t>
      </w:r>
      <w:r w:rsidRPr="00781254">
        <w:t xml:space="preserve"> v deskovém výměníku </w:t>
      </w:r>
      <w:r>
        <w:t xml:space="preserve">bude následně veden pomocí vysokotlakého čerpadla </w:t>
      </w:r>
      <w:r w:rsidRPr="00781254">
        <w:t xml:space="preserve">do jednotlivých zařízení </w:t>
      </w:r>
      <w:r>
        <w:t xml:space="preserve">a propojovacího potrubí separačního uzlu.  Odpadní </w:t>
      </w:r>
      <w:proofErr w:type="spellStart"/>
      <w:r>
        <w:t>proplachová</w:t>
      </w:r>
      <w:proofErr w:type="spellEnd"/>
      <w:r>
        <w:t xml:space="preserve"> voda bude</w:t>
      </w:r>
      <w:r w:rsidRPr="00781254">
        <w:t xml:space="preserve"> vedena do zásobní nádrže</w:t>
      </w:r>
      <w:r>
        <w:t xml:space="preserve"> na kapalný odpad.  Nedostatek </w:t>
      </w:r>
      <w:proofErr w:type="spellStart"/>
      <w:r>
        <w:t>proplachové</w:t>
      </w:r>
      <w:proofErr w:type="spellEnd"/>
      <w:r>
        <w:t xml:space="preserve"> vody bude kompenzován přípojkou na</w:t>
      </w:r>
      <w:r w:rsidR="002F6066">
        <w:t xml:space="preserve"> hlavní rozvod </w:t>
      </w:r>
      <w:r w:rsidR="00F444BA">
        <w:t>užitkové</w:t>
      </w:r>
      <w:r w:rsidR="002F6066">
        <w:t xml:space="preserve"> vody, světlost potrubí DN40.</w:t>
      </w:r>
    </w:p>
    <w:p w14:paraId="43D38B40" w14:textId="77777777" w:rsidR="00682E5B" w:rsidRDefault="00682E5B" w:rsidP="00570E1B">
      <w:pPr>
        <w:numPr>
          <w:ilvl w:val="0"/>
          <w:numId w:val="5"/>
        </w:numPr>
        <w:spacing w:after="0"/>
        <w:ind w:left="1077" w:hanging="357"/>
        <w:jc w:val="both"/>
      </w:pPr>
      <w:r>
        <w:t>Místní uspořádání, plocha, prostor: zastavěná plo</w:t>
      </w:r>
      <w:r w:rsidR="00570E1B">
        <w:t xml:space="preserve">cha </w:t>
      </w:r>
      <w:proofErr w:type="spellStart"/>
      <w:r w:rsidR="00570E1B">
        <w:t>solidifikačního</w:t>
      </w:r>
      <w:proofErr w:type="spellEnd"/>
      <w:r w:rsidR="00570E1B">
        <w:t xml:space="preserve"> zařízení</w:t>
      </w:r>
      <w:r w:rsidR="00FE38BB">
        <w:t xml:space="preserve"> bude </w:t>
      </w:r>
      <w:r w:rsidR="00570E1B">
        <w:br/>
      </w:r>
      <w:r w:rsidR="00447666">
        <w:t xml:space="preserve">max. </w:t>
      </w:r>
      <w:r w:rsidR="00447666" w:rsidRPr="00D52870">
        <w:t>6</w:t>
      </w:r>
      <w:r w:rsidR="00D52870">
        <w:t>,02</w:t>
      </w:r>
      <w:r w:rsidR="00570E1B">
        <w:t xml:space="preserve"> </w:t>
      </w:r>
      <w:r w:rsidRPr="0067161E">
        <w:t>m</w:t>
      </w:r>
      <w:r w:rsidRPr="00570E1B">
        <w:rPr>
          <w:vertAlign w:val="superscript"/>
        </w:rPr>
        <w:t>2</w:t>
      </w:r>
      <w:r w:rsidR="00D52870">
        <w:t xml:space="preserve"> (2,15m x 2,8m)</w:t>
      </w:r>
      <w:r w:rsidR="0067161E">
        <w:t>, výška nesm</w:t>
      </w:r>
      <w:r w:rsidR="00447666">
        <w:t>í přesáhnout 1,5 m.</w:t>
      </w:r>
    </w:p>
    <w:p w14:paraId="2591E049" w14:textId="77777777" w:rsidR="00682E5B" w:rsidRPr="00363413" w:rsidRDefault="00682E5B" w:rsidP="00795C6C">
      <w:pPr>
        <w:pStyle w:val="Odstavecseseznamem"/>
        <w:numPr>
          <w:ilvl w:val="0"/>
          <w:numId w:val="5"/>
        </w:numPr>
        <w:jc w:val="both"/>
      </w:pPr>
      <w:r w:rsidRPr="00363413">
        <w:lastRenderedPageBreak/>
        <w:t>PI diagram včetně měřených veličin</w:t>
      </w:r>
    </w:p>
    <w:p w14:paraId="68560651" w14:textId="77777777" w:rsidR="00682E5B" w:rsidRPr="00363413" w:rsidRDefault="00682E5B" w:rsidP="00795C6C">
      <w:pPr>
        <w:pStyle w:val="Odstavecseseznamem"/>
        <w:spacing w:after="0"/>
        <w:ind w:left="1080"/>
        <w:jc w:val="both"/>
      </w:pPr>
    </w:p>
    <w:p w14:paraId="473D3B4D" w14:textId="77777777" w:rsidR="00682E5B" w:rsidRPr="00363413" w:rsidRDefault="00682E5B" w:rsidP="00795C6C">
      <w:pPr>
        <w:pStyle w:val="Nadpis2"/>
        <w:jc w:val="both"/>
      </w:pPr>
      <w:r w:rsidRPr="00363413">
        <w:t>Obecné požadavky předmětu dodávky</w:t>
      </w:r>
    </w:p>
    <w:p w14:paraId="1318C5B4" w14:textId="77777777" w:rsidR="00200373" w:rsidRDefault="00682E5B" w:rsidP="00200373">
      <w:pPr>
        <w:pStyle w:val="Nadpis3"/>
        <w:keepNext/>
        <w:numPr>
          <w:ilvl w:val="0"/>
          <w:numId w:val="5"/>
        </w:numPr>
        <w:spacing w:after="0"/>
        <w:ind w:left="1077" w:hanging="357"/>
        <w:jc w:val="both"/>
      </w:pPr>
      <w:r w:rsidRPr="00363413">
        <w:t xml:space="preserve">zpracování </w:t>
      </w:r>
      <w:r w:rsidR="00200373">
        <w:t>odpadů:</w:t>
      </w:r>
    </w:p>
    <w:p w14:paraId="38653DDE" w14:textId="77777777" w:rsidR="00200373" w:rsidRDefault="00200373" w:rsidP="00200373">
      <w:pPr>
        <w:pStyle w:val="Odstavecseseznamem"/>
        <w:numPr>
          <w:ilvl w:val="1"/>
          <w:numId w:val="5"/>
        </w:numPr>
      </w:pPr>
      <w:r>
        <w:t>krystalická pevná fáze</w:t>
      </w:r>
    </w:p>
    <w:p w14:paraId="1F033F53" w14:textId="77777777" w:rsidR="00200373" w:rsidRDefault="00200373" w:rsidP="00200373">
      <w:pPr>
        <w:pStyle w:val="Odstavecseseznamem"/>
        <w:numPr>
          <w:ilvl w:val="1"/>
          <w:numId w:val="5"/>
        </w:numPr>
      </w:pPr>
      <w:r>
        <w:t xml:space="preserve">nasycené, odvodněné </w:t>
      </w:r>
      <w:proofErr w:type="spellStart"/>
      <w:r>
        <w:t>ionexy</w:t>
      </w:r>
      <w:proofErr w:type="spellEnd"/>
    </w:p>
    <w:p w14:paraId="5AA1062D" w14:textId="77777777" w:rsidR="00200373" w:rsidRPr="00200373" w:rsidRDefault="00200373" w:rsidP="00200373">
      <w:pPr>
        <w:pStyle w:val="Odstavecseseznamem"/>
        <w:numPr>
          <w:ilvl w:val="1"/>
          <w:numId w:val="5"/>
        </w:numPr>
      </w:pPr>
      <w:r>
        <w:t xml:space="preserve">suché </w:t>
      </w:r>
      <w:proofErr w:type="spellStart"/>
      <w:r>
        <w:t>ionexy</w:t>
      </w:r>
      <w:proofErr w:type="spellEnd"/>
    </w:p>
    <w:p w14:paraId="6E76E0EF" w14:textId="77777777" w:rsidR="00682E5B" w:rsidRPr="00363413" w:rsidRDefault="00682E5B" w:rsidP="00795C6C">
      <w:pPr>
        <w:numPr>
          <w:ilvl w:val="0"/>
          <w:numId w:val="5"/>
        </w:numPr>
        <w:spacing w:after="0"/>
        <w:ind w:left="1077" w:hanging="357"/>
        <w:jc w:val="both"/>
      </w:pPr>
      <w:r w:rsidRPr="00363413">
        <w:t xml:space="preserve">dodaná zařízení </w:t>
      </w:r>
      <w:r>
        <w:t xml:space="preserve">tvoří jeden </w:t>
      </w:r>
      <w:r w:rsidRPr="00363413">
        <w:t>funkční celek pro experimentální použití</w:t>
      </w:r>
    </w:p>
    <w:p w14:paraId="61A022F0" w14:textId="77777777" w:rsidR="00682E5B" w:rsidRPr="00200373" w:rsidRDefault="00A2422F" w:rsidP="00200373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zpracování </w:t>
      </w:r>
      <w:r w:rsidR="00682E5B" w:rsidRPr="00363413">
        <w:rPr>
          <w:rFonts w:ascii="Calibri" w:hAnsi="Calibri"/>
          <w:sz w:val="22"/>
          <w:szCs w:val="22"/>
        </w:rPr>
        <w:t xml:space="preserve">odpadu </w:t>
      </w:r>
      <w:r w:rsidR="00200373">
        <w:rPr>
          <w:rFonts w:ascii="Calibri" w:hAnsi="Calibri"/>
          <w:sz w:val="22"/>
          <w:szCs w:val="22"/>
        </w:rPr>
        <w:t>fixací v </w:t>
      </w:r>
      <w:proofErr w:type="spellStart"/>
      <w:r w:rsidR="00200373">
        <w:rPr>
          <w:rFonts w:ascii="Calibri" w:hAnsi="Calibri"/>
          <w:sz w:val="22"/>
          <w:szCs w:val="22"/>
        </w:rPr>
        <w:t>geop</w:t>
      </w:r>
      <w:r w:rsidR="00107E01">
        <w:rPr>
          <w:rFonts w:ascii="Calibri" w:hAnsi="Calibri"/>
          <w:sz w:val="22"/>
          <w:szCs w:val="22"/>
        </w:rPr>
        <w:t>o</w:t>
      </w:r>
      <w:r w:rsidR="00200373">
        <w:rPr>
          <w:rFonts w:ascii="Calibri" w:hAnsi="Calibri"/>
          <w:sz w:val="22"/>
          <w:szCs w:val="22"/>
        </w:rPr>
        <w:t>ly</w:t>
      </w:r>
      <w:r w:rsidR="00107E01">
        <w:rPr>
          <w:rFonts w:ascii="Calibri" w:hAnsi="Calibri"/>
          <w:sz w:val="22"/>
          <w:szCs w:val="22"/>
        </w:rPr>
        <w:t>m</w:t>
      </w:r>
      <w:r w:rsidR="00200373">
        <w:rPr>
          <w:rFonts w:ascii="Calibri" w:hAnsi="Calibri"/>
          <w:sz w:val="22"/>
          <w:szCs w:val="22"/>
        </w:rPr>
        <w:t>erní</w:t>
      </w:r>
      <w:proofErr w:type="spellEnd"/>
      <w:r w:rsidR="00200373">
        <w:rPr>
          <w:rFonts w:ascii="Calibri" w:hAnsi="Calibri"/>
          <w:sz w:val="22"/>
          <w:szCs w:val="22"/>
        </w:rPr>
        <w:t xml:space="preserve"> nebo </w:t>
      </w:r>
      <w:proofErr w:type="spellStart"/>
      <w:r w:rsidR="00200373">
        <w:rPr>
          <w:rFonts w:ascii="Calibri" w:hAnsi="Calibri"/>
          <w:sz w:val="22"/>
          <w:szCs w:val="22"/>
        </w:rPr>
        <w:t>polysiloxanové</w:t>
      </w:r>
      <w:proofErr w:type="spellEnd"/>
      <w:r w:rsidR="00200373">
        <w:rPr>
          <w:rFonts w:ascii="Calibri" w:hAnsi="Calibri"/>
          <w:sz w:val="22"/>
          <w:szCs w:val="22"/>
        </w:rPr>
        <w:t xml:space="preserve"> matrici </w:t>
      </w:r>
      <w:r w:rsidR="00200373">
        <w:rPr>
          <w:rFonts w:ascii="Calibri" w:hAnsi="Calibri"/>
          <w:sz w:val="22"/>
          <w:szCs w:val="22"/>
        </w:rPr>
        <w:br/>
        <w:t>za r</w:t>
      </w:r>
      <w:r>
        <w:rPr>
          <w:rFonts w:ascii="Calibri" w:hAnsi="Calibri"/>
          <w:sz w:val="22"/>
          <w:szCs w:val="22"/>
        </w:rPr>
        <w:t>ůzných provozních podmínek</w:t>
      </w:r>
    </w:p>
    <w:p w14:paraId="5769439A" w14:textId="77777777" w:rsidR="00682E5B" w:rsidRPr="00363413" w:rsidRDefault="00682E5B" w:rsidP="00795C6C">
      <w:pPr>
        <w:pStyle w:val="Odstavecseseznamem"/>
        <w:numPr>
          <w:ilvl w:val="0"/>
          <w:numId w:val="5"/>
        </w:numPr>
        <w:spacing w:after="0"/>
        <w:jc w:val="both"/>
      </w:pPr>
      <w:r w:rsidRPr="00363413">
        <w:t xml:space="preserve">vysoce účinná </w:t>
      </w:r>
      <w:proofErr w:type="spellStart"/>
      <w:r w:rsidRPr="00363413">
        <w:t>promyvatelnost</w:t>
      </w:r>
      <w:proofErr w:type="spellEnd"/>
      <w:r w:rsidRPr="00363413">
        <w:t xml:space="preserve"> celého zařízení, snadná údržba a </w:t>
      </w:r>
      <w:proofErr w:type="spellStart"/>
      <w:r w:rsidRPr="00363413">
        <w:t>rozebíratelnost</w:t>
      </w:r>
      <w:proofErr w:type="spellEnd"/>
      <w:r w:rsidRPr="00363413">
        <w:t>, spolehlivost, odolnost</w:t>
      </w:r>
    </w:p>
    <w:p w14:paraId="7C5352CB" w14:textId="77777777" w:rsidR="00682E5B" w:rsidRDefault="00682E5B" w:rsidP="00795C6C">
      <w:pPr>
        <w:pStyle w:val="Odstavecseseznamem"/>
        <w:numPr>
          <w:ilvl w:val="0"/>
          <w:numId w:val="5"/>
        </w:numPr>
        <w:spacing w:after="0"/>
        <w:jc w:val="both"/>
      </w:pPr>
      <w:r w:rsidRPr="00363413">
        <w:t xml:space="preserve">možnost zařízení ovládat automaticky </w:t>
      </w:r>
      <w:r w:rsidR="00A2422F">
        <w:t>nebo manuálně</w:t>
      </w:r>
      <w:r>
        <w:t xml:space="preserve">, </w:t>
      </w:r>
      <w:r w:rsidRPr="00781254">
        <w:t xml:space="preserve">ovládání blokově na PLC </w:t>
      </w:r>
      <w:r w:rsidR="00200373">
        <w:br/>
      </w:r>
      <w:r w:rsidRPr="00781254">
        <w:t>i manuálně na PC či strojově u zařízení</w:t>
      </w:r>
    </w:p>
    <w:p w14:paraId="239C2C82" w14:textId="77777777" w:rsidR="00682E5B" w:rsidRDefault="00682E5B" w:rsidP="00795C6C">
      <w:pPr>
        <w:pStyle w:val="Odstavecseseznamem"/>
        <w:numPr>
          <w:ilvl w:val="0"/>
          <w:numId w:val="5"/>
        </w:numPr>
        <w:spacing w:after="0"/>
        <w:jc w:val="both"/>
      </w:pPr>
      <w:r>
        <w:t>metrologie: měření teploty, tlaku, hladiny</w:t>
      </w:r>
      <w:r w:rsidR="00200373">
        <w:t>, váhy</w:t>
      </w:r>
      <w:r w:rsidR="00EB4971">
        <w:t>, viskozity</w:t>
      </w:r>
      <w:r>
        <w:t xml:space="preserve">. Analogový výstupní signál </w:t>
      </w:r>
      <w:r w:rsidR="003B6C5B">
        <w:t>0/4 - 20</w:t>
      </w:r>
      <w:r w:rsidRPr="000D4A14">
        <w:t>mA</w:t>
      </w:r>
      <w:r>
        <w:t>, napájení 230V AC</w:t>
      </w:r>
    </w:p>
    <w:p w14:paraId="39644D52" w14:textId="77777777" w:rsidR="00682E5B" w:rsidRPr="00A738E5" w:rsidRDefault="00A2422F" w:rsidP="00795C6C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umožnit manuální odběry vzorků, </w:t>
      </w:r>
      <w:r w:rsidR="00682E5B" w:rsidRPr="00A738E5">
        <w:t>měřené veličiny</w:t>
      </w:r>
      <w:r w:rsidR="00682E5B">
        <w:t xml:space="preserve"> u odebraných </w:t>
      </w:r>
      <w:r w:rsidR="00682E5B" w:rsidRPr="00A738E5">
        <w:t>vzork</w:t>
      </w:r>
      <w:r w:rsidR="00682E5B">
        <w:t>ů (zajistí CV Řež s.r.o.)</w:t>
      </w:r>
      <w:r w:rsidR="00682E5B" w:rsidRPr="00A738E5">
        <w:t>: pH, vlhkost, zrnitost pevné fáze, viskozita</w:t>
      </w:r>
    </w:p>
    <w:p w14:paraId="57F71150" w14:textId="77777777" w:rsidR="00682E5B" w:rsidRPr="00A738E5" w:rsidRDefault="00682E5B" w:rsidP="006A6E1A">
      <w:pPr>
        <w:pStyle w:val="Odstavecseseznamem"/>
        <w:numPr>
          <w:ilvl w:val="0"/>
          <w:numId w:val="5"/>
        </w:numPr>
        <w:spacing w:after="0"/>
        <w:jc w:val="both"/>
      </w:pPr>
      <w:r w:rsidRPr="00A738E5">
        <w:t>korozní odolnost konstrukčních materiálů</w:t>
      </w:r>
      <w:r>
        <w:t>,</w:t>
      </w:r>
      <w:r w:rsidRPr="00A738E5">
        <w:t xml:space="preserve"> upozornění na vysokou solnost </w:t>
      </w:r>
      <w:r>
        <w:t xml:space="preserve">zahuštěných </w:t>
      </w:r>
      <w:r w:rsidRPr="00A738E5">
        <w:t>roztoků</w:t>
      </w:r>
      <w:r>
        <w:t xml:space="preserve">, zvýšený obsah </w:t>
      </w:r>
      <w:r w:rsidRPr="00A738E5">
        <w:t> C</w:t>
      </w:r>
      <w:r>
        <w:t>l</w:t>
      </w:r>
      <w:r w:rsidRPr="00A738E5">
        <w:rPr>
          <w:vertAlign w:val="superscript"/>
        </w:rPr>
        <w:t>-</w:t>
      </w:r>
    </w:p>
    <w:p w14:paraId="3C6011B0" w14:textId="77777777" w:rsidR="00682E5B" w:rsidRDefault="00682E5B" w:rsidP="00653EF3">
      <w:pPr>
        <w:pStyle w:val="Nadpis2"/>
        <w:numPr>
          <w:ilvl w:val="0"/>
          <w:numId w:val="0"/>
        </w:numPr>
        <w:jc w:val="both"/>
      </w:pPr>
    </w:p>
    <w:p w14:paraId="4C936ECB" w14:textId="77777777" w:rsidR="00682E5B" w:rsidRPr="00363413" w:rsidRDefault="00682E5B" w:rsidP="00795C6C">
      <w:pPr>
        <w:pStyle w:val="Nadpis2"/>
        <w:jc w:val="both"/>
      </w:pPr>
      <w:r w:rsidRPr="00363413">
        <w:t>Požadovaný rozsah nabídky</w:t>
      </w:r>
    </w:p>
    <w:p w14:paraId="4F0E4420" w14:textId="77777777" w:rsidR="00682E5B" w:rsidRPr="00363413" w:rsidRDefault="00682E5B" w:rsidP="00795C6C">
      <w:pPr>
        <w:pStyle w:val="Odstavecseseznamem"/>
        <w:numPr>
          <w:ilvl w:val="0"/>
          <w:numId w:val="5"/>
        </w:numPr>
        <w:jc w:val="both"/>
      </w:pPr>
      <w:r w:rsidRPr="00363413">
        <w:t>GA list</w:t>
      </w:r>
    </w:p>
    <w:p w14:paraId="71586C6B" w14:textId="77777777" w:rsidR="00682E5B" w:rsidRPr="00363413" w:rsidRDefault="00200373" w:rsidP="00795C6C">
      <w:pPr>
        <w:pStyle w:val="Odstavecseseznamem"/>
        <w:numPr>
          <w:ilvl w:val="0"/>
          <w:numId w:val="5"/>
        </w:numPr>
        <w:jc w:val="both"/>
      </w:pPr>
      <w:r>
        <w:t>s</w:t>
      </w:r>
      <w:r w:rsidR="00682E5B" w:rsidRPr="00363413">
        <w:t>pecifikace jednotlivých zařízení (objem, hmotnost, velikost, základní charakteristika, popis)</w:t>
      </w:r>
    </w:p>
    <w:p w14:paraId="68443B2E" w14:textId="77777777" w:rsidR="00682E5B" w:rsidRPr="00363413" w:rsidRDefault="00200373" w:rsidP="00795C6C">
      <w:pPr>
        <w:pStyle w:val="Odstavecseseznamem"/>
        <w:numPr>
          <w:ilvl w:val="0"/>
          <w:numId w:val="5"/>
        </w:numPr>
        <w:jc w:val="both"/>
      </w:pPr>
      <w:r>
        <w:t>s</w:t>
      </w:r>
      <w:r w:rsidR="00682E5B" w:rsidRPr="00363413">
        <w:t>tatické uspořádání</w:t>
      </w:r>
    </w:p>
    <w:p w14:paraId="1C9F4CB9" w14:textId="77777777" w:rsidR="00682E5B" w:rsidRPr="00363413" w:rsidRDefault="00200373" w:rsidP="00795C6C">
      <w:pPr>
        <w:pStyle w:val="Odstavecseseznamem"/>
        <w:numPr>
          <w:ilvl w:val="0"/>
          <w:numId w:val="5"/>
        </w:numPr>
        <w:jc w:val="both"/>
      </w:pPr>
      <w:r>
        <w:t>p</w:t>
      </w:r>
      <w:r w:rsidR="00682E5B" w:rsidRPr="00363413">
        <w:t>řipojovací body zařízení, energetické nároky zařízení</w:t>
      </w:r>
    </w:p>
    <w:p w14:paraId="264F1619" w14:textId="77777777" w:rsidR="00682E5B" w:rsidRPr="00363413" w:rsidRDefault="00200373" w:rsidP="00795C6C">
      <w:pPr>
        <w:pStyle w:val="Odstavecseseznamem"/>
        <w:numPr>
          <w:ilvl w:val="0"/>
          <w:numId w:val="5"/>
        </w:numPr>
        <w:jc w:val="both"/>
      </w:pPr>
      <w:r>
        <w:t>c</w:t>
      </w:r>
      <w:r w:rsidR="00682E5B" w:rsidRPr="00363413">
        <w:t>ena za celkovou dodávku „na klíč“</w:t>
      </w:r>
    </w:p>
    <w:p w14:paraId="430F7C19" w14:textId="77777777" w:rsidR="00682E5B" w:rsidRDefault="00200373" w:rsidP="00795C6C">
      <w:pPr>
        <w:pStyle w:val="Odstavecseseznamem"/>
        <w:numPr>
          <w:ilvl w:val="0"/>
          <w:numId w:val="5"/>
        </w:numPr>
        <w:spacing w:after="0"/>
        <w:jc w:val="both"/>
      </w:pPr>
      <w:r>
        <w:t>n</w:t>
      </w:r>
      <w:r w:rsidR="00682E5B" w:rsidRPr="00363413">
        <w:t>ávrh na servisní práce, technickou podporu a jejich dostupnost</w:t>
      </w:r>
    </w:p>
    <w:p w14:paraId="44189BB4" w14:textId="77777777" w:rsidR="00A2422F" w:rsidRPr="00363413" w:rsidRDefault="00A2422F" w:rsidP="00795C6C">
      <w:pPr>
        <w:pStyle w:val="Odstavecseseznamem"/>
        <w:spacing w:after="0"/>
        <w:jc w:val="both"/>
      </w:pPr>
    </w:p>
    <w:p w14:paraId="7F1A334F" w14:textId="77777777" w:rsidR="00682E5B" w:rsidRPr="00363413" w:rsidRDefault="00682E5B" w:rsidP="00795C6C">
      <w:pPr>
        <w:pStyle w:val="Nadpis1"/>
        <w:jc w:val="both"/>
      </w:pPr>
      <w:r w:rsidRPr="00363413">
        <w:t xml:space="preserve">Charakteristika vstupních médií </w:t>
      </w:r>
    </w:p>
    <w:p w14:paraId="2B2F659F" w14:textId="77777777" w:rsidR="00682E5B" w:rsidRPr="00363413" w:rsidRDefault="00682E5B" w:rsidP="00795C6C">
      <w:pPr>
        <w:pStyle w:val="Nadpis2"/>
        <w:jc w:val="both"/>
      </w:pPr>
      <w:r w:rsidRPr="00363413">
        <w:t xml:space="preserve"> </w:t>
      </w:r>
      <w:r w:rsidR="00C81E56">
        <w:t>Pevné</w:t>
      </w:r>
      <w:r w:rsidRPr="00363413">
        <w:t xml:space="preserve"> odpady</w:t>
      </w:r>
    </w:p>
    <w:p w14:paraId="545A4B6B" w14:textId="77777777" w:rsidR="00682E5B" w:rsidRPr="00AA3936" w:rsidRDefault="00FD15F2" w:rsidP="00795C6C">
      <w:pPr>
        <w:pStyle w:val="Odstavecseseznamem"/>
        <w:spacing w:after="0"/>
        <w:ind w:left="0"/>
        <w:jc w:val="both"/>
        <w:rPr>
          <w:iCs/>
        </w:rPr>
      </w:pPr>
      <w:r>
        <w:t>Vstupním médiem budou</w:t>
      </w:r>
      <w:r w:rsidR="00682E5B" w:rsidRPr="00363413">
        <w:t xml:space="preserve"> </w:t>
      </w:r>
      <w:r w:rsidR="00C81E56">
        <w:t>vy</w:t>
      </w:r>
      <w:r>
        <w:t>sušené</w:t>
      </w:r>
      <w:r w:rsidR="00C81E56">
        <w:t xml:space="preserve"> nebo o</w:t>
      </w:r>
      <w:r>
        <w:t>dvodněné</w:t>
      </w:r>
      <w:r w:rsidR="00C81E56">
        <w:t xml:space="preserve"> </w:t>
      </w:r>
      <w:r>
        <w:t>modelové</w:t>
      </w:r>
      <w:r w:rsidR="00682E5B" w:rsidRPr="00363413">
        <w:t xml:space="preserve"> </w:t>
      </w:r>
      <w:r>
        <w:t>krystaly, které jsou</w:t>
      </w:r>
      <w:r w:rsidR="00C81E56">
        <w:t xml:space="preserve"> výstupním produktem separačního zařízení</w:t>
      </w:r>
      <w:r w:rsidR="00682E5B" w:rsidRPr="00363413">
        <w:t xml:space="preserve">. </w:t>
      </w:r>
      <w:r w:rsidR="00C81E56">
        <w:t>V separační zařízení dochází k zahuštění modelového roztoku</w:t>
      </w:r>
      <w:r>
        <w:t xml:space="preserve"> na modelový koncentrát, které je poté odvodňován a sušen</w:t>
      </w:r>
      <w:r w:rsidR="00C81E56">
        <w:t xml:space="preserve">. </w:t>
      </w:r>
      <w:r>
        <w:t>S</w:t>
      </w:r>
      <w:r w:rsidR="00C81E56">
        <w:t>ložení</w:t>
      </w:r>
      <w:r>
        <w:t xml:space="preserve"> modelového roztoku</w:t>
      </w:r>
      <w:r w:rsidR="00C81E56">
        <w:t xml:space="preserve"> je uvedeno </w:t>
      </w:r>
      <w:r w:rsidR="00682E5B" w:rsidRPr="00363413">
        <w:t>v</w:t>
      </w:r>
      <w:r w:rsidR="00682E5B">
        <w:t> </w:t>
      </w:r>
      <w:r w:rsidR="00682E5B" w:rsidRPr="00363413">
        <w:t>tab</w:t>
      </w:r>
      <w:r w:rsidR="00682E5B">
        <w:t>ulce</w:t>
      </w:r>
      <w:r w:rsidR="00682E5B" w:rsidRPr="00363413">
        <w:t xml:space="preserve"> č. 1</w:t>
      </w:r>
      <w:r w:rsidR="00682E5B" w:rsidRPr="00363413">
        <w:rPr>
          <w:iCs/>
        </w:rPr>
        <w:t xml:space="preserve">.  </w:t>
      </w:r>
      <w:r w:rsidR="00682E5B">
        <w:rPr>
          <w:iCs/>
        </w:rPr>
        <w:t xml:space="preserve">Parametry </w:t>
      </w:r>
      <w:r>
        <w:rPr>
          <w:iCs/>
        </w:rPr>
        <w:t>modelového koncentrátu</w:t>
      </w:r>
      <w:r w:rsidR="00682E5B">
        <w:rPr>
          <w:iCs/>
        </w:rPr>
        <w:t xml:space="preserve"> jsou uvedeny v tabulce č. </w:t>
      </w:r>
      <w:r w:rsidR="00682E5B" w:rsidRPr="00AA3936">
        <w:rPr>
          <w:iCs/>
        </w:rPr>
        <w:t>2.</w:t>
      </w:r>
    </w:p>
    <w:p w14:paraId="270C2CBA" w14:textId="77777777" w:rsidR="00682E5B" w:rsidRPr="00363413" w:rsidRDefault="00682E5B" w:rsidP="00C902A5">
      <w:pPr>
        <w:pStyle w:val="Odstavecseseznamem"/>
        <w:spacing w:after="0"/>
        <w:ind w:left="0"/>
        <w:jc w:val="both"/>
      </w:pPr>
      <w:r w:rsidRPr="00013602">
        <w:t xml:space="preserve">Na </w:t>
      </w:r>
      <w:r w:rsidR="00FD15F2">
        <w:t>technologii ETL</w:t>
      </w:r>
      <w:r w:rsidRPr="00013602">
        <w:t xml:space="preserve"> budou probíhat neaktivní experimenty s modelovým roztokem a experimenty </w:t>
      </w:r>
      <w:r w:rsidR="00200373">
        <w:br/>
      </w:r>
      <w:r w:rsidRPr="00013602">
        <w:t>se simulovanou aktivitou pro optimalizaci podmínek provozu. Jako modelový roztok bude sloužit odpadní voda z bloků jaderných elektráren. Modelové složení je v tabulce 1. Jako simulátor aktivity bude používán CsNO</w:t>
      </w:r>
      <w:r w:rsidRPr="00795C6C">
        <w:rPr>
          <w:vertAlign w:val="subscript"/>
        </w:rPr>
        <w:t>3</w:t>
      </w:r>
      <w:r w:rsidR="004D2420">
        <w:t xml:space="preserve">, </w:t>
      </w:r>
      <w:r w:rsidR="004D2420" w:rsidRPr="00013602">
        <w:t>Co</w:t>
      </w:r>
      <w:r w:rsidR="004D2420">
        <w:t>(NO</w:t>
      </w:r>
      <w:r w:rsidR="004D2420" w:rsidRPr="004D2420">
        <w:rPr>
          <w:vertAlign w:val="subscript"/>
        </w:rPr>
        <w:t>3</w:t>
      </w:r>
      <w:r w:rsidRPr="00013602">
        <w:t>)</w:t>
      </w:r>
      <w:r w:rsidRPr="005E5EB9">
        <w:rPr>
          <w:vertAlign w:val="subscript"/>
        </w:rPr>
        <w:t>2</w:t>
      </w:r>
      <w:r w:rsidRPr="00013602">
        <w:t>.6H</w:t>
      </w:r>
      <w:r w:rsidRPr="00795C6C">
        <w:rPr>
          <w:vertAlign w:val="subscript"/>
        </w:rPr>
        <w:t>2</w:t>
      </w:r>
      <w:r w:rsidRPr="00013602">
        <w:t>O nebo SrCO</w:t>
      </w:r>
      <w:r w:rsidRPr="00795C6C">
        <w:rPr>
          <w:vertAlign w:val="subscript"/>
        </w:rPr>
        <w:t>3</w:t>
      </w:r>
      <w:r w:rsidRPr="00013602">
        <w:t xml:space="preserve">. Budou zjišťovány stopy těchto látek a jejich koncentrace </w:t>
      </w:r>
      <w:r w:rsidR="00200373">
        <w:br/>
      </w:r>
      <w:r w:rsidRPr="00013602">
        <w:t xml:space="preserve">ve všech výstupech technologických uzlů. Tj. zahuštěná směs s krystaly, suché a vlhké krystaly, filtrát, kondenzát z odparky, </w:t>
      </w:r>
      <w:proofErr w:type="spellStart"/>
      <w:r w:rsidRPr="00013602">
        <w:t>proplachová</w:t>
      </w:r>
      <w:proofErr w:type="spellEnd"/>
      <w:r w:rsidRPr="00013602">
        <w:t xml:space="preserve"> odpadní voda</w:t>
      </w:r>
      <w:r w:rsidR="00C902A5">
        <w:t>.</w:t>
      </w:r>
    </w:p>
    <w:p w14:paraId="191CA1C8" w14:textId="77777777" w:rsidR="00682E5B" w:rsidRDefault="00682E5B" w:rsidP="00795C6C">
      <w:pPr>
        <w:pStyle w:val="Titulek"/>
        <w:keepNext/>
        <w:jc w:val="both"/>
      </w:pPr>
      <w:r>
        <w:lastRenderedPageBreak/>
        <w:t xml:space="preserve">Tabulka </w:t>
      </w:r>
      <w:r w:rsidR="00955364">
        <w:fldChar w:fldCharType="begin"/>
      </w:r>
      <w:r w:rsidR="00955364">
        <w:instrText xml:space="preserve"> SEQ Tabulka \* ARABIC </w:instrText>
      </w:r>
      <w:r w:rsidR="00955364">
        <w:fldChar w:fldCharType="separate"/>
      </w:r>
      <w:r w:rsidR="00C65C41">
        <w:rPr>
          <w:noProof/>
        </w:rPr>
        <w:t>1</w:t>
      </w:r>
      <w:r w:rsidR="00955364">
        <w:rPr>
          <w:noProof/>
        </w:rPr>
        <w:fldChar w:fldCharType="end"/>
      </w:r>
      <w:r>
        <w:t xml:space="preserve">. </w:t>
      </w:r>
      <w:r w:rsidRPr="00C65C41">
        <w:rPr>
          <w:b w:val="0"/>
        </w:rPr>
        <w:t>Složení modelové roztoku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1"/>
        <w:gridCol w:w="1439"/>
        <w:gridCol w:w="1800"/>
        <w:gridCol w:w="1620"/>
        <w:gridCol w:w="1792"/>
      </w:tblGrid>
      <w:tr w:rsidR="00682E5B" w:rsidRPr="001C11A4" w14:paraId="52E7B99A" w14:textId="77777777" w:rsidTr="00756846">
        <w:trPr>
          <w:trHeight w:val="195"/>
        </w:trPr>
        <w:tc>
          <w:tcPr>
            <w:tcW w:w="72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30B2" w14:textId="77777777" w:rsidR="00682E5B" w:rsidRPr="002A7F41" w:rsidRDefault="00682E5B" w:rsidP="00756846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model</w:t>
            </w:r>
            <w:r>
              <w:rPr>
                <w:color w:val="000000"/>
              </w:rPr>
              <w:t>ový roztok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421F6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modelový koncentrát</w:t>
            </w:r>
          </w:p>
        </w:tc>
      </w:tr>
      <w:tr w:rsidR="00682E5B" w:rsidRPr="001C11A4" w14:paraId="003DBCB2" w14:textId="77777777" w:rsidTr="00756846">
        <w:trPr>
          <w:trHeight w:val="195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1D9E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složení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24F39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B73B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g/l</w:t>
            </w:r>
            <w:r w:rsidR="009B5437">
              <w:rPr>
                <w:color w:val="000000"/>
              </w:rPr>
              <w:t xml:space="preserve"> </w:t>
            </w:r>
            <w:r w:rsidRPr="002A7F41">
              <w:rPr>
                <w:color w:val="000000"/>
              </w:rPr>
              <w:t>(H</w:t>
            </w:r>
            <w:r w:rsidRPr="00E0090D">
              <w:rPr>
                <w:color w:val="000000"/>
                <w:vertAlign w:val="subscript"/>
              </w:rPr>
              <w:t>2</w:t>
            </w:r>
            <w:r w:rsidRPr="002A7F41">
              <w:rPr>
                <w:color w:val="000000"/>
              </w:rPr>
              <w:t>O)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5388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g/l</w:t>
            </w:r>
            <w:r w:rsidR="009B5437">
              <w:rPr>
                <w:color w:val="000000"/>
              </w:rPr>
              <w:t xml:space="preserve"> </w:t>
            </w:r>
            <w:r w:rsidRPr="002A7F41">
              <w:rPr>
                <w:color w:val="000000"/>
              </w:rPr>
              <w:t>(H</w:t>
            </w:r>
            <w:r w:rsidRPr="00E0090D">
              <w:rPr>
                <w:color w:val="000000"/>
                <w:vertAlign w:val="subscript"/>
              </w:rPr>
              <w:t>2</w:t>
            </w:r>
            <w:r w:rsidRPr="002A7F41">
              <w:rPr>
                <w:color w:val="000000"/>
              </w:rPr>
              <w:t>O)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D8756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g/l</w:t>
            </w:r>
            <w:r w:rsidR="009B5437">
              <w:rPr>
                <w:color w:val="000000"/>
              </w:rPr>
              <w:t xml:space="preserve"> </w:t>
            </w:r>
            <w:r w:rsidRPr="002A7F41">
              <w:rPr>
                <w:color w:val="000000"/>
              </w:rPr>
              <w:t>(H</w:t>
            </w:r>
            <w:r w:rsidRPr="00E0090D">
              <w:rPr>
                <w:color w:val="000000"/>
                <w:vertAlign w:val="subscript"/>
              </w:rPr>
              <w:t>2</w:t>
            </w:r>
            <w:r w:rsidRPr="002A7F41">
              <w:rPr>
                <w:color w:val="000000"/>
              </w:rPr>
              <w:t>O)</w:t>
            </w:r>
          </w:p>
        </w:tc>
      </w:tr>
      <w:tr w:rsidR="00682E5B" w:rsidRPr="001C11A4" w14:paraId="783FB1BF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CB2F5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H</w:t>
            </w:r>
            <w:r w:rsidRPr="00E0090D">
              <w:rPr>
                <w:color w:val="000000"/>
                <w:vertAlign w:val="subscript"/>
              </w:rPr>
              <w:t>3</w:t>
            </w:r>
            <w:r w:rsidRPr="002A7F41">
              <w:rPr>
                <w:color w:val="000000"/>
              </w:rPr>
              <w:t>BO</w:t>
            </w:r>
            <w:r w:rsidRPr="00E0090D">
              <w:rPr>
                <w:color w:val="000000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EA46FB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33,6</w:t>
            </w: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FB94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1E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56</w:t>
            </w:r>
            <w:r>
              <w:rPr>
                <w:color w:val="000000"/>
              </w:rPr>
              <w:t>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4DAE" w14:textId="77777777" w:rsidR="004D2420" w:rsidRPr="002A7F41" w:rsidRDefault="004D2420" w:rsidP="004D24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269,04</w:t>
            </w:r>
          </w:p>
        </w:tc>
      </w:tr>
      <w:tr w:rsidR="00682E5B" w:rsidRPr="001C11A4" w14:paraId="1BE9B288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ECAA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2A7F41">
              <w:rPr>
                <w:color w:val="000000"/>
              </w:rPr>
              <w:t>NaCl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8E19F0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1,68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E068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0,1</w:t>
            </w: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D5EA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2,8</w:t>
            </w:r>
            <w:r>
              <w:rPr>
                <w:color w:val="000000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4D92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13,45</w:t>
            </w:r>
          </w:p>
        </w:tc>
      </w:tr>
      <w:tr w:rsidR="00682E5B" w:rsidRPr="001C11A4" w14:paraId="638836B7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2D2BC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Na</w:t>
            </w:r>
            <w:r w:rsidRPr="00E0090D">
              <w:rPr>
                <w:color w:val="000000"/>
                <w:vertAlign w:val="subscript"/>
              </w:rPr>
              <w:t>2</w:t>
            </w:r>
            <w:r w:rsidRPr="002A7F41">
              <w:rPr>
                <w:color w:val="000000"/>
              </w:rPr>
              <w:t>CO</w:t>
            </w:r>
            <w:r w:rsidRPr="00E0090D">
              <w:rPr>
                <w:color w:val="000000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0B7381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21,21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E36C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2,12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36B9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35,32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6DE2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169,69</w:t>
            </w:r>
          </w:p>
        </w:tc>
      </w:tr>
      <w:tr w:rsidR="00682E5B" w:rsidRPr="001C11A4" w14:paraId="6A4FC3D0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EC7C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NaNO</w:t>
            </w:r>
            <w:r w:rsidRPr="00E0090D">
              <w:rPr>
                <w:color w:val="000000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28415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12,3</w:t>
            </w:r>
            <w:r>
              <w:rPr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0716A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1,2</w:t>
            </w: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C73F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20,56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B0A0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98,78</w:t>
            </w:r>
          </w:p>
        </w:tc>
      </w:tr>
      <w:tr w:rsidR="00682E5B" w:rsidRPr="001C11A4" w14:paraId="09FF5B10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ECAA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Na</w:t>
            </w:r>
            <w:r w:rsidRPr="00E0090D">
              <w:rPr>
                <w:color w:val="000000"/>
                <w:vertAlign w:val="subscript"/>
              </w:rPr>
              <w:t>2</w:t>
            </w:r>
            <w:r w:rsidRPr="002A7F41">
              <w:rPr>
                <w:color w:val="000000"/>
              </w:rPr>
              <w:t>SO</w:t>
            </w:r>
            <w:r w:rsidRPr="00E0090D">
              <w:rPr>
                <w:color w:val="000000"/>
                <w:vertAlign w:val="subscript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DEF106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2,3</w:t>
            </w: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6705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0,23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FD9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3,84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3EDC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18,45</w:t>
            </w:r>
          </w:p>
        </w:tc>
      </w:tr>
      <w:tr w:rsidR="00682E5B" w:rsidRPr="001C11A4" w14:paraId="40F11116" w14:textId="77777777" w:rsidTr="00756846">
        <w:trPr>
          <w:trHeight w:val="256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1FD3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COONa</w:t>
            </w:r>
            <w:proofErr w:type="spellEnd"/>
            <w:r w:rsidRPr="002A7F41">
              <w:rPr>
                <w:color w:val="000000"/>
              </w:rPr>
              <w:t>)</w:t>
            </w:r>
            <w:r w:rsidRPr="00E0090D">
              <w:rPr>
                <w:color w:val="000000"/>
                <w:vertAlign w:val="subscript"/>
              </w:rPr>
              <w:t>2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B29F2A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2,53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1355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6E22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4,22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0E86A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20,27</w:t>
            </w:r>
          </w:p>
        </w:tc>
      </w:tr>
      <w:tr w:rsidR="00682E5B" w:rsidRPr="001C11A4" w14:paraId="327C194A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4604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NaNO</w:t>
            </w:r>
            <w:r w:rsidRPr="00E0090D">
              <w:rPr>
                <w:color w:val="000000"/>
                <w:vertAlign w:val="subscript"/>
              </w:rPr>
              <w:t>2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6FFD2A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1,42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1BE2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0,14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A8F09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2,37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E0F42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11,39</w:t>
            </w:r>
          </w:p>
        </w:tc>
      </w:tr>
      <w:tr w:rsidR="00682E5B" w:rsidRPr="001C11A4" w14:paraId="72BEEC27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FC34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KNO</w:t>
            </w:r>
            <w:r w:rsidRPr="00E0090D">
              <w:rPr>
                <w:color w:val="000000"/>
                <w:vertAlign w:val="subscript"/>
              </w:rPr>
              <w:t>2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F24C4D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10,4</w:t>
            </w:r>
            <w:r>
              <w:rPr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61803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1,0</w:t>
            </w: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1676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17,41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E91DF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83,64</w:t>
            </w:r>
          </w:p>
        </w:tc>
      </w:tr>
      <w:tr w:rsidR="00682E5B" w:rsidRPr="001C11A4" w14:paraId="66546988" w14:textId="77777777" w:rsidTr="00756846">
        <w:trPr>
          <w:trHeight w:val="233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93B3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2A7F41">
              <w:rPr>
                <w:color w:val="000000"/>
              </w:rPr>
              <w:t>NaOH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0CF37F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14,41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3530" w14:textId="77777777" w:rsidR="00682E5B" w:rsidRPr="005B268E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5B268E">
              <w:rPr>
                <w:color w:val="000000"/>
              </w:rPr>
              <w:t>1,44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5B6A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24</w:t>
            </w:r>
            <w:r>
              <w:rPr>
                <w:color w:val="000000"/>
              </w:rPr>
              <w:t>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6B758" w14:textId="77777777" w:rsidR="00682E5B" w:rsidRPr="002A7F41" w:rsidRDefault="004D2420" w:rsidP="00795C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115,30</w:t>
            </w:r>
          </w:p>
        </w:tc>
      </w:tr>
      <w:tr w:rsidR="00682E5B" w:rsidRPr="001C11A4" w14:paraId="4805F83D" w14:textId="77777777" w:rsidTr="00756846">
        <w:trPr>
          <w:trHeight w:val="245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6179F2" w14:textId="77777777" w:rsidR="00682E5B" w:rsidRPr="002A7F41" w:rsidRDefault="00682E5B" w:rsidP="00795C6C">
            <w:pPr>
              <w:spacing w:after="0" w:line="240" w:lineRule="auto"/>
              <w:jc w:val="both"/>
              <w:rPr>
                <w:color w:val="000000"/>
              </w:rPr>
            </w:pPr>
            <w:r w:rsidRPr="002A7F41">
              <w:rPr>
                <w:color w:val="000000"/>
              </w:rPr>
              <w:t>Celkem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901633" w14:textId="77777777" w:rsidR="00682E5B" w:rsidRPr="002A7F41" w:rsidRDefault="00682E5B" w:rsidP="00795C6C">
            <w:pPr>
              <w:spacing w:after="0" w:line="240" w:lineRule="auto"/>
              <w:jc w:val="center"/>
              <w:rPr>
                <w:color w:val="000000"/>
              </w:rPr>
            </w:pPr>
            <w:r w:rsidRPr="002A7F41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7B081D6" w14:textId="77777777" w:rsidR="00682E5B" w:rsidRPr="002A7F41" w:rsidRDefault="00682E5B" w:rsidP="00795C6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71CA62" w14:textId="77777777" w:rsidR="00682E5B" w:rsidRPr="002A7F41" w:rsidRDefault="00682E5B" w:rsidP="00795C6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A7F41">
              <w:rPr>
                <w:b/>
                <w:bCs/>
                <w:color w:val="000000"/>
              </w:rPr>
              <w:t>166,52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6DCAB3" w14:textId="77777777" w:rsidR="00682E5B" w:rsidRPr="002A7F41" w:rsidRDefault="00682E5B" w:rsidP="00795C6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</w:tbl>
    <w:p w14:paraId="28111361" w14:textId="77777777" w:rsidR="00682E5B" w:rsidRDefault="00682E5B" w:rsidP="00795C6C">
      <w:pPr>
        <w:pStyle w:val="Titulek"/>
        <w:keepNext/>
        <w:jc w:val="both"/>
      </w:pPr>
    </w:p>
    <w:p w14:paraId="32213433" w14:textId="77777777" w:rsidR="00682E5B" w:rsidRDefault="00682E5B" w:rsidP="00795C6C">
      <w:pPr>
        <w:pStyle w:val="Titulek"/>
        <w:keepNext/>
        <w:jc w:val="both"/>
      </w:pPr>
      <w:r>
        <w:t xml:space="preserve">Tabulka </w:t>
      </w:r>
      <w:r w:rsidR="00955364">
        <w:fldChar w:fldCharType="begin"/>
      </w:r>
      <w:r w:rsidR="00955364">
        <w:instrText xml:space="preserve"> SEQ Tabulka \* ARABIC </w:instrText>
      </w:r>
      <w:r w:rsidR="00955364">
        <w:fldChar w:fldCharType="separate"/>
      </w:r>
      <w:r w:rsidR="00C65C41">
        <w:rPr>
          <w:noProof/>
        </w:rPr>
        <w:t>2</w:t>
      </w:r>
      <w:r w:rsidR="00955364">
        <w:rPr>
          <w:noProof/>
        </w:rPr>
        <w:fldChar w:fldCharType="end"/>
      </w:r>
      <w:r>
        <w:t xml:space="preserve">. </w:t>
      </w:r>
      <w:r w:rsidRPr="00C65C41">
        <w:rPr>
          <w:b w:val="0"/>
        </w:rPr>
        <w:t xml:space="preserve">Parametry </w:t>
      </w:r>
      <w:r w:rsidR="00FD15F2" w:rsidRPr="00C65C41">
        <w:rPr>
          <w:b w:val="0"/>
        </w:rPr>
        <w:t>modelového koncentrátu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827"/>
      </w:tblGrid>
      <w:tr w:rsidR="00682E5B" w14:paraId="0E23D2C9" w14:textId="77777777" w:rsidTr="004A5CF1">
        <w:tc>
          <w:tcPr>
            <w:tcW w:w="5382" w:type="dxa"/>
          </w:tcPr>
          <w:p w14:paraId="3EDC58B3" w14:textId="77777777" w:rsidR="00682E5B" w:rsidRDefault="00682E5B" w:rsidP="00795C6C">
            <w:pPr>
              <w:spacing w:after="0" w:line="240" w:lineRule="auto"/>
              <w:jc w:val="both"/>
            </w:pPr>
            <w:r>
              <w:t>Teplota média na vstupu</w:t>
            </w:r>
          </w:p>
        </w:tc>
        <w:tc>
          <w:tcPr>
            <w:tcW w:w="3827" w:type="dxa"/>
          </w:tcPr>
          <w:p w14:paraId="2643B281" w14:textId="77777777" w:rsidR="00682E5B" w:rsidRDefault="00FD15F2" w:rsidP="00795C6C">
            <w:pPr>
              <w:spacing w:after="0" w:line="240" w:lineRule="auto"/>
              <w:jc w:val="both"/>
            </w:pPr>
            <w:r>
              <w:t>15 – 4</w:t>
            </w:r>
            <w:r w:rsidR="00682E5B">
              <w:t>0 ˚C</w:t>
            </w:r>
          </w:p>
        </w:tc>
      </w:tr>
      <w:tr w:rsidR="00682E5B" w14:paraId="25FC5719" w14:textId="77777777" w:rsidTr="004A5CF1">
        <w:tc>
          <w:tcPr>
            <w:tcW w:w="5382" w:type="dxa"/>
          </w:tcPr>
          <w:p w14:paraId="0F5A2D48" w14:textId="77777777" w:rsidR="00682E5B" w:rsidRDefault="00035EE4" w:rsidP="00795C6C">
            <w:pPr>
              <w:spacing w:after="0" w:line="240" w:lineRule="auto"/>
              <w:jc w:val="both"/>
            </w:pPr>
            <w:r>
              <w:t>Hustota (při 15 – 4</w:t>
            </w:r>
            <w:r w:rsidR="00682E5B">
              <w:t>0 ˚C)</w:t>
            </w:r>
          </w:p>
        </w:tc>
        <w:tc>
          <w:tcPr>
            <w:tcW w:w="3827" w:type="dxa"/>
          </w:tcPr>
          <w:p w14:paraId="1187E8D8" w14:textId="77777777" w:rsidR="00682E5B" w:rsidRDefault="00682E5B" w:rsidP="00795C6C">
            <w:pPr>
              <w:spacing w:after="0" w:line="240" w:lineRule="auto"/>
              <w:jc w:val="both"/>
            </w:pPr>
            <w:r>
              <w:t>1000 – 1200 kg/m</w:t>
            </w:r>
            <w:r w:rsidRPr="00795C6C">
              <w:rPr>
                <w:vertAlign w:val="superscript"/>
              </w:rPr>
              <w:t>3</w:t>
            </w:r>
          </w:p>
        </w:tc>
      </w:tr>
      <w:tr w:rsidR="00682E5B" w14:paraId="3782259F" w14:textId="77777777" w:rsidTr="004A5CF1">
        <w:tc>
          <w:tcPr>
            <w:tcW w:w="5382" w:type="dxa"/>
          </w:tcPr>
          <w:p w14:paraId="5CA62F80" w14:textId="77777777" w:rsidR="00682E5B" w:rsidRDefault="00682E5B" w:rsidP="00795C6C">
            <w:pPr>
              <w:spacing w:after="0" w:line="240" w:lineRule="auto"/>
              <w:jc w:val="both"/>
            </w:pPr>
            <w:r>
              <w:t>pH</w:t>
            </w:r>
          </w:p>
        </w:tc>
        <w:tc>
          <w:tcPr>
            <w:tcW w:w="3827" w:type="dxa"/>
          </w:tcPr>
          <w:p w14:paraId="6E791E09" w14:textId="77777777" w:rsidR="00682E5B" w:rsidRDefault="00682E5B" w:rsidP="00795C6C">
            <w:pPr>
              <w:spacing w:after="0" w:line="240" w:lineRule="auto"/>
              <w:jc w:val="both"/>
            </w:pPr>
            <w:r>
              <w:t>6 – 11,5</w:t>
            </w:r>
          </w:p>
        </w:tc>
      </w:tr>
      <w:tr w:rsidR="00682E5B" w14:paraId="14BEBECB" w14:textId="77777777" w:rsidTr="004A5CF1">
        <w:tc>
          <w:tcPr>
            <w:tcW w:w="5382" w:type="dxa"/>
          </w:tcPr>
          <w:p w14:paraId="16EA2366" w14:textId="77777777" w:rsidR="00682E5B" w:rsidRDefault="00682E5B" w:rsidP="00795C6C">
            <w:pPr>
              <w:spacing w:after="0" w:line="240" w:lineRule="auto"/>
              <w:jc w:val="both"/>
            </w:pPr>
            <w:r>
              <w:t>Vodivost</w:t>
            </w:r>
          </w:p>
        </w:tc>
        <w:tc>
          <w:tcPr>
            <w:tcW w:w="3827" w:type="dxa"/>
          </w:tcPr>
          <w:p w14:paraId="2F5CC357" w14:textId="77777777" w:rsidR="00682E5B" w:rsidRDefault="00682E5B" w:rsidP="00795C6C">
            <w:pPr>
              <w:spacing w:after="0" w:line="240" w:lineRule="auto"/>
              <w:jc w:val="both"/>
            </w:pPr>
            <w:r>
              <w:t xml:space="preserve">0 – 110 </w:t>
            </w:r>
            <w:proofErr w:type="spellStart"/>
            <w:r>
              <w:t>mS</w:t>
            </w:r>
            <w:proofErr w:type="spellEnd"/>
            <w:r>
              <w:t>/cm</w:t>
            </w:r>
          </w:p>
        </w:tc>
      </w:tr>
    </w:tbl>
    <w:p w14:paraId="74AA3195" w14:textId="77777777" w:rsidR="00682E5B" w:rsidRDefault="00682E5B" w:rsidP="00795C6C">
      <w:pPr>
        <w:jc w:val="both"/>
      </w:pPr>
    </w:p>
    <w:p w14:paraId="403D180A" w14:textId="77777777" w:rsidR="00682E5B" w:rsidRPr="00363413" w:rsidRDefault="00682E5B" w:rsidP="00795C6C">
      <w:pPr>
        <w:pStyle w:val="Nadpis2"/>
        <w:jc w:val="both"/>
      </w:pPr>
      <w:r w:rsidRPr="00363413">
        <w:t xml:space="preserve"> </w:t>
      </w:r>
      <w:bookmarkStart w:id="0" w:name="_GoBack"/>
      <w:proofErr w:type="spellStart"/>
      <w:r w:rsidRPr="00363413">
        <w:t>Semi</w:t>
      </w:r>
      <w:bookmarkEnd w:id="0"/>
      <w:proofErr w:type="spellEnd"/>
      <w:r>
        <w:t>-</w:t>
      </w:r>
      <w:r w:rsidRPr="00363413">
        <w:t>kap</w:t>
      </w:r>
      <w:r>
        <w:t>a</w:t>
      </w:r>
      <w:r w:rsidRPr="00363413">
        <w:t>lné odpady</w:t>
      </w:r>
    </w:p>
    <w:p w14:paraId="02D01BAB" w14:textId="77777777" w:rsidR="00682E5B" w:rsidRPr="003D0B52" w:rsidRDefault="003D0B52" w:rsidP="00795C6C">
      <w:pPr>
        <w:jc w:val="both"/>
        <w:rPr>
          <w:color w:val="FF0000"/>
        </w:rPr>
      </w:pPr>
      <w:r>
        <w:t>Dalším typem zpracovávaných odpadů budou iontoměniče (</w:t>
      </w:r>
      <w:proofErr w:type="spellStart"/>
      <w:r>
        <w:t>ionexy</w:t>
      </w:r>
      <w:proofErr w:type="spellEnd"/>
      <w:r>
        <w:t xml:space="preserve">). </w:t>
      </w:r>
      <w:r w:rsidR="00682E5B" w:rsidRPr="00AC11EB">
        <w:t xml:space="preserve">Jako modelový </w:t>
      </w:r>
      <w:proofErr w:type="spellStart"/>
      <w:r w:rsidR="00682E5B" w:rsidRPr="00AC11EB">
        <w:t>ionex</w:t>
      </w:r>
      <w:proofErr w:type="spellEnd"/>
      <w:r w:rsidR="00682E5B" w:rsidRPr="00AC11EB">
        <w:t xml:space="preserve"> bude </w:t>
      </w:r>
      <w:r w:rsidR="00682E5B">
        <w:t xml:space="preserve">například </w:t>
      </w:r>
      <w:r w:rsidR="00682E5B" w:rsidRPr="00AC11EB">
        <w:t xml:space="preserve">předem připravována směs 1:1 </w:t>
      </w:r>
      <w:proofErr w:type="spellStart"/>
      <w:r w:rsidR="00682E5B" w:rsidRPr="00AC11EB">
        <w:t>Purolite</w:t>
      </w:r>
      <w:proofErr w:type="spellEnd"/>
      <w:r w:rsidR="00682E5B" w:rsidRPr="00AC11EB">
        <w:t xml:space="preserve"> A400MB OH a </w:t>
      </w:r>
      <w:proofErr w:type="spellStart"/>
      <w:r w:rsidR="00682E5B" w:rsidRPr="00AC11EB">
        <w:t>Purolite</w:t>
      </w:r>
      <w:proofErr w:type="spellEnd"/>
      <w:r w:rsidR="00682E5B" w:rsidRPr="00AC11EB">
        <w:t xml:space="preserve"> C100</w:t>
      </w:r>
      <w:r w:rsidR="00682E5B">
        <w:t xml:space="preserve"> H s různým nasycením (40 – 90%</w:t>
      </w:r>
      <w:r w:rsidR="00682E5B" w:rsidRPr="00AC11EB">
        <w:t xml:space="preserve">), dopovanými prvky </w:t>
      </w:r>
      <w:proofErr w:type="spellStart"/>
      <w:r w:rsidR="00682E5B" w:rsidRPr="00AC11EB">
        <w:t>Fe</w:t>
      </w:r>
      <w:proofErr w:type="spellEnd"/>
      <w:r w:rsidR="00682E5B" w:rsidRPr="00AC11EB">
        <w:t xml:space="preserve">, </w:t>
      </w:r>
      <w:proofErr w:type="spellStart"/>
      <w:r w:rsidR="00682E5B" w:rsidRPr="00AC11EB">
        <w:t>Mn</w:t>
      </w:r>
      <w:proofErr w:type="spellEnd"/>
      <w:r w:rsidR="00682E5B" w:rsidRPr="00AC11EB">
        <w:t xml:space="preserve">, </w:t>
      </w:r>
      <w:proofErr w:type="spellStart"/>
      <w:r w:rsidR="00682E5B" w:rsidRPr="00AC11EB">
        <w:t>Cs</w:t>
      </w:r>
      <w:proofErr w:type="spellEnd"/>
      <w:r w:rsidR="00682E5B" w:rsidRPr="00AC11EB">
        <w:t xml:space="preserve">, Sr. </w:t>
      </w:r>
      <w:r w:rsidR="00682E5B">
        <w:t xml:space="preserve">Informace o iontoměničích jsou </w:t>
      </w:r>
      <w:r w:rsidR="00682E5B" w:rsidRPr="00B47C83">
        <w:t>u</w:t>
      </w:r>
      <w:r>
        <w:t>vedeny v tabulce č. 3 a 4</w:t>
      </w:r>
      <w:r w:rsidR="00682E5B">
        <w:t>.</w:t>
      </w:r>
      <w:r>
        <w:rPr>
          <w:color w:val="FF0000"/>
        </w:rPr>
        <w:t xml:space="preserve"> </w:t>
      </w:r>
      <w:proofErr w:type="spellStart"/>
      <w:r w:rsidR="00682E5B" w:rsidRPr="00013602">
        <w:t>Purolite</w:t>
      </w:r>
      <w:proofErr w:type="spellEnd"/>
      <w:r w:rsidR="00682E5B" w:rsidRPr="00013602">
        <w:t xml:space="preserve"> A400MB</w:t>
      </w:r>
      <w:r>
        <w:t xml:space="preserve"> OH je silně bazický </w:t>
      </w:r>
      <w:proofErr w:type="spellStart"/>
      <w:r>
        <w:t>anex</w:t>
      </w:r>
      <w:proofErr w:type="spellEnd"/>
      <w:r w:rsidR="00682E5B" w:rsidRPr="00013602">
        <w:t xml:space="preserve"> s vysokou užitnou kapacitou, což jsou typické vlastnosti </w:t>
      </w:r>
      <w:proofErr w:type="spellStart"/>
      <w:r w:rsidR="00682E5B" w:rsidRPr="00013602">
        <w:t>ionexu</w:t>
      </w:r>
      <w:proofErr w:type="spellEnd"/>
      <w:r w:rsidR="00682E5B" w:rsidRPr="00013602">
        <w:t xml:space="preserve"> na bázi polyst</w:t>
      </w:r>
      <w:r w:rsidR="00682E5B">
        <w:t>y</w:t>
      </w:r>
      <w:r w:rsidR="00682E5B" w:rsidRPr="00013602">
        <w:t>renového skeletu s kvarterními a</w:t>
      </w:r>
      <w:r w:rsidR="00682E5B">
        <w:t>mo</w:t>
      </w:r>
      <w:r w:rsidR="00682E5B" w:rsidRPr="00013602">
        <w:t>niovými skupinami. Má vynikající kinetiku, umožňující vázání aniontů jak silných tak i slabých kyselin na velmi nízké hodnoty s možností vysokých výměnných kapacit</w:t>
      </w:r>
      <w:r w:rsidR="00682E5B">
        <w:t>.</w:t>
      </w:r>
      <w:r>
        <w:t xml:space="preserve"> </w:t>
      </w:r>
    </w:p>
    <w:p w14:paraId="04C20F0B" w14:textId="77777777" w:rsidR="00682E5B" w:rsidRDefault="00682E5B" w:rsidP="00795C6C">
      <w:pPr>
        <w:pStyle w:val="Titulek"/>
        <w:keepNext/>
      </w:pPr>
      <w:r>
        <w:t xml:space="preserve">Tabulka </w:t>
      </w:r>
      <w:r w:rsidR="00955364">
        <w:fldChar w:fldCharType="begin"/>
      </w:r>
      <w:r w:rsidR="00955364">
        <w:instrText xml:space="preserve"> SEQ Tabulka \* ARABIC </w:instrText>
      </w:r>
      <w:r w:rsidR="00955364">
        <w:fldChar w:fldCharType="separate"/>
      </w:r>
      <w:r w:rsidR="00C65C41">
        <w:rPr>
          <w:noProof/>
        </w:rPr>
        <w:t>3</w:t>
      </w:r>
      <w:r w:rsidR="00955364">
        <w:rPr>
          <w:noProof/>
        </w:rPr>
        <w:fldChar w:fldCharType="end"/>
      </w:r>
      <w:r>
        <w:t xml:space="preserve">. </w:t>
      </w:r>
      <w:r w:rsidRPr="00C65C41">
        <w:rPr>
          <w:b w:val="0"/>
        </w:rPr>
        <w:t xml:space="preserve">Typické fyzikální a provozní vlastnosti </w:t>
      </w:r>
      <w:proofErr w:type="spellStart"/>
      <w:r w:rsidRPr="00C65C41">
        <w:rPr>
          <w:b w:val="0"/>
        </w:rPr>
        <w:t>anexu</w:t>
      </w:r>
      <w:proofErr w:type="spellEnd"/>
      <w:r w:rsidRPr="00C65C41">
        <w:rPr>
          <w:b w:val="0"/>
        </w:rPr>
        <w:t xml:space="preserve"> </w:t>
      </w:r>
      <w:proofErr w:type="spellStart"/>
      <w:r w:rsidRPr="00C65C41">
        <w:rPr>
          <w:b w:val="0"/>
        </w:rPr>
        <w:t>Purolite</w:t>
      </w:r>
      <w:proofErr w:type="spellEnd"/>
      <w:r w:rsidRPr="00C65C41">
        <w:rPr>
          <w:b w:val="0"/>
        </w:rPr>
        <w:t xml:space="preserve"> A400MB OH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4602"/>
      </w:tblGrid>
      <w:tr w:rsidR="00682E5B" w14:paraId="6FBEC7FC" w14:textId="77777777" w:rsidTr="004A5CF1">
        <w:tc>
          <w:tcPr>
            <w:tcW w:w="4601" w:type="dxa"/>
          </w:tcPr>
          <w:p w14:paraId="23C7DB03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Polymerní skelet</w:t>
            </w:r>
          </w:p>
        </w:tc>
        <w:tc>
          <w:tcPr>
            <w:tcW w:w="4602" w:type="dxa"/>
          </w:tcPr>
          <w:p w14:paraId="4529CD89" w14:textId="77777777" w:rsidR="00682E5B" w:rsidRPr="00D06E60" w:rsidRDefault="00682E5B" w:rsidP="000F4824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Polyst</w:t>
            </w:r>
            <w:r>
              <w:rPr>
                <w:color w:val="000000"/>
                <w:sz w:val="20"/>
              </w:rPr>
              <w:t>y</w:t>
            </w:r>
            <w:r w:rsidRPr="00D06E60">
              <w:rPr>
                <w:color w:val="000000"/>
                <w:sz w:val="20"/>
              </w:rPr>
              <w:t xml:space="preserve">ren zesítěný </w:t>
            </w:r>
            <w:proofErr w:type="spellStart"/>
            <w:r w:rsidRPr="00D06E60"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>i</w:t>
            </w:r>
            <w:r w:rsidRPr="00D06E60">
              <w:rPr>
                <w:color w:val="000000"/>
                <w:sz w:val="20"/>
              </w:rPr>
              <w:t>vinylbenzenem</w:t>
            </w:r>
            <w:proofErr w:type="spellEnd"/>
          </w:p>
        </w:tc>
      </w:tr>
      <w:tr w:rsidR="00682E5B" w14:paraId="61D4BB34" w14:textId="77777777" w:rsidTr="004A5CF1">
        <w:tc>
          <w:tcPr>
            <w:tcW w:w="4601" w:type="dxa"/>
          </w:tcPr>
          <w:p w14:paraId="050B1486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Funkční skupina</w:t>
            </w:r>
          </w:p>
        </w:tc>
        <w:tc>
          <w:tcPr>
            <w:tcW w:w="4602" w:type="dxa"/>
          </w:tcPr>
          <w:p w14:paraId="151F0377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R – N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>(CH</w:t>
            </w:r>
            <w:r w:rsidRPr="00D06E60">
              <w:rPr>
                <w:color w:val="000000"/>
                <w:sz w:val="20"/>
                <w:vertAlign w:val="subscript"/>
              </w:rPr>
              <w:t>3</w:t>
            </w:r>
            <w:r w:rsidRPr="00D06E60">
              <w:rPr>
                <w:color w:val="000000"/>
                <w:sz w:val="20"/>
              </w:rPr>
              <w:t>)</w:t>
            </w:r>
            <w:r w:rsidRPr="00D06E60">
              <w:rPr>
                <w:color w:val="000000"/>
                <w:sz w:val="20"/>
                <w:vertAlign w:val="subscript"/>
              </w:rPr>
              <w:t>3</w:t>
            </w:r>
          </w:p>
        </w:tc>
      </w:tr>
      <w:tr w:rsidR="00682E5B" w14:paraId="34AFBC8D" w14:textId="77777777" w:rsidTr="004A5CF1">
        <w:tc>
          <w:tcPr>
            <w:tcW w:w="4601" w:type="dxa"/>
          </w:tcPr>
          <w:p w14:paraId="391EA4F7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Fyzikální forma, vzhled</w:t>
            </w:r>
          </w:p>
        </w:tc>
        <w:tc>
          <w:tcPr>
            <w:tcW w:w="4602" w:type="dxa"/>
          </w:tcPr>
          <w:p w14:paraId="67AB60DC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proofErr w:type="spellStart"/>
            <w:r w:rsidRPr="00D06E60">
              <w:rPr>
                <w:color w:val="000000"/>
                <w:sz w:val="20"/>
              </w:rPr>
              <w:t>Číre</w:t>
            </w:r>
            <w:proofErr w:type="spellEnd"/>
            <w:r w:rsidRPr="00D06E60">
              <w:rPr>
                <w:color w:val="000000"/>
                <w:sz w:val="20"/>
              </w:rPr>
              <w:t xml:space="preserve"> zlaté kuličky</w:t>
            </w:r>
          </w:p>
        </w:tc>
      </w:tr>
      <w:tr w:rsidR="00682E5B" w14:paraId="2322299C" w14:textId="77777777" w:rsidTr="004A5CF1">
        <w:tc>
          <w:tcPr>
            <w:tcW w:w="4601" w:type="dxa"/>
          </w:tcPr>
          <w:p w14:paraId="54E144E3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Zrnění</w:t>
            </w:r>
          </w:p>
        </w:tc>
        <w:tc>
          <w:tcPr>
            <w:tcW w:w="4602" w:type="dxa"/>
          </w:tcPr>
          <w:p w14:paraId="611CA63C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 0,3 – 1,2 mm</w:t>
            </w:r>
          </w:p>
        </w:tc>
      </w:tr>
      <w:tr w:rsidR="00682E5B" w14:paraId="0B64EAAF" w14:textId="77777777" w:rsidTr="004A5CF1">
        <w:tc>
          <w:tcPr>
            <w:tcW w:w="4601" w:type="dxa"/>
          </w:tcPr>
          <w:p w14:paraId="70A30908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Rozsah zrnění</w:t>
            </w:r>
          </w:p>
        </w:tc>
        <w:tc>
          <w:tcPr>
            <w:tcW w:w="4602" w:type="dxa"/>
          </w:tcPr>
          <w:p w14:paraId="399E5D0F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Max 1% &lt;0,3mm</w:t>
            </w:r>
            <w:r w:rsidRPr="00D06E60">
              <w:rPr>
                <w:color w:val="000000"/>
                <w:sz w:val="20"/>
                <w:lang w:val="en-US"/>
              </w:rPr>
              <w:t>; max. 1% &gt;1,2 mm</w:t>
            </w:r>
          </w:p>
        </w:tc>
      </w:tr>
      <w:tr w:rsidR="00682E5B" w14:paraId="4C508DC1" w14:textId="77777777" w:rsidTr="004A5CF1">
        <w:tc>
          <w:tcPr>
            <w:tcW w:w="4601" w:type="dxa"/>
          </w:tcPr>
          <w:p w14:paraId="398BF412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Minimální konverze do OH- formy</w:t>
            </w:r>
          </w:p>
        </w:tc>
        <w:tc>
          <w:tcPr>
            <w:tcW w:w="4602" w:type="dxa"/>
          </w:tcPr>
          <w:p w14:paraId="491F2EBB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90%</w:t>
            </w:r>
          </w:p>
        </w:tc>
      </w:tr>
      <w:tr w:rsidR="00682E5B" w14:paraId="220F52C6" w14:textId="77777777" w:rsidTr="004A5CF1">
        <w:tc>
          <w:tcPr>
            <w:tcW w:w="4601" w:type="dxa"/>
          </w:tcPr>
          <w:p w14:paraId="495B0C70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Dodaná iontová forma </w:t>
            </w:r>
          </w:p>
        </w:tc>
        <w:tc>
          <w:tcPr>
            <w:tcW w:w="4602" w:type="dxa"/>
          </w:tcPr>
          <w:p w14:paraId="44F91109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OH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</w:p>
        </w:tc>
      </w:tr>
      <w:tr w:rsidR="00682E5B" w14:paraId="3F94380E" w14:textId="77777777" w:rsidTr="004A5CF1">
        <w:tc>
          <w:tcPr>
            <w:tcW w:w="4601" w:type="dxa"/>
          </w:tcPr>
          <w:p w14:paraId="40E73ADD" w14:textId="77777777" w:rsidR="00682E5B" w:rsidRPr="00D06E60" w:rsidRDefault="00682E5B" w:rsidP="000F4824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Obsah vody C</w:t>
            </w:r>
            <w:r>
              <w:rPr>
                <w:color w:val="000000"/>
                <w:sz w:val="20"/>
              </w:rPr>
              <w:t>l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  <w:r w:rsidRPr="00D06E60">
              <w:rPr>
                <w:color w:val="000000"/>
                <w:sz w:val="20"/>
              </w:rPr>
              <w:t xml:space="preserve"> forma</w:t>
            </w:r>
          </w:p>
        </w:tc>
        <w:tc>
          <w:tcPr>
            <w:tcW w:w="4602" w:type="dxa"/>
          </w:tcPr>
          <w:p w14:paraId="01CA0E53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48 -54%</w:t>
            </w:r>
          </w:p>
        </w:tc>
      </w:tr>
      <w:tr w:rsidR="00682E5B" w14:paraId="2AFB07C9" w14:textId="77777777" w:rsidTr="004A5CF1">
        <w:tc>
          <w:tcPr>
            <w:tcW w:w="4601" w:type="dxa"/>
          </w:tcPr>
          <w:p w14:paraId="343749E1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Vratné zmenšení objemu</w:t>
            </w:r>
          </w:p>
        </w:tc>
        <w:tc>
          <w:tcPr>
            <w:tcW w:w="4602" w:type="dxa"/>
          </w:tcPr>
          <w:p w14:paraId="481A1095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Max. 20%</w:t>
            </w:r>
          </w:p>
        </w:tc>
      </w:tr>
      <w:tr w:rsidR="00682E5B" w14:paraId="66F2FC01" w14:textId="77777777" w:rsidTr="004A5CF1">
        <w:tc>
          <w:tcPr>
            <w:tcW w:w="4601" w:type="dxa"/>
          </w:tcPr>
          <w:p w14:paraId="7B6673D2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OH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  <w:r w:rsidRPr="00D06E60">
              <w:rPr>
                <w:color w:val="000000"/>
                <w:sz w:val="20"/>
              </w:rPr>
              <w:t xml:space="preserve"> - SO</w:t>
            </w:r>
            <w:r w:rsidRPr="00D06E60">
              <w:rPr>
                <w:color w:val="000000"/>
                <w:sz w:val="20"/>
                <w:vertAlign w:val="subscript"/>
              </w:rPr>
              <w:t>4</w:t>
            </w:r>
            <w:r w:rsidRPr="00D06E60">
              <w:rPr>
                <w:color w:val="000000"/>
                <w:sz w:val="20"/>
                <w:vertAlign w:val="superscript"/>
              </w:rPr>
              <w:t xml:space="preserve">- </w:t>
            </w:r>
            <w:r w:rsidRPr="00D06E60">
              <w:rPr>
                <w:color w:val="000000"/>
                <w:sz w:val="20"/>
              </w:rPr>
              <w:t>/ Cl</w:t>
            </w:r>
            <w:r w:rsidRPr="00D06E60">
              <w:rPr>
                <w:color w:val="000000"/>
                <w:sz w:val="20"/>
                <w:vertAlign w:val="superscript"/>
              </w:rPr>
              <w:t xml:space="preserve">- </w:t>
            </w:r>
          </w:p>
        </w:tc>
        <w:tc>
          <w:tcPr>
            <w:tcW w:w="4602" w:type="dxa"/>
          </w:tcPr>
          <w:p w14:paraId="24763C45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</w:p>
        </w:tc>
      </w:tr>
      <w:tr w:rsidR="00682E5B" w14:paraId="5A25A9B2" w14:textId="77777777" w:rsidTr="004A5CF1">
        <w:tc>
          <w:tcPr>
            <w:tcW w:w="4601" w:type="dxa"/>
          </w:tcPr>
          <w:p w14:paraId="12BAA382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Rozsah pH. Stabilita </w:t>
            </w:r>
          </w:p>
        </w:tc>
        <w:tc>
          <w:tcPr>
            <w:tcW w:w="4602" w:type="dxa"/>
          </w:tcPr>
          <w:p w14:paraId="1D1F7058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0 – 14</w:t>
            </w:r>
          </w:p>
        </w:tc>
      </w:tr>
      <w:tr w:rsidR="00682E5B" w14:paraId="26993933" w14:textId="77777777" w:rsidTr="004A5CF1">
        <w:tc>
          <w:tcPr>
            <w:tcW w:w="4601" w:type="dxa"/>
          </w:tcPr>
          <w:p w14:paraId="71EC07AC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Max. provozní teplota OH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  <w:r w:rsidRPr="00D06E60">
              <w:rPr>
                <w:color w:val="000000"/>
                <w:sz w:val="20"/>
              </w:rPr>
              <w:t xml:space="preserve"> forma</w:t>
            </w:r>
          </w:p>
        </w:tc>
        <w:tc>
          <w:tcPr>
            <w:tcW w:w="4602" w:type="dxa"/>
          </w:tcPr>
          <w:p w14:paraId="06EF54EA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60°C</w:t>
            </w:r>
          </w:p>
        </w:tc>
      </w:tr>
      <w:tr w:rsidR="00682E5B" w14:paraId="45309CA8" w14:textId="77777777" w:rsidTr="004A5CF1">
        <w:tc>
          <w:tcPr>
            <w:tcW w:w="4601" w:type="dxa"/>
          </w:tcPr>
          <w:p w14:paraId="5F34291A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Sypká hmotnost</w:t>
            </w:r>
          </w:p>
        </w:tc>
        <w:tc>
          <w:tcPr>
            <w:tcW w:w="4602" w:type="dxa"/>
          </w:tcPr>
          <w:p w14:paraId="6F19A089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665 – 695 g/l</w:t>
            </w:r>
          </w:p>
        </w:tc>
      </w:tr>
      <w:tr w:rsidR="00682E5B" w14:paraId="5F92BCFE" w14:textId="77777777" w:rsidTr="004A5CF1">
        <w:tc>
          <w:tcPr>
            <w:tcW w:w="4601" w:type="dxa"/>
          </w:tcPr>
          <w:p w14:paraId="74F6C0A7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Měrná hmotnost</w:t>
            </w:r>
          </w:p>
        </w:tc>
        <w:tc>
          <w:tcPr>
            <w:tcW w:w="4602" w:type="dxa"/>
          </w:tcPr>
          <w:p w14:paraId="3949CEE3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1,08 kg/m</w:t>
            </w:r>
            <w:r w:rsidRPr="00D06E60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682E5B" w14:paraId="13C608A6" w14:textId="77777777" w:rsidTr="004A5CF1">
        <w:tc>
          <w:tcPr>
            <w:tcW w:w="4601" w:type="dxa"/>
          </w:tcPr>
          <w:p w14:paraId="1B695702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Celková kapacita Cl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  <w:r w:rsidRPr="00D06E60">
              <w:rPr>
                <w:color w:val="000000"/>
                <w:sz w:val="20"/>
              </w:rPr>
              <w:t xml:space="preserve"> objemová forma</w:t>
            </w:r>
          </w:p>
        </w:tc>
        <w:tc>
          <w:tcPr>
            <w:tcW w:w="4602" w:type="dxa"/>
          </w:tcPr>
          <w:p w14:paraId="333BAF6F" w14:textId="77777777" w:rsidR="00682E5B" w:rsidRPr="00D06E60" w:rsidRDefault="00682E5B" w:rsidP="00795C6C">
            <w:pPr>
              <w:spacing w:after="0"/>
              <w:jc w:val="both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Mim. 1,3 mol/l</w:t>
            </w:r>
          </w:p>
        </w:tc>
      </w:tr>
    </w:tbl>
    <w:p w14:paraId="2F467B2F" w14:textId="77777777" w:rsidR="00682E5B" w:rsidRDefault="00682E5B" w:rsidP="00795C6C">
      <w:pPr>
        <w:jc w:val="both"/>
      </w:pPr>
      <w:r w:rsidRPr="00363413">
        <w:lastRenderedPageBreak/>
        <w:t xml:space="preserve"> </w:t>
      </w:r>
      <w:proofErr w:type="spellStart"/>
      <w:r w:rsidRPr="00795C6C">
        <w:t>Purolite</w:t>
      </w:r>
      <w:proofErr w:type="spellEnd"/>
      <w:r w:rsidRPr="00795C6C">
        <w:t xml:space="preserve"> C100 H je gelový silně kyselý sulfonovaný katex. Je mimořádně fyzikálně i chemicky odolný</w:t>
      </w:r>
      <w:r>
        <w:t>.</w:t>
      </w:r>
    </w:p>
    <w:p w14:paraId="3DF07A5D" w14:textId="77777777" w:rsidR="00682E5B" w:rsidRDefault="00682E5B" w:rsidP="00795C6C">
      <w:pPr>
        <w:pStyle w:val="Titulek"/>
        <w:keepNext/>
      </w:pPr>
      <w:r>
        <w:t xml:space="preserve">Tabulka </w:t>
      </w:r>
      <w:r w:rsidR="00955364">
        <w:fldChar w:fldCharType="begin"/>
      </w:r>
      <w:r w:rsidR="00955364">
        <w:instrText xml:space="preserve"> SEQ Tabulka \* ARABIC </w:instrText>
      </w:r>
      <w:r w:rsidR="00955364">
        <w:fldChar w:fldCharType="separate"/>
      </w:r>
      <w:r w:rsidR="00C65C41">
        <w:rPr>
          <w:noProof/>
        </w:rPr>
        <w:t>4</w:t>
      </w:r>
      <w:r w:rsidR="00955364">
        <w:rPr>
          <w:noProof/>
        </w:rPr>
        <w:fldChar w:fldCharType="end"/>
      </w:r>
      <w:r>
        <w:t xml:space="preserve">. </w:t>
      </w:r>
      <w:r w:rsidRPr="00C65C41">
        <w:rPr>
          <w:b w:val="0"/>
        </w:rPr>
        <w:t xml:space="preserve">Typické fyzikální a provozní vlastnosti katexu </w:t>
      </w:r>
      <w:proofErr w:type="spellStart"/>
      <w:r w:rsidRPr="00C65C41">
        <w:rPr>
          <w:b w:val="0"/>
        </w:rPr>
        <w:t>Purolite</w:t>
      </w:r>
      <w:proofErr w:type="spellEnd"/>
      <w:r w:rsidRPr="00C65C41">
        <w:rPr>
          <w:b w:val="0"/>
        </w:rPr>
        <w:t xml:space="preserve"> C100 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4602"/>
      </w:tblGrid>
      <w:tr w:rsidR="00682E5B" w14:paraId="7CA61A06" w14:textId="77777777" w:rsidTr="004A5CF1">
        <w:tc>
          <w:tcPr>
            <w:tcW w:w="4601" w:type="dxa"/>
          </w:tcPr>
          <w:p w14:paraId="4D9315C7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Polymerní skelet</w:t>
            </w:r>
          </w:p>
        </w:tc>
        <w:tc>
          <w:tcPr>
            <w:tcW w:w="4602" w:type="dxa"/>
          </w:tcPr>
          <w:p w14:paraId="1EB764E3" w14:textId="77777777" w:rsidR="00682E5B" w:rsidRPr="00D06E60" w:rsidRDefault="00682E5B" w:rsidP="000F4824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Zesítěný, gelový, polyst</w:t>
            </w:r>
            <w:r>
              <w:rPr>
                <w:color w:val="000000"/>
                <w:sz w:val="20"/>
              </w:rPr>
              <w:t>y</w:t>
            </w:r>
            <w:r w:rsidRPr="00D06E60">
              <w:rPr>
                <w:color w:val="000000"/>
                <w:sz w:val="20"/>
              </w:rPr>
              <w:t>renový</w:t>
            </w:r>
          </w:p>
        </w:tc>
      </w:tr>
      <w:tr w:rsidR="00682E5B" w14:paraId="0E73652C" w14:textId="77777777" w:rsidTr="004A5CF1">
        <w:tc>
          <w:tcPr>
            <w:tcW w:w="4601" w:type="dxa"/>
          </w:tcPr>
          <w:p w14:paraId="0B4155EA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Funkční skupina</w:t>
            </w:r>
          </w:p>
        </w:tc>
        <w:tc>
          <w:tcPr>
            <w:tcW w:w="4602" w:type="dxa"/>
          </w:tcPr>
          <w:p w14:paraId="64899DB0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R – SO</w:t>
            </w:r>
            <w:r w:rsidRPr="00D06E60">
              <w:rPr>
                <w:color w:val="000000"/>
                <w:sz w:val="20"/>
                <w:vertAlign w:val="subscript"/>
              </w:rPr>
              <w:t>3</w:t>
            </w:r>
            <w:r w:rsidRPr="00D06E60">
              <w:rPr>
                <w:color w:val="000000"/>
                <w:sz w:val="20"/>
                <w:vertAlign w:val="superscript"/>
              </w:rPr>
              <w:t>-</w:t>
            </w:r>
          </w:p>
        </w:tc>
      </w:tr>
      <w:tr w:rsidR="00682E5B" w14:paraId="7271CE8E" w14:textId="77777777" w:rsidTr="004A5CF1">
        <w:tc>
          <w:tcPr>
            <w:tcW w:w="4601" w:type="dxa"/>
          </w:tcPr>
          <w:p w14:paraId="7BFD029A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Fyzikální forma, vzhled</w:t>
            </w:r>
          </w:p>
        </w:tc>
        <w:tc>
          <w:tcPr>
            <w:tcW w:w="4602" w:type="dxa"/>
          </w:tcPr>
          <w:p w14:paraId="3459C1EF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Tmavě jantarové kuličky</w:t>
            </w:r>
          </w:p>
        </w:tc>
      </w:tr>
      <w:tr w:rsidR="00682E5B" w14:paraId="2EF38451" w14:textId="77777777" w:rsidTr="004A5CF1">
        <w:tc>
          <w:tcPr>
            <w:tcW w:w="4601" w:type="dxa"/>
          </w:tcPr>
          <w:p w14:paraId="130E0A89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Dodávaná iontová forma </w:t>
            </w:r>
          </w:p>
        </w:tc>
        <w:tc>
          <w:tcPr>
            <w:tcW w:w="4602" w:type="dxa"/>
          </w:tcPr>
          <w:p w14:paraId="1CB6E172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H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>(C-100H) nebo Na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(C-100)</w:t>
            </w:r>
          </w:p>
        </w:tc>
      </w:tr>
      <w:tr w:rsidR="00682E5B" w14:paraId="473264CC" w14:textId="77777777" w:rsidTr="004A5CF1">
        <w:tc>
          <w:tcPr>
            <w:tcW w:w="4601" w:type="dxa"/>
          </w:tcPr>
          <w:p w14:paraId="4F27F037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Zrnění</w:t>
            </w:r>
          </w:p>
        </w:tc>
        <w:tc>
          <w:tcPr>
            <w:tcW w:w="4602" w:type="dxa"/>
          </w:tcPr>
          <w:p w14:paraId="4A37512F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Vlhký 0,3 – 1,2 mm</w:t>
            </w:r>
          </w:p>
        </w:tc>
      </w:tr>
      <w:tr w:rsidR="00682E5B" w14:paraId="45249858" w14:textId="77777777" w:rsidTr="004A5CF1">
        <w:tc>
          <w:tcPr>
            <w:tcW w:w="4601" w:type="dxa"/>
          </w:tcPr>
          <w:p w14:paraId="7351AF16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Rozsah zrnění </w:t>
            </w:r>
          </w:p>
        </w:tc>
        <w:tc>
          <w:tcPr>
            <w:tcW w:w="4602" w:type="dxa"/>
          </w:tcPr>
          <w:p w14:paraId="1FB6DC0D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+ 1,2 mm &lt;5%</w:t>
            </w:r>
            <w:r w:rsidRPr="00D06E60">
              <w:rPr>
                <w:color w:val="000000"/>
                <w:sz w:val="20"/>
                <w:lang w:val="en-US"/>
              </w:rPr>
              <w:t>; -0.3 mm &lt;1</w:t>
            </w:r>
            <w:r w:rsidRPr="00D06E60">
              <w:rPr>
                <w:color w:val="000000"/>
                <w:sz w:val="20"/>
              </w:rPr>
              <w:t>%</w:t>
            </w:r>
          </w:p>
        </w:tc>
      </w:tr>
      <w:tr w:rsidR="00682E5B" w14:paraId="34969F39" w14:textId="77777777" w:rsidTr="004A5CF1">
        <w:tc>
          <w:tcPr>
            <w:tcW w:w="4601" w:type="dxa"/>
          </w:tcPr>
          <w:p w14:paraId="27F53599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Obsah vody H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forma</w:t>
            </w:r>
          </w:p>
        </w:tc>
        <w:tc>
          <w:tcPr>
            <w:tcW w:w="4602" w:type="dxa"/>
          </w:tcPr>
          <w:p w14:paraId="0515E8F5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51 – 55%</w:t>
            </w:r>
          </w:p>
        </w:tc>
      </w:tr>
      <w:tr w:rsidR="00682E5B" w14:paraId="28534BE5" w14:textId="77777777" w:rsidTr="004A5CF1">
        <w:tc>
          <w:tcPr>
            <w:tcW w:w="4601" w:type="dxa"/>
          </w:tcPr>
          <w:p w14:paraId="11672B98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Bobtnání z Na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do H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formy</w:t>
            </w:r>
          </w:p>
        </w:tc>
        <w:tc>
          <w:tcPr>
            <w:tcW w:w="4602" w:type="dxa"/>
          </w:tcPr>
          <w:p w14:paraId="3E00308C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Max. 5%</w:t>
            </w:r>
          </w:p>
        </w:tc>
      </w:tr>
      <w:tr w:rsidR="00682E5B" w14:paraId="6DA07E8F" w14:textId="77777777" w:rsidTr="004A5CF1">
        <w:tc>
          <w:tcPr>
            <w:tcW w:w="4601" w:type="dxa"/>
          </w:tcPr>
          <w:p w14:paraId="1E934C49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Měrná hmotnost vlhká H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forma</w:t>
            </w:r>
          </w:p>
        </w:tc>
        <w:tc>
          <w:tcPr>
            <w:tcW w:w="4602" w:type="dxa"/>
          </w:tcPr>
          <w:p w14:paraId="13E259EC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120 g/m</w:t>
            </w:r>
            <w:r w:rsidRPr="00D06E60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682E5B" w14:paraId="40901C6D" w14:textId="77777777" w:rsidTr="004A5CF1">
        <w:tc>
          <w:tcPr>
            <w:tcW w:w="4601" w:type="dxa"/>
          </w:tcPr>
          <w:p w14:paraId="41242D42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Rozsah pH</w:t>
            </w:r>
          </w:p>
        </w:tc>
        <w:tc>
          <w:tcPr>
            <w:tcW w:w="4602" w:type="dxa"/>
          </w:tcPr>
          <w:p w14:paraId="23E919D1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Bez omezení</w:t>
            </w:r>
          </w:p>
        </w:tc>
      </w:tr>
      <w:tr w:rsidR="00682E5B" w14:paraId="1D8FAD17" w14:textId="77777777" w:rsidTr="004A5CF1">
        <w:tc>
          <w:tcPr>
            <w:tcW w:w="4601" w:type="dxa"/>
          </w:tcPr>
          <w:p w14:paraId="739F4F98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Počet celistvých kuliček</w:t>
            </w:r>
          </w:p>
        </w:tc>
        <w:tc>
          <w:tcPr>
            <w:tcW w:w="4602" w:type="dxa"/>
          </w:tcPr>
          <w:p w14:paraId="41BD7DCB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Min. 90%</w:t>
            </w:r>
          </w:p>
        </w:tc>
      </w:tr>
      <w:tr w:rsidR="00682E5B" w14:paraId="560C9079" w14:textId="77777777" w:rsidTr="004A5CF1">
        <w:tc>
          <w:tcPr>
            <w:tcW w:w="4601" w:type="dxa"/>
          </w:tcPr>
          <w:p w14:paraId="2BF004C1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Sypká hmotnost H</w:t>
            </w:r>
            <w:r w:rsidRPr="00D06E60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forma</w:t>
            </w:r>
          </w:p>
        </w:tc>
        <w:tc>
          <w:tcPr>
            <w:tcW w:w="4602" w:type="dxa"/>
          </w:tcPr>
          <w:p w14:paraId="31F318D6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760 – 790 g/l</w:t>
            </w:r>
          </w:p>
        </w:tc>
      </w:tr>
      <w:tr w:rsidR="00682E5B" w14:paraId="578D83BE" w14:textId="77777777" w:rsidTr="004A5CF1">
        <w:tc>
          <w:tcPr>
            <w:tcW w:w="9203" w:type="dxa"/>
            <w:gridSpan w:val="2"/>
          </w:tcPr>
          <w:p w14:paraId="3B0F5DC8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 xml:space="preserve">Celková kapacita </w:t>
            </w:r>
          </w:p>
        </w:tc>
      </w:tr>
      <w:tr w:rsidR="00682E5B" w14:paraId="359A2CCE" w14:textId="77777777" w:rsidTr="004A5CF1">
        <w:tc>
          <w:tcPr>
            <w:tcW w:w="4601" w:type="dxa"/>
          </w:tcPr>
          <w:p w14:paraId="6B03F1CD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H</w:t>
            </w:r>
            <w:r w:rsidRPr="00795C6C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forma - objemová za vlhka</w:t>
            </w:r>
          </w:p>
        </w:tc>
        <w:tc>
          <w:tcPr>
            <w:tcW w:w="4602" w:type="dxa"/>
          </w:tcPr>
          <w:p w14:paraId="11604740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Min. 1,8 mol/l</w:t>
            </w:r>
          </w:p>
        </w:tc>
      </w:tr>
      <w:tr w:rsidR="00682E5B" w14:paraId="5B4776C2" w14:textId="77777777" w:rsidTr="004A5CF1">
        <w:tc>
          <w:tcPr>
            <w:tcW w:w="4601" w:type="dxa"/>
          </w:tcPr>
          <w:p w14:paraId="76B5AA68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H</w:t>
            </w:r>
            <w:r w:rsidRPr="00795C6C">
              <w:rPr>
                <w:color w:val="000000"/>
                <w:sz w:val="20"/>
                <w:vertAlign w:val="superscript"/>
              </w:rPr>
              <w:t>+</w:t>
            </w:r>
            <w:r w:rsidRPr="00D06E60">
              <w:rPr>
                <w:color w:val="000000"/>
                <w:sz w:val="20"/>
              </w:rPr>
              <w:t xml:space="preserve"> forma – objemová za sucha</w:t>
            </w:r>
          </w:p>
        </w:tc>
        <w:tc>
          <w:tcPr>
            <w:tcW w:w="4602" w:type="dxa"/>
          </w:tcPr>
          <w:p w14:paraId="3257543D" w14:textId="77777777" w:rsidR="00682E5B" w:rsidRPr="00D06E60" w:rsidRDefault="00682E5B" w:rsidP="00795C6C">
            <w:pPr>
              <w:spacing w:after="0"/>
              <w:rPr>
                <w:color w:val="000000"/>
                <w:sz w:val="20"/>
              </w:rPr>
            </w:pPr>
            <w:r w:rsidRPr="00D06E60">
              <w:rPr>
                <w:color w:val="000000"/>
                <w:sz w:val="20"/>
              </w:rPr>
              <w:t>Min. 4,8 mol/kg</w:t>
            </w:r>
          </w:p>
        </w:tc>
      </w:tr>
    </w:tbl>
    <w:p w14:paraId="5FA3DF12" w14:textId="77777777" w:rsidR="003D0B52" w:rsidRDefault="003D0B52" w:rsidP="003D0B52"/>
    <w:p w14:paraId="2CB19347" w14:textId="77777777" w:rsidR="003D0B52" w:rsidRPr="003D0B52" w:rsidRDefault="003D0B52" w:rsidP="003D0B52">
      <w:pPr>
        <w:jc w:val="both"/>
      </w:pPr>
      <w:r>
        <w:t xml:space="preserve">Před vstupem do </w:t>
      </w:r>
      <w:proofErr w:type="spellStart"/>
      <w:r>
        <w:t>solidifikačního</w:t>
      </w:r>
      <w:proofErr w:type="spellEnd"/>
      <w:r>
        <w:t xml:space="preserve"> zařízení budou </w:t>
      </w:r>
      <w:proofErr w:type="spellStart"/>
      <w:r>
        <w:t>ionexy</w:t>
      </w:r>
      <w:proofErr w:type="spellEnd"/>
      <w:r>
        <w:t xml:space="preserve"> upraveny v sušárně na obsah vlhkosti do hm. 5%.</w:t>
      </w:r>
    </w:p>
    <w:p w14:paraId="336BC730" w14:textId="77777777" w:rsidR="00782399" w:rsidRPr="00782399" w:rsidRDefault="00782399" w:rsidP="00782399">
      <w:pPr>
        <w:pStyle w:val="Nadpis1"/>
      </w:pPr>
      <w:r>
        <w:t>Studované koncepty</w:t>
      </w:r>
    </w:p>
    <w:p w14:paraId="48C53F59" w14:textId="77777777" w:rsidR="005E0920" w:rsidRDefault="005440F3" w:rsidP="00782399">
      <w:pPr>
        <w:pStyle w:val="Nadpis2"/>
      </w:pPr>
      <w:r>
        <w:t>F</w:t>
      </w:r>
      <w:r w:rsidR="005E0920">
        <w:t>ixace odpadů v </w:t>
      </w:r>
      <w:proofErr w:type="spellStart"/>
      <w:r w:rsidR="005E0920">
        <w:t>geopolymerní</w:t>
      </w:r>
      <w:proofErr w:type="spellEnd"/>
      <w:r w:rsidR="005E0920">
        <w:t xml:space="preserve"> matrici</w:t>
      </w:r>
    </w:p>
    <w:p w14:paraId="521C1B0A" w14:textId="77777777" w:rsidR="00664C2A" w:rsidRDefault="005E0920" w:rsidP="00664C2A">
      <w:pPr>
        <w:spacing w:line="240" w:lineRule="auto"/>
        <w:jc w:val="both"/>
      </w:pPr>
      <w:r>
        <w:t>Homogenizační systém pro fixaci odpadů v </w:t>
      </w:r>
      <w:proofErr w:type="spellStart"/>
      <w:r>
        <w:t>geopolymerní</w:t>
      </w:r>
      <w:proofErr w:type="spellEnd"/>
      <w:r>
        <w:t xml:space="preserve"> matrici je jedním ze dvou systémů koncepčně vybraných pro imobilizaci kapalných a </w:t>
      </w:r>
      <w:proofErr w:type="spellStart"/>
      <w:r>
        <w:t>semi</w:t>
      </w:r>
      <w:proofErr w:type="spellEnd"/>
      <w:r>
        <w:t xml:space="preserve">-kapalných odpadů. </w:t>
      </w:r>
      <w:proofErr w:type="spellStart"/>
      <w:r>
        <w:t>Geopolymery</w:t>
      </w:r>
      <w:proofErr w:type="spellEnd"/>
      <w:r>
        <w:t xml:space="preserve"> jsou </w:t>
      </w:r>
      <w:proofErr w:type="spellStart"/>
      <w:r>
        <w:t>hlinito</w:t>
      </w:r>
      <w:proofErr w:type="spellEnd"/>
      <w:r>
        <w:t>-křemičité anorganické polymery, které vznikají alkalickou aktivací. Odpady, které budou zpracovány touto metodou, jsou:</w:t>
      </w:r>
    </w:p>
    <w:p w14:paraId="1B462314" w14:textId="77777777" w:rsidR="005E0920" w:rsidRDefault="005E0920" w:rsidP="004071A2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krystalická pevná fáze</w:t>
      </w:r>
    </w:p>
    <w:p w14:paraId="6CBC84F0" w14:textId="77777777" w:rsidR="005E0920" w:rsidRDefault="005E0920" w:rsidP="004071A2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 xml:space="preserve">nasycené a odvodněné </w:t>
      </w:r>
      <w:proofErr w:type="spellStart"/>
      <w:r>
        <w:t>ionexy</w:t>
      </w:r>
      <w:proofErr w:type="spellEnd"/>
    </w:p>
    <w:p w14:paraId="1744E0C1" w14:textId="77777777" w:rsidR="005E0920" w:rsidRDefault="005E0920" w:rsidP="004071A2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 xml:space="preserve">suché </w:t>
      </w:r>
      <w:proofErr w:type="spellStart"/>
      <w:r>
        <w:t>ionexy</w:t>
      </w:r>
      <w:proofErr w:type="spellEnd"/>
    </w:p>
    <w:p w14:paraId="486EFF70" w14:textId="276EB0F3" w:rsidR="005E0920" w:rsidRDefault="00BD36A6" w:rsidP="005E0920">
      <w:pPr>
        <w:jc w:val="both"/>
      </w:pPr>
      <w:r>
        <w:t xml:space="preserve">Jako </w:t>
      </w:r>
      <w:proofErr w:type="spellStart"/>
      <w:r>
        <w:t>geopolymerní</w:t>
      </w:r>
      <w:proofErr w:type="spellEnd"/>
      <w:r>
        <w:t xml:space="preserve"> plnivo bude používaná </w:t>
      </w:r>
      <w:proofErr w:type="spellStart"/>
      <w:r>
        <w:t>metakaolinová</w:t>
      </w:r>
      <w:proofErr w:type="spellEnd"/>
      <w:r>
        <w:t xml:space="preserve"> složka</w:t>
      </w:r>
      <w:r w:rsidR="00B32B15">
        <w:t xml:space="preserve">, </w:t>
      </w:r>
      <w:r>
        <w:t xml:space="preserve">která bude dávkována </w:t>
      </w:r>
      <w:r w:rsidR="00455A69">
        <w:t>ze</w:t>
      </w:r>
      <w:r>
        <w:t xml:space="preserve"> </w:t>
      </w:r>
      <w:r w:rsidR="00A00E8B">
        <w:t xml:space="preserve">zásobníku </w:t>
      </w:r>
      <w:r w:rsidR="00455A69">
        <w:t xml:space="preserve">aktivátoru </w:t>
      </w:r>
      <w:proofErr w:type="spellStart"/>
      <w:r w:rsidR="00455A69">
        <w:t>geopolymeru</w:t>
      </w:r>
      <w:proofErr w:type="spellEnd"/>
      <w:r w:rsidR="00A00E8B">
        <w:t xml:space="preserve"> nebo připravována obsluhou dle příslušné navážky. Řešení zásobníku bude </w:t>
      </w:r>
      <w:r w:rsidR="00455A69">
        <w:t>uzpůsobeno</w:t>
      </w:r>
      <w:r w:rsidR="00A00E8B">
        <w:t xml:space="preserve"> pro dokonalé promísení všech složek. Jako alkalické aktivátory budou používány </w:t>
      </w:r>
      <w:r w:rsidR="00A00E8B">
        <w:br/>
      </w:r>
      <w:proofErr w:type="spellStart"/>
      <w:r w:rsidR="00A00E8B">
        <w:t>NaOH</w:t>
      </w:r>
      <w:proofErr w:type="spellEnd"/>
      <w:r w:rsidR="00A00E8B">
        <w:t xml:space="preserve"> nebo KOH v kombinaci s vodním sklem. Alkalický aktivátor bude variantně dávkován </w:t>
      </w:r>
      <w:r w:rsidR="00455A69">
        <w:t>společně s </w:t>
      </w:r>
      <w:proofErr w:type="spellStart"/>
      <w:r w:rsidR="00455A69">
        <w:t>geopolymerem</w:t>
      </w:r>
      <w:proofErr w:type="spellEnd"/>
      <w:r w:rsidR="00455A69">
        <w:t xml:space="preserve"> ze zásobníku do homogenizační nádrže</w:t>
      </w:r>
      <w:r w:rsidR="00A00E8B">
        <w:t>. Zásobník</w:t>
      </w:r>
      <w:r w:rsidR="00EB4971">
        <w:t>y</w:t>
      </w:r>
      <w:r w:rsidR="00A00E8B">
        <w:t xml:space="preserve"> musí být opatřen</w:t>
      </w:r>
      <w:r w:rsidR="00EB4971">
        <w:t>y</w:t>
      </w:r>
      <w:r w:rsidR="00A00E8B">
        <w:t xml:space="preserve"> vhodným míchadlem. Plnění zásobníků a příprava jednotlivých složek bude prováděna obsluhou. Příprava </w:t>
      </w:r>
      <w:proofErr w:type="spellStart"/>
      <w:r w:rsidR="00A00E8B">
        <w:t>geopolymerní</w:t>
      </w:r>
      <w:proofErr w:type="spellEnd"/>
      <w:r w:rsidR="00A00E8B">
        <w:t xml:space="preserve"> matrice probíhá v sypkém stavu, a proto musí být prostor nad zásobníky odsáván. Před zaústěním do VZT bude</w:t>
      </w:r>
      <w:r w:rsidR="00EB4971">
        <w:t xml:space="preserve"> vzdušina odfiltrována a zbavena</w:t>
      </w:r>
      <w:r w:rsidR="00A00E8B">
        <w:t xml:space="preserve"> všech nečistot. </w:t>
      </w:r>
    </w:p>
    <w:p w14:paraId="654A55C9" w14:textId="77777777" w:rsidR="00A00E8B" w:rsidRDefault="00EB4971" w:rsidP="005E0920">
      <w:pPr>
        <w:jc w:val="both"/>
        <w:rPr>
          <w:color w:val="000000"/>
        </w:rPr>
      </w:pPr>
      <w:r>
        <w:t xml:space="preserve">Zásobníky </w:t>
      </w:r>
      <w:r w:rsidR="00D95B4A">
        <w:t>budou usazeny na tenzometrických vahách. Zásobníky musí mít kapacitu potřebnou pro provedení 3 experimentů. Měřící r</w:t>
      </w:r>
      <w:r>
        <w:t xml:space="preserve">ozsah tenzometrických vah bude </w:t>
      </w:r>
      <w:r w:rsidR="00D95B4A">
        <w:t xml:space="preserve">0,001 – 100 kg s maximální dovolenou chybou měření </w:t>
      </w:r>
      <w:r w:rsidR="00D95B4A" w:rsidRPr="00D95B4A">
        <w:rPr>
          <w:color w:val="000000"/>
        </w:rPr>
        <w:t>± 0,03</w:t>
      </w:r>
      <w:r w:rsidR="00D95B4A">
        <w:rPr>
          <w:color w:val="000000"/>
        </w:rPr>
        <w:t xml:space="preserve"> </w:t>
      </w:r>
      <w:r w:rsidR="00D95B4A" w:rsidRPr="00D95B4A">
        <w:rPr>
          <w:color w:val="000000"/>
        </w:rPr>
        <w:t>%.</w:t>
      </w:r>
      <w:r w:rsidR="00D95B4A">
        <w:rPr>
          <w:color w:val="000000"/>
        </w:rPr>
        <w:t xml:space="preserve"> Dávkování bude řízeno automaticky, </w:t>
      </w:r>
      <w:r w:rsidR="00D95B4A">
        <w:rPr>
          <w:color w:val="000000"/>
        </w:rPr>
        <w:br/>
      </w:r>
      <w:r w:rsidR="00D95B4A" w:rsidRPr="00D95B4A">
        <w:rPr>
          <w:color w:val="000000"/>
        </w:rPr>
        <w:t xml:space="preserve">tj. dávkování požadované hmotnosti směsi dle nastavené navážky a sledování hmotnostního úbytku </w:t>
      </w:r>
      <w:r w:rsidR="00D95B4A">
        <w:rPr>
          <w:color w:val="000000"/>
        </w:rPr>
        <w:br/>
      </w:r>
      <w:r w:rsidR="00D95B4A" w:rsidRPr="00D95B4A">
        <w:rPr>
          <w:color w:val="000000"/>
        </w:rPr>
        <w:t>v zásobnících. Dávkování bude kontinuální v rozsahu 0 – 100</w:t>
      </w:r>
      <w:r w:rsidR="00D95B4A">
        <w:rPr>
          <w:color w:val="000000"/>
        </w:rPr>
        <w:t xml:space="preserve"> </w:t>
      </w:r>
      <w:r w:rsidR="00D95B4A" w:rsidRPr="00D95B4A">
        <w:rPr>
          <w:color w:val="000000"/>
        </w:rPr>
        <w:t>%.</w:t>
      </w:r>
      <w:r w:rsidR="00D95B4A">
        <w:rPr>
          <w:color w:val="000000"/>
        </w:rPr>
        <w:t xml:space="preserve"> Plnění matrice odpadem se předpokládá v rozsahu 30 – 75 %.</w:t>
      </w:r>
    </w:p>
    <w:p w14:paraId="2FF74ACF" w14:textId="2DDF6CB3" w:rsidR="00D95B4A" w:rsidRDefault="00D95B4A" w:rsidP="005E0920">
      <w:pPr>
        <w:jc w:val="both"/>
      </w:pPr>
      <w:r>
        <w:lastRenderedPageBreak/>
        <w:t>Při homogenizaci, tj. alkalické aktivaci budou alkalické roztoky smíchány s roztokem vodního skla v</w:t>
      </w:r>
      <w:r w:rsidR="00645B67">
        <w:t xml:space="preserve"> nádrži alkalických aktivátorů </w:t>
      </w:r>
      <w:r>
        <w:t>a následně budou kontinuálně přidávány k pevnému výchozímu odpadu</w:t>
      </w:r>
      <w:r w:rsidR="00645B67">
        <w:t xml:space="preserve"> a plnivu</w:t>
      </w:r>
      <w:r>
        <w:t xml:space="preserve"> do homogenizačního zařízení za stálého míchání. Dle charakteru experimentu </w:t>
      </w:r>
      <w:r w:rsidR="00FC1D07">
        <w:t>může být</w:t>
      </w:r>
      <w:r>
        <w:t xml:space="preserve"> odpad </w:t>
      </w:r>
      <w:r>
        <w:br/>
        <w:t xml:space="preserve">do </w:t>
      </w:r>
      <w:proofErr w:type="spellStart"/>
      <w:r>
        <w:t>geopolymeru</w:t>
      </w:r>
      <w:proofErr w:type="spellEnd"/>
      <w:r>
        <w:t xml:space="preserve"> přidáván tímto způsobem:</w:t>
      </w:r>
    </w:p>
    <w:p w14:paraId="3CFDBFC4" w14:textId="77777777" w:rsidR="00D95B4A" w:rsidRPr="00D95B4A" w:rsidRDefault="00D95B4A" w:rsidP="00D95B4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5B4A">
        <w:rPr>
          <w:color w:val="000000"/>
        </w:rPr>
        <w:t xml:space="preserve">krystalická pevná fáze bude přidávána buď souběžně s plnivem, nebo jako třetí složka </w:t>
      </w:r>
      <w:r>
        <w:rPr>
          <w:color w:val="000000"/>
        </w:rPr>
        <w:br/>
      </w:r>
      <w:r w:rsidRPr="00D95B4A">
        <w:rPr>
          <w:color w:val="000000"/>
        </w:rPr>
        <w:t>(plnivo – aktivátor – krystalická pevná fáze), jsou požadovány oba způsoby, s možností navolení způsobu a pořadí.</w:t>
      </w:r>
    </w:p>
    <w:p w14:paraId="6DB29080" w14:textId="77777777" w:rsidR="00D95B4A" w:rsidRPr="00D95B4A" w:rsidRDefault="00D95B4A" w:rsidP="00D95B4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5B4A">
        <w:rPr>
          <w:color w:val="000000"/>
        </w:rPr>
        <w:t xml:space="preserve">nasycené, odvodněné </w:t>
      </w:r>
      <w:proofErr w:type="spellStart"/>
      <w:r w:rsidRPr="00D95B4A">
        <w:rPr>
          <w:color w:val="000000"/>
        </w:rPr>
        <w:t>ionexy</w:t>
      </w:r>
      <w:proofErr w:type="spellEnd"/>
      <w:r w:rsidRPr="00D95B4A">
        <w:rPr>
          <w:color w:val="000000"/>
        </w:rPr>
        <w:t xml:space="preserve"> budou dávkovány buď souběžně s aktivátorem, nebo jako třetí složka (plnivo – aktivátor – nasycený, odvodněný </w:t>
      </w:r>
      <w:proofErr w:type="spellStart"/>
      <w:r w:rsidRPr="00D95B4A">
        <w:rPr>
          <w:color w:val="000000"/>
        </w:rPr>
        <w:t>ionex</w:t>
      </w:r>
      <w:proofErr w:type="spellEnd"/>
      <w:r w:rsidRPr="00D95B4A">
        <w:rPr>
          <w:color w:val="000000"/>
        </w:rPr>
        <w:t>) jsou požadovány oba způsoby, s možností navolení způsobu a pořadí.</w:t>
      </w:r>
    </w:p>
    <w:p w14:paraId="765E7795" w14:textId="77777777" w:rsidR="00D95B4A" w:rsidRDefault="00D95B4A" w:rsidP="00EB497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 w:rsidRPr="00D95B4A">
        <w:rPr>
          <w:color w:val="000000"/>
        </w:rPr>
        <w:t xml:space="preserve">suché </w:t>
      </w:r>
      <w:proofErr w:type="spellStart"/>
      <w:r w:rsidRPr="00D95B4A">
        <w:rPr>
          <w:color w:val="000000"/>
        </w:rPr>
        <w:t>ionexy</w:t>
      </w:r>
      <w:proofErr w:type="spellEnd"/>
      <w:r w:rsidRPr="00D95B4A">
        <w:rPr>
          <w:color w:val="000000"/>
        </w:rPr>
        <w:t xml:space="preserve"> budou dávkovány buď souběžně s plnivem, nebo jako třetí složka </w:t>
      </w:r>
      <w:r>
        <w:rPr>
          <w:color w:val="000000"/>
        </w:rPr>
        <w:br/>
      </w:r>
      <w:r w:rsidRPr="00D95B4A">
        <w:rPr>
          <w:color w:val="000000"/>
        </w:rPr>
        <w:t xml:space="preserve">(plnivo – aktivátor – suchý </w:t>
      </w:r>
      <w:proofErr w:type="spellStart"/>
      <w:r w:rsidRPr="00D95B4A">
        <w:rPr>
          <w:color w:val="000000"/>
        </w:rPr>
        <w:t>ionex</w:t>
      </w:r>
      <w:proofErr w:type="spellEnd"/>
      <w:r w:rsidRPr="00D95B4A">
        <w:rPr>
          <w:color w:val="000000"/>
        </w:rPr>
        <w:t>), jsou požadovány oba způsoby, s možností navolení</w:t>
      </w:r>
      <w:r>
        <w:rPr>
          <w:color w:val="000000"/>
        </w:rPr>
        <w:t xml:space="preserve"> způsobu </w:t>
      </w:r>
      <w:r w:rsidRPr="00D95B4A">
        <w:rPr>
          <w:color w:val="000000"/>
        </w:rPr>
        <w:t>a pořadí.</w:t>
      </w:r>
    </w:p>
    <w:p w14:paraId="211E7D5A" w14:textId="43A73B31" w:rsidR="00D95B4A" w:rsidRDefault="00FC1D07" w:rsidP="00EB4971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Pořadí dávkování se může měnit a dodavatel zajistí individuální řešení. </w:t>
      </w:r>
      <w:r w:rsidR="004071A2">
        <w:rPr>
          <w:color w:val="000000"/>
        </w:rPr>
        <w:t xml:space="preserve">Viskozita směsi závisí na nasákavosti směsi (výběr nebo konfigurace </w:t>
      </w:r>
      <w:proofErr w:type="spellStart"/>
      <w:r w:rsidR="004071A2">
        <w:rPr>
          <w:color w:val="000000"/>
        </w:rPr>
        <w:t>geopolymerní</w:t>
      </w:r>
      <w:proofErr w:type="spellEnd"/>
      <w:r w:rsidR="004071A2">
        <w:rPr>
          <w:color w:val="000000"/>
        </w:rPr>
        <w:t xml:space="preserve"> matrice), a její nárůst </w:t>
      </w:r>
      <w:r w:rsidR="00DA373B">
        <w:rPr>
          <w:color w:val="000000"/>
        </w:rPr>
        <w:t>může být skokový</w:t>
      </w:r>
      <w:r w:rsidR="004071A2">
        <w:rPr>
          <w:color w:val="000000"/>
        </w:rPr>
        <w:t xml:space="preserve">. Viskozita bude jednou ze studovaných veličin. Je požadován monitoring viskozity v průběhu celého děje </w:t>
      </w:r>
      <w:r w:rsidR="00DA373B">
        <w:rPr>
          <w:color w:val="000000"/>
        </w:rPr>
        <w:t xml:space="preserve">homogenizace. </w:t>
      </w:r>
      <w:r w:rsidR="004071A2">
        <w:rPr>
          <w:color w:val="000000"/>
        </w:rPr>
        <w:t xml:space="preserve">Ihned po vytvoření matrice dochází k vývinu tepla, </w:t>
      </w:r>
      <w:r w:rsidR="004071A2">
        <w:rPr>
          <w:color w:val="000000"/>
        </w:rPr>
        <w:br/>
        <w:t xml:space="preserve">kdy teplota může dosáhnout až </w:t>
      </w:r>
      <w:r w:rsidR="00DA373B">
        <w:rPr>
          <w:color w:val="000000"/>
        </w:rPr>
        <w:t>150</w:t>
      </w:r>
      <w:r w:rsidR="004071A2">
        <w:rPr>
          <w:color w:val="000000"/>
        </w:rPr>
        <w:t xml:space="preserve"> °C.</w:t>
      </w:r>
    </w:p>
    <w:p w14:paraId="29BBA0AA" w14:textId="77777777" w:rsidR="00664C2A" w:rsidRPr="00645B67" w:rsidRDefault="004071A2" w:rsidP="00DA5A5A">
      <w:pPr>
        <w:autoSpaceDE w:val="0"/>
        <w:autoSpaceDN w:val="0"/>
        <w:adjustRightInd w:val="0"/>
        <w:spacing w:after="120" w:line="240" w:lineRule="auto"/>
        <w:jc w:val="both"/>
        <w:rPr>
          <w:b/>
          <w:i/>
          <w:color w:val="000000"/>
        </w:rPr>
      </w:pPr>
      <w:r w:rsidRPr="00645B67">
        <w:rPr>
          <w:b/>
          <w:i/>
          <w:color w:val="000000"/>
        </w:rPr>
        <w:t>Vhodné z</w:t>
      </w:r>
      <w:r w:rsidR="00664C2A" w:rsidRPr="00645B67">
        <w:rPr>
          <w:b/>
          <w:i/>
          <w:color w:val="000000"/>
        </w:rPr>
        <w:t>ařízení pro proces homogenizace:</w:t>
      </w:r>
    </w:p>
    <w:p w14:paraId="1E0F71BA" w14:textId="77777777" w:rsidR="004071A2" w:rsidRDefault="004071A2" w:rsidP="00DA5A5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>
        <w:rPr>
          <w:color w:val="000000"/>
        </w:rPr>
        <w:t>zařízení s </w:t>
      </w:r>
      <w:r w:rsidR="00B707EB">
        <w:rPr>
          <w:color w:val="000000"/>
        </w:rPr>
        <w:t>mícháním</w:t>
      </w:r>
      <w:r>
        <w:rPr>
          <w:color w:val="000000"/>
        </w:rPr>
        <w:t xml:space="preserve"> v sudu</w:t>
      </w:r>
    </w:p>
    <w:p w14:paraId="518AA97C" w14:textId="52E0A50B" w:rsidR="005440F3" w:rsidRDefault="004910C3" w:rsidP="005440F3">
      <w:pPr>
        <w:keepNext/>
        <w:jc w:val="both"/>
      </w:pPr>
      <w:r>
        <w:t xml:space="preserve">Zařízení pro míchání v sudu </w:t>
      </w:r>
      <w:r w:rsidR="005440F3">
        <w:t xml:space="preserve">(obr. 1) </w:t>
      </w:r>
      <w:r>
        <w:t xml:space="preserve">se skládá ze zvedacího víka, </w:t>
      </w:r>
      <w:r w:rsidR="002477E7">
        <w:t>které je opatřeno míchadlem a nas</w:t>
      </w:r>
      <w:r>
        <w:t xml:space="preserve">azeno </w:t>
      </w:r>
      <w:r w:rsidR="00786384">
        <w:t>přímo na vzorkovací sud, resp. n</w:t>
      </w:r>
      <w:r>
        <w:t>a transportní zařízení</w:t>
      </w:r>
      <w:r w:rsidR="008B4661">
        <w:t>, ve kterém bude ulo</w:t>
      </w:r>
      <w:r w:rsidR="005440F3">
        <w:t xml:space="preserve">žený sud se vzorkovací formou, </w:t>
      </w:r>
      <w:r w:rsidR="008B4661">
        <w:t>viz kap. 3.3. Objem sudu je 50 l a naplnění finální matricí je 30 l. Způsob míchání probíhá otáčením míchadla a také pohybem míchadla nahoru a dolů. Předpokládaný rozs</w:t>
      </w:r>
      <w:r w:rsidR="005440F3">
        <w:t xml:space="preserve">ah regulace otáček míchadla je </w:t>
      </w:r>
      <w:r w:rsidR="008B4661">
        <w:t xml:space="preserve">50 – </w:t>
      </w:r>
      <w:r w:rsidR="008F4D21">
        <w:t>1700</w:t>
      </w:r>
      <w:r w:rsidR="008B4661">
        <w:t xml:space="preserve"> </w:t>
      </w:r>
      <w:proofErr w:type="spellStart"/>
      <w:r w:rsidR="008B4661">
        <w:t>ot</w:t>
      </w:r>
      <w:proofErr w:type="spellEnd"/>
      <w:r w:rsidR="008B4661">
        <w:t xml:space="preserve">/min. </w:t>
      </w:r>
      <w:r w:rsidR="008F4D21">
        <w:rPr>
          <w:color w:val="000000"/>
        </w:rPr>
        <w:t xml:space="preserve">Směs je </w:t>
      </w:r>
      <w:proofErr w:type="spellStart"/>
      <w:r w:rsidR="008F4D21">
        <w:rPr>
          <w:color w:val="000000"/>
        </w:rPr>
        <w:t>nenewtonská</w:t>
      </w:r>
      <w:proofErr w:type="spellEnd"/>
      <w:r w:rsidR="008F4D21">
        <w:rPr>
          <w:color w:val="000000"/>
        </w:rPr>
        <w:t xml:space="preserve"> s </w:t>
      </w:r>
      <w:proofErr w:type="spellStart"/>
      <w:r w:rsidR="008F4D21">
        <w:rPr>
          <w:color w:val="000000"/>
        </w:rPr>
        <w:t>tixotroponím</w:t>
      </w:r>
      <w:proofErr w:type="spellEnd"/>
      <w:r w:rsidR="008F4D21">
        <w:rPr>
          <w:color w:val="000000"/>
        </w:rPr>
        <w:t xml:space="preserve"> charakterem. Míchadlo musí počítat se smykovými zónami</w:t>
      </w:r>
      <w:r w:rsidR="008F4D21">
        <w:t xml:space="preserve">. </w:t>
      </w:r>
      <w:r w:rsidR="008B4661">
        <w:t>Z</w:t>
      </w:r>
      <w:r w:rsidR="002477E7">
        <w:t>d</w:t>
      </w:r>
      <w:r w:rsidR="008B4661">
        <w:t>vih míchadla v průběhu homogeniza</w:t>
      </w:r>
      <w:r w:rsidR="005440F3">
        <w:t xml:space="preserve">ce bude prováděn rovnoměrně 1 - 6x/min. </w:t>
      </w:r>
      <w:r w:rsidR="008B4661">
        <w:t xml:space="preserve">Po </w:t>
      </w:r>
      <w:r w:rsidR="002477E7">
        <w:t>ukončení homogenizace bude část</w:t>
      </w:r>
      <w:r w:rsidR="008B4661">
        <w:t xml:space="preserve"> matrice odpuštěna do vzorkovací formy, viz </w:t>
      </w:r>
      <w:r w:rsidR="002F6066">
        <w:t xml:space="preserve">kap. 3.3. </w:t>
      </w:r>
      <w:r w:rsidR="008B4661">
        <w:t>Následně se</w:t>
      </w:r>
      <w:r w:rsidR="005440F3">
        <w:t xml:space="preserve"> v</w:t>
      </w:r>
      <w:r w:rsidR="008B4661">
        <w:t>íko s míchadlem zvedne z transportního zařízení a zařízení bude transportováno na proces</w:t>
      </w:r>
      <w:r w:rsidR="005440F3">
        <w:t xml:space="preserve"> měření teplotního profilu. </w:t>
      </w:r>
      <w:r w:rsidR="008B4661">
        <w:t>Přepouštění matrice bude prováděno na základě zvýšení viskozity v objemu matrice.</w:t>
      </w:r>
    </w:p>
    <w:p w14:paraId="4F94EDBC" w14:textId="77777777" w:rsidR="002F6066" w:rsidRDefault="002F6066" w:rsidP="005440F3">
      <w:pPr>
        <w:keepNext/>
        <w:jc w:val="both"/>
      </w:pPr>
    </w:p>
    <w:p w14:paraId="1F713086" w14:textId="77777777" w:rsidR="005440F3" w:rsidRPr="005440F3" w:rsidRDefault="005440F3" w:rsidP="005440F3">
      <w:pPr>
        <w:keepNext/>
        <w:jc w:val="center"/>
      </w:pPr>
      <w:r>
        <w:rPr>
          <w:noProof/>
          <w:color w:val="000000"/>
          <w:lang w:eastAsia="cs-CZ"/>
        </w:rPr>
        <w:drawing>
          <wp:inline distT="0" distB="0" distL="0" distR="0" wp14:anchorId="4C2467A4" wp14:editId="2BA8ED10">
            <wp:extent cx="4881880" cy="302958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3562" w14:textId="77777777" w:rsidR="008B4661" w:rsidRDefault="008B4661" w:rsidP="008B4661">
      <w:pPr>
        <w:pStyle w:val="Titulek"/>
        <w:jc w:val="both"/>
      </w:pPr>
      <w:r>
        <w:t xml:space="preserve">Obrázek </w:t>
      </w:r>
      <w:r w:rsidR="00955364">
        <w:fldChar w:fldCharType="begin"/>
      </w:r>
      <w:r w:rsidR="00955364">
        <w:instrText xml:space="preserve"> SEQ Obrázek \* ARABIC </w:instrText>
      </w:r>
      <w:r w:rsidR="00955364">
        <w:fldChar w:fldCharType="separate"/>
      </w:r>
      <w:r w:rsidR="005440F3">
        <w:rPr>
          <w:noProof/>
        </w:rPr>
        <w:t>1</w:t>
      </w:r>
      <w:r w:rsidR="00955364">
        <w:rPr>
          <w:noProof/>
        </w:rPr>
        <w:fldChar w:fldCharType="end"/>
      </w:r>
      <w:r>
        <w:t xml:space="preserve">: Zjednodušené schéma homogenizačního systému pro fixaci odpadu v </w:t>
      </w:r>
      <w:proofErr w:type="spellStart"/>
      <w:r>
        <w:t>geopolymerní</w:t>
      </w:r>
      <w:proofErr w:type="spellEnd"/>
      <w:r>
        <w:t xml:space="preserve"> matrici </w:t>
      </w:r>
      <w:r w:rsidR="008D46AD">
        <w:br/>
      </w:r>
      <w:r>
        <w:t>se zařízením pro míchání v</w:t>
      </w:r>
      <w:r w:rsidR="00786384">
        <w:t> </w:t>
      </w:r>
      <w:r>
        <w:t>sudu</w:t>
      </w:r>
      <w:r w:rsidR="00786384">
        <w:t>.</w:t>
      </w:r>
    </w:p>
    <w:p w14:paraId="638FCCFC" w14:textId="77777777" w:rsidR="008B4661" w:rsidRDefault="008D46AD" w:rsidP="008D46AD">
      <w:pPr>
        <w:spacing w:line="240" w:lineRule="auto"/>
        <w:jc w:val="both"/>
      </w:pPr>
      <w:r>
        <w:t xml:space="preserve">V průběhu homogenizace bude monitorována teplota, tlak a viskozita směsi. Průběh homogenizace je předpokládán na 20 – 60 min v závislosti od experimentu a vlastností vstupních složek matrice. U obou konceptů bude sud součástí transportního zařízení. Sud bude obklopen segmenty s izolací a elektrickým ohřevem (3 segmenty). Ve spodní části budou instalované výpustě pro naplnění vzorkovací formy, </w:t>
      </w:r>
      <w:r>
        <w:br/>
      </w:r>
      <w:r w:rsidR="002477E7">
        <w:t>viz obr. 6. U varianty míchaného</w:t>
      </w:r>
      <w:r>
        <w:t xml:space="preserve"> reaktoru budou při přepouštění matrice do sudu výpustě otevřené </w:t>
      </w:r>
      <w:r>
        <w:br/>
        <w:t>a po naplnění formy se výpustě zavřou. Zbývající objem matrice zůstane v sudu. U varianty míchání v sudu se po ukončení procesu homogenizace výpustě otevřou a po naplnění formy znovu zavřou.</w:t>
      </w:r>
    </w:p>
    <w:p w14:paraId="0ED8FCE2" w14:textId="5C872761" w:rsidR="00C65C41" w:rsidRDefault="008D46AD" w:rsidP="008D46AD">
      <w:pPr>
        <w:spacing w:line="240" w:lineRule="auto"/>
        <w:jc w:val="both"/>
      </w:pPr>
      <w:r>
        <w:t xml:space="preserve">Jako vedlejší produkt reakcí aktivace </w:t>
      </w:r>
      <w:proofErr w:type="spellStart"/>
      <w:r>
        <w:t>geopolymerů</w:t>
      </w:r>
      <w:proofErr w:type="spellEnd"/>
      <w:r>
        <w:t xml:space="preserve"> vzniká H</w:t>
      </w:r>
      <w:r w:rsidRPr="002477E7">
        <w:rPr>
          <w:vertAlign w:val="subscript"/>
        </w:rPr>
        <w:t>2</w:t>
      </w:r>
      <w:r>
        <w:t xml:space="preserve">O, která se z odstraňuje ve fázi tuhnutí, </w:t>
      </w:r>
      <w:r>
        <w:br/>
        <w:t>kdy dochází k jejímu odpařování.</w:t>
      </w:r>
      <w:r w:rsidR="002477E7">
        <w:t xml:space="preserve"> S odstraňováním vody může docházet i k odpařování alkalického aktivátoru a při reakci se vzduchem může docházet ke tvorbě uhličitanů.</w:t>
      </w:r>
      <w:r>
        <w:t xml:space="preserve"> </w:t>
      </w:r>
      <w:r w:rsidR="004D010E">
        <w:t>Bude</w:t>
      </w:r>
      <w:r>
        <w:t xml:space="preserve"> tedy nutné</w:t>
      </w:r>
      <w:r w:rsidR="004D010E">
        <w:t>,</w:t>
      </w:r>
      <w:r>
        <w:t xml:space="preserve"> do systému zařadit kondenzaci pa</w:t>
      </w:r>
      <w:r w:rsidR="004D010E">
        <w:t>r.</w:t>
      </w:r>
      <w:r>
        <w:t xml:space="preserve"> Kondenzát bude odváděn do zásobní n</w:t>
      </w:r>
      <w:r w:rsidR="004D010E">
        <w:t>ádrže modelových roztoků technologie ETL.</w:t>
      </w:r>
    </w:p>
    <w:p w14:paraId="356A1EB4" w14:textId="77777777" w:rsidR="00A767AF" w:rsidRDefault="002F6066" w:rsidP="00A767AF">
      <w:pPr>
        <w:pStyle w:val="Nadpis2"/>
      </w:pPr>
      <w:r>
        <w:t>F</w:t>
      </w:r>
      <w:r w:rsidR="00A767AF">
        <w:t>ixace odpadů v </w:t>
      </w:r>
      <w:proofErr w:type="spellStart"/>
      <w:r w:rsidR="00A767AF">
        <w:t>polysiloxanové</w:t>
      </w:r>
      <w:proofErr w:type="spellEnd"/>
      <w:r w:rsidR="00A767AF">
        <w:t xml:space="preserve"> matrici</w:t>
      </w:r>
    </w:p>
    <w:p w14:paraId="4328A67F" w14:textId="77777777" w:rsidR="00A767AF" w:rsidRDefault="00A767AF" w:rsidP="005741FB">
      <w:pPr>
        <w:spacing w:line="240" w:lineRule="auto"/>
        <w:jc w:val="both"/>
      </w:pPr>
      <w:r>
        <w:t xml:space="preserve">Druhým </w:t>
      </w:r>
      <w:r w:rsidR="002F6066">
        <w:t>konceptem</w:t>
      </w:r>
      <w:r>
        <w:t xml:space="preserve"> pro fixaci </w:t>
      </w:r>
      <w:proofErr w:type="spellStart"/>
      <w:r>
        <w:t>kaplaných</w:t>
      </w:r>
      <w:proofErr w:type="spellEnd"/>
      <w:r>
        <w:t xml:space="preserve"> a </w:t>
      </w:r>
      <w:proofErr w:type="spellStart"/>
      <w:r>
        <w:t>semi</w:t>
      </w:r>
      <w:proofErr w:type="spellEnd"/>
      <w:r>
        <w:t>-kapalných odpadů byl</w:t>
      </w:r>
      <w:r w:rsidR="002F6066">
        <w:t>a</w:t>
      </w:r>
      <w:r>
        <w:t xml:space="preserve"> vybrán</w:t>
      </w:r>
      <w:r w:rsidR="002F6066">
        <w:t>a</w:t>
      </w:r>
      <w:r>
        <w:t xml:space="preserve"> fixace odp</w:t>
      </w:r>
      <w:r w:rsidR="0019370A">
        <w:t>adů v </w:t>
      </w:r>
      <w:proofErr w:type="spellStart"/>
      <w:r w:rsidR="0019370A">
        <w:t>polysiloxanové</w:t>
      </w:r>
      <w:proofErr w:type="spellEnd"/>
      <w:r w:rsidR="0019370A">
        <w:t xml:space="preserve"> matrici. Ta</w:t>
      </w:r>
      <w:r>
        <w:t xml:space="preserve">to fixace probíhá formou </w:t>
      </w:r>
      <w:proofErr w:type="spellStart"/>
      <w:r>
        <w:t>mikrokapsulace</w:t>
      </w:r>
      <w:proofErr w:type="spellEnd"/>
      <w:r>
        <w:t>, tj. uzamčení částice odpadu do polymerní matrice. Tato matrice je určena zejména pro odpady v suché formě, ale v současné chvíli je prováděn laboratorní</w:t>
      </w:r>
      <w:r w:rsidR="0019370A">
        <w:t xml:space="preserve"> výzkum pro použití této matrice</w:t>
      </w:r>
      <w:r>
        <w:t xml:space="preserve"> i pro odpady s určitým procentem vlhkosti. Odpady, které budou zpracovávány touto metodou:</w:t>
      </w:r>
    </w:p>
    <w:p w14:paraId="09883E71" w14:textId="77777777" w:rsidR="00A767AF" w:rsidRDefault="00A767AF" w:rsidP="005741FB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krystalická pevná fáze</w:t>
      </w:r>
    </w:p>
    <w:p w14:paraId="4AD02288" w14:textId="77777777" w:rsidR="00A767AF" w:rsidRDefault="0082499F" w:rsidP="005741FB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nasycené</w:t>
      </w:r>
      <w:r w:rsidR="00A767AF">
        <w:t xml:space="preserve"> a odvodněné </w:t>
      </w:r>
      <w:proofErr w:type="spellStart"/>
      <w:r w:rsidR="00A767AF">
        <w:t>ionexy</w:t>
      </w:r>
      <w:proofErr w:type="spellEnd"/>
    </w:p>
    <w:p w14:paraId="2DC99F10" w14:textId="77777777" w:rsidR="00A767AF" w:rsidRDefault="00A767AF" w:rsidP="005741FB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suché </w:t>
      </w:r>
      <w:proofErr w:type="spellStart"/>
      <w:r>
        <w:t>ionexy</w:t>
      </w:r>
      <w:proofErr w:type="spellEnd"/>
    </w:p>
    <w:p w14:paraId="2AE7F29E" w14:textId="77777777" w:rsidR="007B3A2D" w:rsidRDefault="007B3A2D" w:rsidP="005741FB">
      <w:pPr>
        <w:spacing w:line="240" w:lineRule="auto"/>
        <w:jc w:val="both"/>
      </w:pPr>
      <w:r>
        <w:t xml:space="preserve">Jako modelové fixační médium bude používána komerčně dostupná matrice LUKOPREN. Je to silikonový polymer polykondenzačního typu. Pro urychlení polymerace bude používán katalyzátor C21. Materiálový list je přílohou dokumentace (viz příloha </w:t>
      </w:r>
      <w:r w:rsidR="00C65C41">
        <w:t>2 a 3</w:t>
      </w:r>
      <w:r w:rsidR="0082499F">
        <w:t>).</w:t>
      </w:r>
    </w:p>
    <w:p w14:paraId="1F536E05" w14:textId="77777777" w:rsidR="007B3A2D" w:rsidRDefault="007B3A2D" w:rsidP="005741FB">
      <w:pPr>
        <w:pStyle w:val="Odstavecseseznamem"/>
        <w:numPr>
          <w:ilvl w:val="0"/>
          <w:numId w:val="13"/>
        </w:numPr>
        <w:spacing w:line="240" w:lineRule="auto"/>
        <w:jc w:val="both"/>
      </w:pPr>
      <w:proofErr w:type="spellStart"/>
      <w:r>
        <w:t>Lukopren</w:t>
      </w:r>
      <w:proofErr w:type="spellEnd"/>
      <w:r>
        <w:t xml:space="preserve"> N 1000 </w:t>
      </w:r>
    </w:p>
    <w:p w14:paraId="5EB06864" w14:textId="77777777" w:rsidR="007B3A2D" w:rsidRPr="007B3A2D" w:rsidRDefault="007B3A2D" w:rsidP="005741FB">
      <w:pPr>
        <w:pStyle w:val="Odstavecseseznamem"/>
        <w:numPr>
          <w:ilvl w:val="1"/>
          <w:numId w:val="13"/>
        </w:numPr>
        <w:spacing w:line="240" w:lineRule="auto"/>
        <w:jc w:val="both"/>
      </w:pPr>
      <w:r w:rsidRPr="007B3A2D">
        <w:t>α,ω-</w:t>
      </w:r>
      <w:proofErr w:type="spellStart"/>
      <w:r w:rsidRPr="007B3A2D">
        <w:t>dihydroxypolydimethylsiloxan</w:t>
      </w:r>
      <w:proofErr w:type="spellEnd"/>
      <w:r w:rsidRPr="007B3A2D">
        <w:t>,</w:t>
      </w:r>
    </w:p>
    <w:p w14:paraId="30A1B579" w14:textId="77777777" w:rsidR="007B3A2D" w:rsidRPr="007B3A2D" w:rsidRDefault="007B3A2D" w:rsidP="005741FB">
      <w:pPr>
        <w:pStyle w:val="Odstavecseseznamem"/>
        <w:numPr>
          <w:ilvl w:val="1"/>
          <w:numId w:val="13"/>
        </w:numPr>
        <w:spacing w:line="240" w:lineRule="auto"/>
        <w:jc w:val="both"/>
      </w:pPr>
      <w:r w:rsidRPr="007B3A2D">
        <w:t xml:space="preserve">viskozita 1.500 </w:t>
      </w:r>
      <w:proofErr w:type="spellStart"/>
      <w:r w:rsidRPr="007B3A2D">
        <w:t>mPa.s</w:t>
      </w:r>
      <w:proofErr w:type="spellEnd"/>
    </w:p>
    <w:p w14:paraId="46BBA113" w14:textId="77777777" w:rsidR="007B3A2D" w:rsidRPr="007B3A2D" w:rsidRDefault="007B3A2D" w:rsidP="005741FB">
      <w:pPr>
        <w:pStyle w:val="Odstavecseseznamem"/>
        <w:numPr>
          <w:ilvl w:val="1"/>
          <w:numId w:val="13"/>
        </w:numPr>
        <w:spacing w:line="240" w:lineRule="auto"/>
        <w:jc w:val="both"/>
      </w:pPr>
      <w:r w:rsidRPr="007B3A2D">
        <w:t>viskozitní průměr molární hmotnosti 30.000</w:t>
      </w:r>
    </w:p>
    <w:p w14:paraId="271F1FA2" w14:textId="77777777" w:rsidR="007B3A2D" w:rsidRPr="007B3A2D" w:rsidRDefault="007B3A2D" w:rsidP="005741FB">
      <w:pPr>
        <w:pStyle w:val="Odstavecseseznamem"/>
        <w:numPr>
          <w:ilvl w:val="0"/>
          <w:numId w:val="13"/>
        </w:numPr>
        <w:spacing w:line="240" w:lineRule="auto"/>
        <w:jc w:val="both"/>
      </w:pPr>
      <w:proofErr w:type="spellStart"/>
      <w:r w:rsidRPr="007B3A2D">
        <w:t>katylyzátor</w:t>
      </w:r>
      <w:proofErr w:type="spellEnd"/>
      <w:r w:rsidRPr="007B3A2D">
        <w:t xml:space="preserve"> C21</w:t>
      </w:r>
    </w:p>
    <w:p w14:paraId="700D597F" w14:textId="77777777" w:rsidR="007B3A2D" w:rsidRPr="007B3A2D" w:rsidRDefault="007B3A2D" w:rsidP="005741FB">
      <w:pPr>
        <w:pStyle w:val="Odstavecseseznamem"/>
        <w:numPr>
          <w:ilvl w:val="1"/>
          <w:numId w:val="13"/>
        </w:numPr>
        <w:spacing w:line="240" w:lineRule="auto"/>
        <w:jc w:val="both"/>
      </w:pPr>
      <w:r w:rsidRPr="007B3A2D">
        <w:t xml:space="preserve">směs </w:t>
      </w:r>
      <w:proofErr w:type="spellStart"/>
      <w:r w:rsidRPr="007B3A2D">
        <w:t>dekaethoxytetrasiloxanu</w:t>
      </w:r>
      <w:proofErr w:type="spellEnd"/>
      <w:r w:rsidRPr="007B3A2D">
        <w:t xml:space="preserve"> a di-n-</w:t>
      </w:r>
      <w:proofErr w:type="spellStart"/>
      <w:r w:rsidRPr="007B3A2D">
        <w:t>butylcín</w:t>
      </w:r>
      <w:proofErr w:type="spellEnd"/>
      <w:r w:rsidRPr="007B3A2D">
        <w:t xml:space="preserve"> </w:t>
      </w:r>
      <w:proofErr w:type="spellStart"/>
      <w:r w:rsidRPr="007B3A2D">
        <w:t>dilaurátu</w:t>
      </w:r>
      <w:proofErr w:type="spellEnd"/>
      <w:r w:rsidRPr="007B3A2D">
        <w:t xml:space="preserve"> v hmotnostním poměru 3:1 </w:t>
      </w:r>
    </w:p>
    <w:p w14:paraId="4B2F6090" w14:textId="77777777" w:rsidR="007B3A2D" w:rsidRDefault="007B3A2D" w:rsidP="005741FB">
      <w:pPr>
        <w:pStyle w:val="Odstavecseseznamem"/>
        <w:numPr>
          <w:ilvl w:val="1"/>
          <w:numId w:val="13"/>
        </w:numPr>
        <w:spacing w:line="240" w:lineRule="auto"/>
        <w:jc w:val="both"/>
      </w:pPr>
      <w:r w:rsidRPr="007B3A2D">
        <w:t>síťova</w:t>
      </w:r>
      <w:r w:rsidR="00445B0C">
        <w:t>d</w:t>
      </w:r>
      <w:r w:rsidRPr="007B3A2D">
        <w:t xml:space="preserve">lo a katalyzátor kondenzačních reakcí </w:t>
      </w:r>
      <w:proofErr w:type="spellStart"/>
      <w:r w:rsidRPr="007B3A2D">
        <w:t>silanolů</w:t>
      </w:r>
      <w:proofErr w:type="spellEnd"/>
    </w:p>
    <w:p w14:paraId="73983EDD" w14:textId="77777777" w:rsidR="007B3A2D" w:rsidRDefault="0019370A" w:rsidP="005741FB">
      <w:pPr>
        <w:spacing w:line="240" w:lineRule="auto"/>
        <w:jc w:val="both"/>
        <w:rPr>
          <w:color w:val="000000"/>
        </w:rPr>
      </w:pPr>
      <w:r>
        <w:t xml:space="preserve">Plnění zásobníků </w:t>
      </w:r>
      <w:r w:rsidR="007B3A2D">
        <w:t>bude prováděno obsluhou. Zásob</w:t>
      </w:r>
      <w:r>
        <w:t xml:space="preserve">níky </w:t>
      </w:r>
      <w:r w:rsidR="007B3A2D">
        <w:t xml:space="preserve">budou usazeny </w:t>
      </w:r>
      <w:r>
        <w:br/>
      </w:r>
      <w:r w:rsidR="007B3A2D">
        <w:t xml:space="preserve">na tenzometrických vahách a zásobníky musí mít kapacitu pro množství složek potřebné </w:t>
      </w:r>
      <w:r w:rsidR="006B47D4">
        <w:br/>
      </w:r>
      <w:r w:rsidR="007B3A2D">
        <w:t xml:space="preserve">na 3 experimenty. </w:t>
      </w:r>
      <w:r>
        <w:t>Mě</w:t>
      </w:r>
      <w:r w:rsidR="005741FB">
        <w:t xml:space="preserve">řící rozsah tenzometrických vah bude 0,001 – 100 kg s maximální dovolenou chybou měření </w:t>
      </w:r>
      <w:r w:rsidR="005741FB" w:rsidRPr="005741FB">
        <w:rPr>
          <w:color w:val="000000"/>
        </w:rPr>
        <w:t>± 0,03</w:t>
      </w:r>
      <w:r w:rsidR="005741FB">
        <w:rPr>
          <w:color w:val="000000"/>
        </w:rPr>
        <w:t xml:space="preserve"> </w:t>
      </w:r>
      <w:r w:rsidR="005741FB" w:rsidRPr="005741FB">
        <w:rPr>
          <w:color w:val="000000"/>
        </w:rPr>
        <w:t>%</w:t>
      </w:r>
      <w:r w:rsidR="005741FB">
        <w:rPr>
          <w:color w:val="000000"/>
        </w:rPr>
        <w:t xml:space="preserve">. Dávkování bude řízeno automaticky, tj. </w:t>
      </w:r>
      <w:r>
        <w:rPr>
          <w:color w:val="000000"/>
        </w:rPr>
        <w:t>dávkování</w:t>
      </w:r>
      <w:r w:rsidR="005741FB">
        <w:rPr>
          <w:color w:val="000000"/>
        </w:rPr>
        <w:t xml:space="preserve"> požadované hmotnosti směsi dle nastavené navážky a sledování hmotnostního úbytku v zásobnících. Dávkování bude kontinuální v rozsahu 0 – 100 %. Plnění matrice odpadem se předpokládá v rozsahu 30 – 75 %. </w:t>
      </w:r>
    </w:p>
    <w:p w14:paraId="32B09A39" w14:textId="77777777" w:rsidR="005741FB" w:rsidRDefault="005741FB" w:rsidP="005741FB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Katalyzátor </w:t>
      </w:r>
      <w:proofErr w:type="spellStart"/>
      <w:r>
        <w:rPr>
          <w:color w:val="000000"/>
        </w:rPr>
        <w:t>polysiloxanové</w:t>
      </w:r>
      <w:proofErr w:type="spellEnd"/>
      <w:r>
        <w:rPr>
          <w:color w:val="000000"/>
        </w:rPr>
        <w:t xml:space="preserve"> matrice obsahuje těkavou fází, která je silně toxická, a proto musí b</w:t>
      </w:r>
      <w:r w:rsidR="00031E32">
        <w:rPr>
          <w:color w:val="000000"/>
        </w:rPr>
        <w:t>ýt místo u zásobníku</w:t>
      </w:r>
      <w:r>
        <w:rPr>
          <w:color w:val="000000"/>
        </w:rPr>
        <w:t xml:space="preserve"> opatřeno potřebným odtahem. Odtahové potrubí bude napojeno na aktivní VZT. </w:t>
      </w:r>
      <w:r w:rsidR="006B47D4">
        <w:rPr>
          <w:color w:val="000000"/>
        </w:rPr>
        <w:br/>
      </w:r>
      <w:r>
        <w:rPr>
          <w:color w:val="000000"/>
        </w:rPr>
        <w:t xml:space="preserve">Před zaústěním do VZT bude vzdušina odfiltrována a zbavená všech nečistot. Zásobník musí být </w:t>
      </w:r>
      <w:r w:rsidR="0019370A">
        <w:rPr>
          <w:color w:val="000000"/>
        </w:rPr>
        <w:br/>
      </w:r>
      <w:r>
        <w:rPr>
          <w:color w:val="000000"/>
        </w:rPr>
        <w:t>po ukončení plnění novým katalyzátorem uzavřen a utěsněn, z </w:t>
      </w:r>
      <w:r w:rsidR="0019370A">
        <w:rPr>
          <w:color w:val="000000"/>
        </w:rPr>
        <w:t>důvodu zmezení znehodnocení kata</w:t>
      </w:r>
      <w:r>
        <w:rPr>
          <w:color w:val="000000"/>
        </w:rPr>
        <w:t>l</w:t>
      </w:r>
      <w:r w:rsidR="0019370A">
        <w:rPr>
          <w:color w:val="000000"/>
        </w:rPr>
        <w:t>y</w:t>
      </w:r>
      <w:r>
        <w:rPr>
          <w:color w:val="000000"/>
        </w:rPr>
        <w:t xml:space="preserve">zátoru. </w:t>
      </w:r>
    </w:p>
    <w:p w14:paraId="3C1952F3" w14:textId="77777777" w:rsidR="005E3AE9" w:rsidRDefault="005741FB" w:rsidP="005741FB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Při homogenizaci bude za stálého míchání do polymerní viskózní tekutiny </w:t>
      </w:r>
      <w:proofErr w:type="spellStart"/>
      <w:r>
        <w:rPr>
          <w:color w:val="000000"/>
        </w:rPr>
        <w:t>Lukopren</w:t>
      </w:r>
      <w:proofErr w:type="spellEnd"/>
      <w:r>
        <w:rPr>
          <w:color w:val="000000"/>
        </w:rPr>
        <w:t xml:space="preserve"> 1000 kontinuálně přiváděn katalyzátor a odpad. Odpad může být přiváděn i jako třetí složka v pořadí homogenizace. </w:t>
      </w:r>
      <w:r w:rsidR="006B47D4">
        <w:rPr>
          <w:color w:val="000000"/>
        </w:rPr>
        <w:br/>
      </w:r>
      <w:r>
        <w:rPr>
          <w:color w:val="000000"/>
        </w:rPr>
        <w:t xml:space="preserve">U odpadů s vyšším procentem vlhkosti (cca 40 %) je homogenizace dvoustupňová, kdy je v druhém </w:t>
      </w:r>
      <w:r w:rsidR="006B47D4">
        <w:rPr>
          <w:color w:val="000000"/>
        </w:rPr>
        <w:t xml:space="preserve">stupni přidávána další část katalyzátoru pro dokončení procesu </w:t>
      </w:r>
      <w:proofErr w:type="spellStart"/>
      <w:r w:rsidR="006B47D4">
        <w:rPr>
          <w:color w:val="000000"/>
        </w:rPr>
        <w:t>zesíťování</w:t>
      </w:r>
      <w:proofErr w:type="spellEnd"/>
      <w:r w:rsidR="006B47D4">
        <w:rPr>
          <w:color w:val="000000"/>
        </w:rPr>
        <w:t>.</w:t>
      </w:r>
      <w:r>
        <w:rPr>
          <w:color w:val="000000"/>
        </w:rPr>
        <w:t xml:space="preserve"> </w:t>
      </w:r>
      <w:r w:rsidR="0019370A">
        <w:rPr>
          <w:color w:val="000000"/>
        </w:rPr>
        <w:t>Předpokládaný</w:t>
      </w:r>
      <w:r w:rsidR="006B47D4">
        <w:rPr>
          <w:color w:val="000000"/>
        </w:rPr>
        <w:t xml:space="preserve"> průběh homogenizace pro modelovou matrici bude 15 – 60 minut, dle vlhkosti </w:t>
      </w:r>
      <w:proofErr w:type="spellStart"/>
      <w:r w:rsidR="006B47D4">
        <w:rPr>
          <w:color w:val="000000"/>
        </w:rPr>
        <w:t>osbsažené</w:t>
      </w:r>
      <w:proofErr w:type="spellEnd"/>
      <w:r w:rsidR="006B47D4">
        <w:rPr>
          <w:color w:val="000000"/>
        </w:rPr>
        <w:t xml:space="preserve"> v matrici, dle druhu experimentu a pod</w:t>
      </w:r>
      <w:r w:rsidR="005E3AE9">
        <w:rPr>
          <w:color w:val="000000"/>
        </w:rPr>
        <w:t>le vlastností vstupních složek.</w:t>
      </w:r>
    </w:p>
    <w:p w14:paraId="329010BD" w14:textId="77777777" w:rsidR="00867C1A" w:rsidRPr="002F6066" w:rsidRDefault="00867C1A" w:rsidP="005741FB">
      <w:pPr>
        <w:spacing w:line="240" w:lineRule="auto"/>
        <w:jc w:val="both"/>
        <w:rPr>
          <w:b/>
          <w:i/>
          <w:color w:val="000000"/>
        </w:rPr>
      </w:pPr>
      <w:r w:rsidRPr="002F6066">
        <w:rPr>
          <w:b/>
          <w:i/>
          <w:color w:val="000000"/>
        </w:rPr>
        <w:t>Vhodné zařízení pro tento způsob homogenizace:</w:t>
      </w:r>
    </w:p>
    <w:p w14:paraId="5BDF020B" w14:textId="77777777" w:rsidR="00867C1A" w:rsidRDefault="00867C1A" w:rsidP="00867C1A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zařízení pro míchání v sudu</w:t>
      </w:r>
    </w:p>
    <w:p w14:paraId="155E429B" w14:textId="14306E90" w:rsidR="00664C2A" w:rsidRDefault="00786384" w:rsidP="0053142E">
      <w:pPr>
        <w:spacing w:line="240" w:lineRule="auto"/>
        <w:jc w:val="both"/>
        <w:rPr>
          <w:color w:val="000000"/>
        </w:rPr>
      </w:pPr>
      <w:r>
        <w:rPr>
          <w:color w:val="000000"/>
        </w:rPr>
        <w:t>Zařízení pro míchání v</w:t>
      </w:r>
      <w:r w:rsidR="005E3AE9">
        <w:rPr>
          <w:color w:val="000000"/>
        </w:rPr>
        <w:t> </w:t>
      </w:r>
      <w:r>
        <w:rPr>
          <w:color w:val="000000"/>
        </w:rPr>
        <w:t>sudu je konstrukčně stejné jako</w:t>
      </w:r>
      <w:r w:rsidR="0019370A">
        <w:rPr>
          <w:color w:val="000000"/>
        </w:rPr>
        <w:t xml:space="preserve"> 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geopolymerní</w:t>
      </w:r>
      <w:proofErr w:type="spellEnd"/>
      <w:r>
        <w:rPr>
          <w:color w:val="000000"/>
        </w:rPr>
        <w:t xml:space="preserve"> fixace. Zařízení se skládá z víka, které je opatřeno míchadlem a nasazeno přímo na vzorkovací sud se vzorkovací formou, </w:t>
      </w:r>
      <w:r w:rsidR="005E3AE9">
        <w:rPr>
          <w:color w:val="000000"/>
        </w:rPr>
        <w:br/>
      </w:r>
      <w:r>
        <w:rPr>
          <w:color w:val="000000"/>
        </w:rPr>
        <w:t xml:space="preserve">viz kap. 3.3. Objem sudu je 50 l a naplnění finální matricí je 30 l. Způsob míchání probíhá otáčením míchadla a také jeho pohybem nahoru a dolů. </w:t>
      </w:r>
      <w:r w:rsidR="00F44524">
        <w:rPr>
          <w:color w:val="000000"/>
        </w:rPr>
        <w:t xml:space="preserve">Přepokládaný rozsah regulace otáček míchadla je </w:t>
      </w:r>
      <w:r w:rsidR="005E3AE9">
        <w:rPr>
          <w:color w:val="000000"/>
        </w:rPr>
        <w:br/>
      </w:r>
      <w:r w:rsidR="0053142E">
        <w:rPr>
          <w:color w:val="000000"/>
        </w:rPr>
        <w:t>10 – 1</w:t>
      </w:r>
      <w:r w:rsidR="00CE1610">
        <w:rPr>
          <w:color w:val="000000"/>
        </w:rPr>
        <w:t>700</w:t>
      </w:r>
      <w:r w:rsidR="008F4D21">
        <w:rPr>
          <w:color w:val="000000"/>
        </w:rPr>
        <w:t xml:space="preserve"> </w:t>
      </w:r>
      <w:proofErr w:type="spellStart"/>
      <w:r w:rsidR="008F4D21">
        <w:rPr>
          <w:color w:val="000000"/>
        </w:rPr>
        <w:t>ot</w:t>
      </w:r>
      <w:proofErr w:type="spellEnd"/>
      <w:r w:rsidR="008F4D21">
        <w:rPr>
          <w:color w:val="000000"/>
        </w:rPr>
        <w:t>/min</w:t>
      </w:r>
      <w:r w:rsidR="00CE1610">
        <w:rPr>
          <w:color w:val="000000"/>
        </w:rPr>
        <w:t xml:space="preserve">. </w:t>
      </w:r>
      <w:r w:rsidR="00F44524">
        <w:rPr>
          <w:color w:val="000000"/>
        </w:rPr>
        <w:t>Zdvih míchadla v průběhu homogenizace bude prováděn rovnoměrně 2 – 15x/min. Po ukončení homogenizace je víko s míchadlem ze sudu odsunuto a sud bude transportován na operaci měření teplotního profilu.</w:t>
      </w:r>
    </w:p>
    <w:p w14:paraId="5C2DE948" w14:textId="436E90DA" w:rsidR="0053142E" w:rsidRDefault="00F44524" w:rsidP="0053142E">
      <w:pPr>
        <w:spacing w:line="240" w:lineRule="auto"/>
        <w:jc w:val="both"/>
        <w:rPr>
          <w:color w:val="000000"/>
        </w:rPr>
      </w:pPr>
      <w:r>
        <w:rPr>
          <w:color w:val="000000"/>
        </w:rPr>
        <w:t>V průběhu homogenizace bude monitorována teplota, tlak a viskozita směsi pro stanov</w:t>
      </w:r>
      <w:r w:rsidR="00A75769">
        <w:rPr>
          <w:color w:val="000000"/>
        </w:rPr>
        <w:t>ení jednotlivých fází polymeriz</w:t>
      </w:r>
      <w:r>
        <w:rPr>
          <w:color w:val="000000"/>
        </w:rPr>
        <w:t xml:space="preserve">ace v závislosti na čase. U obou </w:t>
      </w:r>
      <w:r w:rsidR="005E3AE9">
        <w:rPr>
          <w:color w:val="000000"/>
        </w:rPr>
        <w:t>případů bude sud součástí transportního zařízení, obr. 6 kap. 3.3. Sud bude obklopen izolací a elektrickým ohřevem (3 segmenty). Ze spodní části sudu budou instalovány výpustě pro na</w:t>
      </w:r>
      <w:r w:rsidR="0053142E">
        <w:rPr>
          <w:color w:val="000000"/>
        </w:rPr>
        <w:t xml:space="preserve">plnění </w:t>
      </w:r>
      <w:r w:rsidR="0053142E" w:rsidRPr="0043235E">
        <w:t>vzorko</w:t>
      </w:r>
      <w:r w:rsidR="00E465D7" w:rsidRPr="0043235E">
        <w:t>va</w:t>
      </w:r>
      <w:r w:rsidR="0053142E" w:rsidRPr="0043235E">
        <w:t xml:space="preserve">cí </w:t>
      </w:r>
      <w:r w:rsidR="0053142E">
        <w:rPr>
          <w:color w:val="000000"/>
        </w:rPr>
        <w:t xml:space="preserve">formy, obr. 6. U </w:t>
      </w:r>
      <w:r w:rsidR="005E3AE9">
        <w:rPr>
          <w:color w:val="000000"/>
        </w:rPr>
        <w:t xml:space="preserve">zařízení míchání v sudu </w:t>
      </w:r>
      <w:r w:rsidR="00DA5A5A">
        <w:rPr>
          <w:color w:val="000000"/>
        </w:rPr>
        <w:br/>
      </w:r>
      <w:r w:rsidR="005E3AE9">
        <w:rPr>
          <w:color w:val="000000"/>
        </w:rPr>
        <w:t>se po ukončení procesu homogenizace výpustě otevřou a po naplnění formy znovu zavřou. Jako vedlejší pro</w:t>
      </w:r>
      <w:r w:rsidR="00DA5A5A">
        <w:rPr>
          <w:color w:val="000000"/>
        </w:rPr>
        <w:t>dukt polykondenzačních reakcí je vznik vody, která se odstraňuje ve fázi tuhnutí, kdy dochází k jejímu odpařování, a je proto nutné zařadit do systému kondenzaci par. Kondenzát bude odvá</w:t>
      </w:r>
      <w:r w:rsidR="0053142E">
        <w:rPr>
          <w:color w:val="000000"/>
        </w:rPr>
        <w:t>děn do zásobní nádrže modelových roztoků technologie ETL.</w:t>
      </w:r>
    </w:p>
    <w:p w14:paraId="47FE8A8E" w14:textId="77777777" w:rsidR="00B32B15" w:rsidRDefault="00B32B15" w:rsidP="0053142E">
      <w:pPr>
        <w:spacing w:line="240" w:lineRule="auto"/>
        <w:jc w:val="both"/>
        <w:rPr>
          <w:color w:val="000000"/>
        </w:rPr>
      </w:pPr>
    </w:p>
    <w:p w14:paraId="685B591A" w14:textId="77777777" w:rsidR="00DA5A5A" w:rsidRDefault="00DA5A5A" w:rsidP="00DA5A5A">
      <w:pPr>
        <w:pStyle w:val="Nadpis2"/>
      </w:pPr>
      <w:r>
        <w:t>Měření teplotního profilu tuhnutí matric</w:t>
      </w:r>
    </w:p>
    <w:p w14:paraId="13763482" w14:textId="77777777" w:rsidR="009B41F4" w:rsidRDefault="009B41F4" w:rsidP="009B41F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B41F4">
        <w:rPr>
          <w:color w:val="000000"/>
        </w:rPr>
        <w:t xml:space="preserve">Součástí tohoto systému je </w:t>
      </w:r>
      <w:r w:rsidR="00AC2B50">
        <w:rPr>
          <w:color w:val="000000"/>
        </w:rPr>
        <w:t>i</w:t>
      </w:r>
      <w:r w:rsidRPr="009B41F4">
        <w:rPr>
          <w:color w:val="000000"/>
        </w:rPr>
        <w:t xml:space="preserve"> zařízení pro měření teplotního profilu tuhnu</w:t>
      </w:r>
      <w:r>
        <w:rPr>
          <w:color w:val="000000"/>
        </w:rPr>
        <w:t>tí matric, transportní zařízení</w:t>
      </w:r>
      <w:r w:rsidRPr="009B41F4">
        <w:rPr>
          <w:color w:val="000000"/>
        </w:rPr>
        <w:t>, v</w:t>
      </w:r>
      <w:r>
        <w:rPr>
          <w:color w:val="000000"/>
        </w:rPr>
        <w:t>e kterém bude uložený sud,</w:t>
      </w:r>
      <w:r w:rsidRPr="009B41F4">
        <w:rPr>
          <w:color w:val="000000"/>
        </w:rPr>
        <w:t xml:space="preserve"> vzorkovací forma a transportní systém, umožňující ma</w:t>
      </w:r>
      <w:r>
        <w:rPr>
          <w:color w:val="000000"/>
        </w:rPr>
        <w:t>nipulaci transportního zařízení</w:t>
      </w:r>
      <w:r w:rsidRPr="009B41F4">
        <w:rPr>
          <w:color w:val="000000"/>
        </w:rPr>
        <w:t xml:space="preserve"> mezi operacemi fixace od</w:t>
      </w:r>
      <w:r>
        <w:rPr>
          <w:color w:val="000000"/>
        </w:rPr>
        <w:t xml:space="preserve">padu do matric a měřením </w:t>
      </w:r>
      <w:r w:rsidRPr="009B41F4">
        <w:rPr>
          <w:color w:val="000000"/>
        </w:rPr>
        <w:t xml:space="preserve">teplotního profilu. </w:t>
      </w:r>
      <w:r w:rsidR="007E5E49">
        <w:rPr>
          <w:color w:val="000000"/>
        </w:rPr>
        <w:t xml:space="preserve">Manipulace </w:t>
      </w:r>
      <w:r w:rsidR="00672351">
        <w:rPr>
          <w:color w:val="000000"/>
        </w:rPr>
        <w:t xml:space="preserve">bude </w:t>
      </w:r>
      <w:r w:rsidR="00AC2B50">
        <w:rPr>
          <w:color w:val="000000"/>
        </w:rPr>
        <w:t>pouze manuální</w:t>
      </w:r>
      <w:r w:rsidRPr="009B41F4">
        <w:rPr>
          <w:color w:val="000000"/>
        </w:rPr>
        <w:t>.</w:t>
      </w:r>
    </w:p>
    <w:p w14:paraId="38C90E95" w14:textId="0B164D05" w:rsidR="009B41F4" w:rsidRPr="00BF38CD" w:rsidRDefault="009B41F4" w:rsidP="009B41F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B41F4">
        <w:rPr>
          <w:color w:val="000000"/>
        </w:rPr>
        <w:t>Po ukončení procesu homogenizace se část matrice odeber</w:t>
      </w:r>
      <w:r>
        <w:rPr>
          <w:color w:val="000000"/>
        </w:rPr>
        <w:t xml:space="preserve">e do vzorkovací formy. Následující </w:t>
      </w:r>
      <w:r w:rsidRPr="009B41F4">
        <w:rPr>
          <w:color w:val="000000"/>
        </w:rPr>
        <w:t>operace je měření teplotního profilu tuhnutí matrice. Zař</w:t>
      </w:r>
      <w:r>
        <w:rPr>
          <w:color w:val="000000"/>
        </w:rPr>
        <w:t>ízení bude tvořit víko opatřené</w:t>
      </w:r>
      <w:r w:rsidRPr="009B41F4">
        <w:rPr>
          <w:color w:val="000000"/>
        </w:rPr>
        <w:t xml:space="preserve"> izolací se zabudovanými teplotními čidly, </w:t>
      </w:r>
      <w:r>
        <w:rPr>
          <w:color w:val="000000"/>
        </w:rPr>
        <w:t>které bude nasazeno a ukotveno na</w:t>
      </w:r>
      <w:r w:rsidRPr="009B41F4">
        <w:rPr>
          <w:color w:val="000000"/>
        </w:rPr>
        <w:t xml:space="preserve"> transportní</w:t>
      </w:r>
      <w:r>
        <w:rPr>
          <w:color w:val="000000"/>
        </w:rPr>
        <w:t xml:space="preserve"> zařízení</w:t>
      </w:r>
      <w:r w:rsidRPr="009B41F4">
        <w:rPr>
          <w:color w:val="000000"/>
        </w:rPr>
        <w:t>. Proce</w:t>
      </w:r>
      <w:r w:rsidR="007E5E49">
        <w:rPr>
          <w:color w:val="000000"/>
        </w:rPr>
        <w:t>s tuhnutí matric musí probíhat za adiabatických podmínek</w:t>
      </w:r>
      <w:r w:rsidRPr="009B41F4">
        <w:rPr>
          <w:color w:val="000000"/>
        </w:rPr>
        <w:t xml:space="preserve">. Teplotní čidla budou umístěná v teplotních jímkách. </w:t>
      </w:r>
      <w:r w:rsidR="00E604E1">
        <w:rPr>
          <w:color w:val="000000"/>
        </w:rPr>
        <w:t xml:space="preserve">Jímky budou pouze na jedno požití. Po zatuhnutí, zůstanou v matrici. </w:t>
      </w:r>
      <w:r w:rsidRPr="009B41F4">
        <w:rPr>
          <w:color w:val="000000"/>
        </w:rPr>
        <w:t xml:space="preserve">Uspořádání teplotních čidel je znázorněno na </w:t>
      </w:r>
      <w:r>
        <w:t xml:space="preserve">Obr. </w:t>
      </w:r>
      <w:r w:rsidR="007E5E49" w:rsidRPr="007E5E49">
        <w:t>7</w:t>
      </w:r>
      <w:r>
        <w:t>.</w:t>
      </w:r>
      <w:r w:rsidRPr="009B41F4">
        <w:t xml:space="preserve"> </w:t>
      </w:r>
      <w:r w:rsidRPr="009B41F4">
        <w:rPr>
          <w:color w:val="000000"/>
        </w:rPr>
        <w:t xml:space="preserve">Jedná se o rozmístění 15 teplotních čidel v celém objemu matrice, tj. 5 čidel umístěných pod hladinu matrice (vrchní </w:t>
      </w:r>
      <w:proofErr w:type="spellStart"/>
      <w:r w:rsidRPr="009B41F4">
        <w:rPr>
          <w:color w:val="000000"/>
        </w:rPr>
        <w:t>level</w:t>
      </w:r>
      <w:proofErr w:type="spellEnd"/>
      <w:r w:rsidRPr="009B41F4">
        <w:rPr>
          <w:color w:val="000000"/>
        </w:rPr>
        <w:t xml:space="preserve">), 5 čidel umístěných uprostřed objemu (střední </w:t>
      </w:r>
      <w:proofErr w:type="spellStart"/>
      <w:r w:rsidRPr="009B41F4">
        <w:rPr>
          <w:color w:val="000000"/>
        </w:rPr>
        <w:t>level</w:t>
      </w:r>
      <w:proofErr w:type="spellEnd"/>
      <w:r w:rsidRPr="009B41F4">
        <w:rPr>
          <w:color w:val="000000"/>
        </w:rPr>
        <w:t xml:space="preserve">) a 5 čidel umístěných u dna sudu (spodní </w:t>
      </w:r>
      <w:proofErr w:type="spellStart"/>
      <w:r w:rsidRPr="009B41F4">
        <w:rPr>
          <w:color w:val="000000"/>
        </w:rPr>
        <w:t>level</w:t>
      </w:r>
      <w:proofErr w:type="spellEnd"/>
      <w:r w:rsidRPr="009B41F4">
        <w:rPr>
          <w:color w:val="000000"/>
        </w:rPr>
        <w:t xml:space="preserve">). </w:t>
      </w:r>
      <w:r w:rsidR="00B32B15">
        <w:rPr>
          <w:color w:val="000000"/>
        </w:rPr>
        <w:t xml:space="preserve">Zařízení musí obsahovat i bezkontaktní měření teploty povrchu homogenizované směsi. </w:t>
      </w:r>
      <w:r w:rsidRPr="009B41F4">
        <w:t xml:space="preserve">Měření bude prováděno pro </w:t>
      </w:r>
      <w:proofErr w:type="spellStart"/>
      <w:r w:rsidRPr="009B41F4">
        <w:t>geopolymerovou</w:t>
      </w:r>
      <w:proofErr w:type="spellEnd"/>
      <w:r w:rsidRPr="009B41F4">
        <w:t xml:space="preserve"> i </w:t>
      </w:r>
      <w:proofErr w:type="spellStart"/>
      <w:r w:rsidRPr="009B41F4">
        <w:t>polysiloxanovou</w:t>
      </w:r>
      <w:proofErr w:type="spellEnd"/>
      <w:r w:rsidRPr="009B41F4">
        <w:t xml:space="preserve"> matrici. </w:t>
      </w:r>
      <w:r w:rsidRPr="009B41F4">
        <w:rPr>
          <w:color w:val="000000"/>
        </w:rPr>
        <w:t xml:space="preserve">Předpokládaný průběh měření je 24hod. Poté budou </w:t>
      </w:r>
      <w:r w:rsidR="00E604E1">
        <w:rPr>
          <w:color w:val="000000"/>
        </w:rPr>
        <w:t xml:space="preserve">vysunuta teplotní čidla z jímek </w:t>
      </w:r>
      <w:r w:rsidRPr="009B41F4">
        <w:rPr>
          <w:color w:val="000000"/>
        </w:rPr>
        <w:t>a víko bude odděleno a zve</w:t>
      </w:r>
      <w:r w:rsidR="00242A31">
        <w:rPr>
          <w:color w:val="000000"/>
        </w:rPr>
        <w:t>dnuto od transportního zařízení</w:t>
      </w:r>
      <w:r w:rsidRPr="009B41F4">
        <w:rPr>
          <w:color w:val="000000"/>
        </w:rPr>
        <w:t>.</w:t>
      </w:r>
      <w:r>
        <w:rPr>
          <w:color w:val="000000"/>
        </w:rPr>
        <w:t xml:space="preserve"> </w:t>
      </w:r>
      <w:r w:rsidR="00242A31">
        <w:rPr>
          <w:color w:val="000000"/>
        </w:rPr>
        <w:t>Víko musí být</w:t>
      </w:r>
      <w:r w:rsidR="00242A31" w:rsidRPr="00242A31">
        <w:rPr>
          <w:color w:val="000000"/>
        </w:rPr>
        <w:t xml:space="preserve"> opatřeno odtahem </w:t>
      </w:r>
      <w:proofErr w:type="spellStart"/>
      <w:r w:rsidR="00242A31" w:rsidRPr="00242A31">
        <w:rPr>
          <w:color w:val="000000"/>
        </w:rPr>
        <w:t>od</w:t>
      </w:r>
      <w:r w:rsidR="00242A31">
        <w:rPr>
          <w:color w:val="000000"/>
        </w:rPr>
        <w:t>plynů</w:t>
      </w:r>
      <w:proofErr w:type="spellEnd"/>
      <w:r w:rsidR="00242A31">
        <w:rPr>
          <w:color w:val="000000"/>
        </w:rPr>
        <w:t xml:space="preserve"> z prostoru tuhnutí matric, protože během polykondenzačních reakcí vznikají vodní páry.</w:t>
      </w:r>
      <w:r w:rsidR="00242A31" w:rsidRPr="00242A31">
        <w:rPr>
          <w:color w:val="000000"/>
        </w:rPr>
        <w:t xml:space="preserve"> U </w:t>
      </w:r>
      <w:proofErr w:type="spellStart"/>
      <w:r w:rsidR="00242A31" w:rsidRPr="00242A31">
        <w:rPr>
          <w:color w:val="000000"/>
        </w:rPr>
        <w:t>geopolymerní</w:t>
      </w:r>
      <w:proofErr w:type="spellEnd"/>
      <w:r w:rsidR="00242A31" w:rsidRPr="00242A31">
        <w:rPr>
          <w:color w:val="000000"/>
        </w:rPr>
        <w:t xml:space="preserve"> fixace současně s odstraňováním vody může být ze systému vzniklého produktu odstraňován i zbytek alkalického aktivátoru a při reakci se vzduchem může docházet k tvorbě alkalických uhličitanů. Je nutné do systému zařadit kondenzaci par. Kondenzát bude odváděn </w:t>
      </w:r>
      <w:r w:rsidR="00242A31" w:rsidRPr="00BF38CD">
        <w:rPr>
          <w:color w:val="000000"/>
        </w:rPr>
        <w:t>do zásobní nádrže vstupních</w:t>
      </w:r>
      <w:r w:rsidR="007E5E49" w:rsidRPr="00BF38CD">
        <w:rPr>
          <w:color w:val="000000"/>
        </w:rPr>
        <w:t xml:space="preserve"> koncentrátů</w:t>
      </w:r>
      <w:r w:rsidR="00242A31" w:rsidRPr="00BF38CD">
        <w:rPr>
          <w:color w:val="000000"/>
        </w:rPr>
        <w:t>.</w:t>
      </w:r>
    </w:p>
    <w:p w14:paraId="14413C2E" w14:textId="77777777" w:rsidR="000C66D8" w:rsidRPr="00BF38CD" w:rsidRDefault="00D8511F" w:rsidP="000C66D8">
      <w:pPr>
        <w:jc w:val="both"/>
      </w:pPr>
      <w:r w:rsidRPr="00BF38CD">
        <w:rPr>
          <w:color w:val="000000"/>
        </w:rPr>
        <w:t>Po ukončení experi</w:t>
      </w:r>
      <w:r w:rsidR="000C66D8" w:rsidRPr="00BF38CD">
        <w:rPr>
          <w:color w:val="000000"/>
        </w:rPr>
        <w:t>mentu bude transportní zařízení</w:t>
      </w:r>
      <w:r w:rsidRPr="00BF38CD">
        <w:rPr>
          <w:color w:val="000000"/>
        </w:rPr>
        <w:t xml:space="preserve"> odsunut</w:t>
      </w:r>
      <w:r w:rsidR="000C66D8" w:rsidRPr="00BF38CD">
        <w:rPr>
          <w:color w:val="000000"/>
        </w:rPr>
        <w:t>o</w:t>
      </w:r>
      <w:r w:rsidRPr="00BF38CD">
        <w:rPr>
          <w:color w:val="000000"/>
        </w:rPr>
        <w:t>,</w:t>
      </w:r>
      <w:r w:rsidR="00AC2B50" w:rsidRPr="00BF38CD">
        <w:rPr>
          <w:color w:val="000000"/>
        </w:rPr>
        <w:t xml:space="preserve"> </w:t>
      </w:r>
      <w:r w:rsidR="00BF38CD" w:rsidRPr="00BF38CD">
        <w:rPr>
          <w:color w:val="000000"/>
        </w:rPr>
        <w:t>odebrána</w:t>
      </w:r>
      <w:r w:rsidRPr="00BF38CD">
        <w:rPr>
          <w:color w:val="000000"/>
        </w:rPr>
        <w:t xml:space="preserve"> vzorkovací forma a sud, který bude likvidován v souladu s interními standardy pro likvidaci odpadů </w:t>
      </w:r>
      <w:r w:rsidR="007E5E49" w:rsidRPr="00BF38CD">
        <w:rPr>
          <w:color w:val="000000"/>
        </w:rPr>
        <w:t>areálu Ú</w:t>
      </w:r>
      <w:r w:rsidRPr="00BF38CD">
        <w:rPr>
          <w:color w:val="000000"/>
        </w:rPr>
        <w:t>JV.</w:t>
      </w:r>
      <w:r w:rsidR="000C66D8" w:rsidRPr="00BF38CD">
        <w:t xml:space="preserve"> Manipulace s transportním zařízením mezi fixačním</w:t>
      </w:r>
      <w:r w:rsidR="00BF38CD" w:rsidRPr="00BF38CD">
        <w:t xml:space="preserve"> zařízením</w:t>
      </w:r>
      <w:r w:rsidR="000C66D8" w:rsidRPr="00BF38CD">
        <w:t xml:space="preserve"> a zařízením pro m</w:t>
      </w:r>
      <w:r w:rsidR="00BF38CD" w:rsidRPr="00BF38CD">
        <w:t xml:space="preserve">ěření teplotního profilu </w:t>
      </w:r>
      <w:r w:rsidR="000C66D8" w:rsidRPr="00BF38CD">
        <w:t>bude prováděna po transportní dráze, která umožní posun transportní</w:t>
      </w:r>
      <w:r w:rsidR="00BF38CD" w:rsidRPr="00BF38CD">
        <w:t xml:space="preserve">ho přípravku na přesnou pozici. Celá </w:t>
      </w:r>
      <w:r w:rsidR="000C66D8" w:rsidRPr="00BF38CD">
        <w:t>tato manipulace, vče</w:t>
      </w:r>
      <w:r w:rsidR="00BF38CD" w:rsidRPr="00BF38CD">
        <w:t xml:space="preserve">tně </w:t>
      </w:r>
      <w:r w:rsidR="00E604E1">
        <w:t xml:space="preserve">vysunutí </w:t>
      </w:r>
      <w:r w:rsidR="00BF38CD" w:rsidRPr="00BF38CD">
        <w:t xml:space="preserve">teplotních čidel </w:t>
      </w:r>
      <w:r w:rsidR="00E604E1">
        <w:t>z</w:t>
      </w:r>
      <w:r w:rsidR="000C66D8" w:rsidRPr="00BF38CD">
        <w:t xml:space="preserve"> jímek po zatuhnutí matrice a zdvihu víka, </w:t>
      </w:r>
      <w:r w:rsidR="00BF38CD" w:rsidRPr="00BF38CD">
        <w:t>bude prováděna manuálně obsluhou</w:t>
      </w:r>
      <w:r w:rsidR="00E604E1">
        <w:t xml:space="preserve"> pomocí zdvihacího zařízení</w:t>
      </w:r>
      <w:r w:rsidR="000C66D8" w:rsidRPr="00BF38CD">
        <w:t>.</w:t>
      </w:r>
      <w:r w:rsidR="000C66D8" w:rsidRPr="00BF38CD">
        <w:rPr>
          <w:noProof/>
          <w:color w:val="000000"/>
        </w:rPr>
        <w:t xml:space="preserve"> </w:t>
      </w:r>
      <w:r w:rsidR="000C66D8" w:rsidRPr="00BF38CD">
        <w:t>Transportní dráhu může tvořit kotvící mechanizmus, ve kterém se upne mobilní transportní zařízení nebo posuvná dráha se st</w:t>
      </w:r>
      <w:r w:rsidR="00BF38CD">
        <w:t>abilním transportním zařízením.</w:t>
      </w:r>
    </w:p>
    <w:p w14:paraId="25AE6038" w14:textId="77777777" w:rsidR="000C66D8" w:rsidRPr="000C66D8" w:rsidRDefault="000C66D8" w:rsidP="000C66D8">
      <w:pPr>
        <w:spacing w:line="240" w:lineRule="auto"/>
        <w:rPr>
          <w:b/>
          <w:i/>
          <w:lang w:eastAsia="cs-CZ"/>
        </w:rPr>
      </w:pPr>
      <w:r>
        <w:rPr>
          <w:b/>
          <w:i/>
        </w:rPr>
        <w:t>Transportní zařízení</w:t>
      </w:r>
      <w:r w:rsidRPr="000C66D8">
        <w:rPr>
          <w:b/>
          <w:i/>
        </w:rPr>
        <w:t xml:space="preserve"> – Indikativní provedení</w:t>
      </w:r>
    </w:p>
    <w:p w14:paraId="2DADFDF7" w14:textId="77777777" w:rsidR="000C66D8" w:rsidRDefault="000C66D8" w:rsidP="000C66D8">
      <w:pPr>
        <w:spacing w:line="240" w:lineRule="auto"/>
        <w:jc w:val="both"/>
      </w:pPr>
      <w:r w:rsidRPr="000C66D8">
        <w:rPr>
          <w:color w:val="000000"/>
        </w:rPr>
        <w:t>Proce</w:t>
      </w:r>
      <w:r w:rsidR="003D0501">
        <w:rPr>
          <w:color w:val="000000"/>
        </w:rPr>
        <w:t>s tuhnutí matric musí probíhat za adiabatických podmínek</w:t>
      </w:r>
      <w:r w:rsidRPr="000C66D8">
        <w:rPr>
          <w:color w:val="000000"/>
        </w:rPr>
        <w:t xml:space="preserve">. Tomu musí být uzpůsoben </w:t>
      </w:r>
      <w:r>
        <w:rPr>
          <w:color w:val="000000"/>
        </w:rPr>
        <w:br/>
        <w:t>i transportní zařízení. Zařízení</w:t>
      </w:r>
      <w:r w:rsidRPr="000C66D8">
        <w:rPr>
          <w:color w:val="000000"/>
        </w:rPr>
        <w:t xml:space="preserve"> </w:t>
      </w:r>
      <w:r>
        <w:rPr>
          <w:color w:val="000000"/>
        </w:rPr>
        <w:t xml:space="preserve">se bude skládat ze dvou částí, </w:t>
      </w:r>
      <w:r w:rsidRPr="000C66D8">
        <w:rPr>
          <w:color w:val="000000"/>
        </w:rPr>
        <w:t xml:space="preserve">viz </w:t>
      </w:r>
      <w:r w:rsidRPr="000C66D8">
        <w:t>Ob</w:t>
      </w:r>
      <w:r>
        <w:t>r.6.</w:t>
      </w:r>
      <w:r w:rsidRPr="000C66D8">
        <w:t xml:space="preserve"> </w:t>
      </w:r>
    </w:p>
    <w:p w14:paraId="06F4BA5C" w14:textId="77777777" w:rsidR="000C66D8" w:rsidRPr="000C66D8" w:rsidRDefault="000C66D8" w:rsidP="000C66D8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č</w:t>
      </w:r>
      <w:r w:rsidRPr="000C66D8">
        <w:rPr>
          <w:color w:val="000000"/>
        </w:rPr>
        <w:t>ást pro uložení sudu</w:t>
      </w:r>
    </w:p>
    <w:p w14:paraId="759E15CA" w14:textId="77777777" w:rsidR="000C66D8" w:rsidRPr="000C66D8" w:rsidRDefault="000C66D8" w:rsidP="000C66D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rPr>
          <w:color w:val="000000"/>
        </w:rPr>
      </w:pPr>
      <w:r w:rsidRPr="000C66D8">
        <w:rPr>
          <w:color w:val="000000"/>
        </w:rPr>
        <w:t>část pro uložení vzorkovací formy</w:t>
      </w:r>
    </w:p>
    <w:p w14:paraId="4CB6D354" w14:textId="77777777" w:rsidR="000C66D8" w:rsidRDefault="000C66D8" w:rsidP="007E63F6">
      <w:pPr>
        <w:spacing w:after="120" w:line="240" w:lineRule="auto"/>
        <w:jc w:val="both"/>
      </w:pPr>
      <w:r w:rsidRPr="000C66D8">
        <w:t xml:space="preserve">Vrchní část, kde bude uložen sud, se bude skládat ze tří segmentů s izolací a ohřevem. Spodní část </w:t>
      </w:r>
      <w:r w:rsidR="007E63F6">
        <w:br/>
      </w:r>
      <w:r w:rsidRPr="000C66D8">
        <w:t xml:space="preserve">se vzorkovací formou bude opatřena pouze segmenty s izolací a izolovaným dnem. Části se sudem </w:t>
      </w:r>
      <w:r w:rsidR="007E63F6">
        <w:br/>
      </w:r>
      <w:r w:rsidRPr="000C66D8">
        <w:t xml:space="preserve">a formou budou propojeny pomocí vypouštěcích elementů pro naplnění formy po průběhu homogenizace. Segmenty obou částí budou řešeny jako uzavírací systém s možností jednoduchého vkládání a vykládání sudů a forem jak prázdných tak naplněných. Konstrukční řešení musí zajistit </w:t>
      </w:r>
      <w:r w:rsidR="007E63F6">
        <w:br/>
      </w:r>
      <w:r w:rsidRPr="000C66D8">
        <w:t>co nejjednodušší a bezpečnou manipulaci se zařízením.</w:t>
      </w:r>
    </w:p>
    <w:p w14:paraId="1CD61B8E" w14:textId="77777777" w:rsidR="007E63F6" w:rsidRDefault="007E63F6" w:rsidP="007E63F6">
      <w:pPr>
        <w:keepNext/>
        <w:spacing w:after="12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0A9B3EF4" wp14:editId="00CADCB4">
            <wp:extent cx="5849620" cy="4048125"/>
            <wp:effectExtent l="0" t="0" r="0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C87D" w14:textId="77777777" w:rsidR="007E63F6" w:rsidRDefault="007E63F6" w:rsidP="007E63F6">
      <w:pPr>
        <w:pStyle w:val="Titulek"/>
        <w:jc w:val="both"/>
      </w:pPr>
      <w:r>
        <w:t xml:space="preserve">Obrázek </w:t>
      </w:r>
      <w:r w:rsidR="00955364">
        <w:fldChar w:fldCharType="begin"/>
      </w:r>
      <w:r w:rsidR="00955364">
        <w:instrText xml:space="preserve"> SEQ Obrázek \* ARABIC </w:instrText>
      </w:r>
      <w:r w:rsidR="00955364">
        <w:fldChar w:fldCharType="separate"/>
      </w:r>
      <w:r>
        <w:rPr>
          <w:noProof/>
        </w:rPr>
        <w:t>5</w:t>
      </w:r>
      <w:r w:rsidR="00955364">
        <w:rPr>
          <w:noProof/>
        </w:rPr>
        <w:fldChar w:fldCharType="end"/>
      </w:r>
      <w:r>
        <w:t>: Indikativní schéma vzorkovací formy.</w:t>
      </w:r>
    </w:p>
    <w:p w14:paraId="5C773C33" w14:textId="77777777" w:rsidR="007E63F6" w:rsidRDefault="007E63F6" w:rsidP="007E63F6">
      <w:pPr>
        <w:keepNext/>
      </w:pPr>
      <w:r>
        <w:rPr>
          <w:noProof/>
          <w:lang w:eastAsia="cs-CZ"/>
        </w:rPr>
        <w:drawing>
          <wp:inline distT="0" distB="0" distL="0" distR="0" wp14:anchorId="01819280" wp14:editId="62DDF950">
            <wp:extent cx="8169864" cy="6041436"/>
            <wp:effectExtent l="0" t="2857" r="317" b="318"/>
            <wp:docPr id="374" name="Obrázek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Obrázek 37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5350" cy="606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53BB" w14:textId="77777777" w:rsidR="007E63F6" w:rsidRDefault="007E63F6" w:rsidP="007E63F6">
      <w:pPr>
        <w:pStyle w:val="Titulek"/>
      </w:pPr>
      <w:r>
        <w:t xml:space="preserve">Obrázek </w:t>
      </w:r>
      <w:r w:rsidR="00955364">
        <w:fldChar w:fldCharType="begin"/>
      </w:r>
      <w:r w:rsidR="00955364">
        <w:instrText xml:space="preserve"> SEQ Obrázek \* ARABIC </w:instrText>
      </w:r>
      <w:r w:rsidR="00955364">
        <w:fldChar w:fldCharType="separate"/>
      </w:r>
      <w:r>
        <w:rPr>
          <w:noProof/>
        </w:rPr>
        <w:t>6</w:t>
      </w:r>
      <w:r w:rsidR="00955364">
        <w:rPr>
          <w:noProof/>
        </w:rPr>
        <w:fldChar w:fldCharType="end"/>
      </w:r>
      <w:r>
        <w:t>: Indikativní schéma transportního zařízení se sudem a vzorkovací formou.</w:t>
      </w:r>
    </w:p>
    <w:p w14:paraId="629219A7" w14:textId="77777777" w:rsidR="007E63F6" w:rsidRDefault="007E63F6" w:rsidP="007E63F6">
      <w:pPr>
        <w:keepNext/>
      </w:pPr>
      <w:r>
        <w:rPr>
          <w:noProof/>
          <w:lang w:eastAsia="cs-CZ"/>
        </w:rPr>
        <w:drawing>
          <wp:inline distT="0" distB="0" distL="0" distR="0" wp14:anchorId="78B25BF8" wp14:editId="6D7F2BE2">
            <wp:extent cx="5514975" cy="7239000"/>
            <wp:effectExtent l="0" t="0" r="9525" b="0"/>
            <wp:docPr id="375" name="Obrázek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Obrázek 3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0B04" w14:textId="77777777" w:rsidR="00682E5B" w:rsidRDefault="007E63F6" w:rsidP="00C33F5E">
      <w:pPr>
        <w:pStyle w:val="Titulek"/>
      </w:pPr>
      <w:r>
        <w:t xml:space="preserve">Obrázek </w:t>
      </w:r>
      <w:r w:rsidR="00955364">
        <w:fldChar w:fldCharType="begin"/>
      </w:r>
      <w:r w:rsidR="00955364">
        <w:instrText xml:space="preserve"> SEQ Obrázek \* ARABIC </w:instrText>
      </w:r>
      <w:r w:rsidR="00955364">
        <w:fldChar w:fldCharType="separate"/>
      </w:r>
      <w:r>
        <w:rPr>
          <w:noProof/>
        </w:rPr>
        <w:t>7</w:t>
      </w:r>
      <w:r w:rsidR="00955364">
        <w:rPr>
          <w:noProof/>
        </w:rPr>
        <w:fldChar w:fldCharType="end"/>
      </w:r>
      <w:r>
        <w:t>: Indikativní schéma uspořádání teplotních čidel.</w:t>
      </w:r>
    </w:p>
    <w:p w14:paraId="028648C9" w14:textId="77777777" w:rsidR="009D1382" w:rsidRDefault="009D1382" w:rsidP="009D1382"/>
    <w:p w14:paraId="74A30090" w14:textId="77777777" w:rsidR="009D1382" w:rsidRDefault="009D1382" w:rsidP="009D1382"/>
    <w:p w14:paraId="2C598156" w14:textId="77777777" w:rsidR="009D1382" w:rsidRDefault="009D1382" w:rsidP="009D1382"/>
    <w:p w14:paraId="00C395BD" w14:textId="77777777" w:rsidR="009D1382" w:rsidRPr="009D1382" w:rsidRDefault="009D1382" w:rsidP="009D1382"/>
    <w:p w14:paraId="6A5430CD" w14:textId="77777777" w:rsidR="00682E5B" w:rsidRPr="00795C6C" w:rsidRDefault="00682E5B" w:rsidP="00795C6C">
      <w:pPr>
        <w:pStyle w:val="Nadpis1"/>
        <w:jc w:val="both"/>
      </w:pPr>
      <w:r w:rsidRPr="00363413">
        <w:t>D</w:t>
      </w:r>
      <w:r w:rsidR="00F50EAB">
        <w:t xml:space="preserve">odávaná zařízení </w:t>
      </w:r>
      <w:proofErr w:type="spellStart"/>
      <w:r w:rsidR="00F50EAB">
        <w:t>solidifikační</w:t>
      </w:r>
      <w:proofErr w:type="spellEnd"/>
      <w:r w:rsidR="00F50EAB">
        <w:t xml:space="preserve"> linky</w:t>
      </w:r>
    </w:p>
    <w:p w14:paraId="3AE10AB5" w14:textId="77777777" w:rsidR="00682E5B" w:rsidRPr="00363413" w:rsidRDefault="00F50EAB" w:rsidP="00795C6C">
      <w:pPr>
        <w:pStyle w:val="Nadpis2"/>
        <w:jc w:val="both"/>
      </w:pPr>
      <w:r>
        <w:t>Homogenizační systém pro fixaci odpadů v</w:t>
      </w:r>
      <w:r w:rsidR="009D1382">
        <w:t> </w:t>
      </w:r>
      <w:proofErr w:type="spellStart"/>
      <w:r>
        <w:t>geopolymerní</w:t>
      </w:r>
      <w:proofErr w:type="spellEnd"/>
      <w:r w:rsidR="009D1382">
        <w:t xml:space="preserve"> </w:t>
      </w:r>
      <w:r w:rsidR="009A5362">
        <w:t>nebo</w:t>
      </w:r>
      <w:r w:rsidR="009D1382">
        <w:t xml:space="preserve"> </w:t>
      </w:r>
      <w:proofErr w:type="spellStart"/>
      <w:r w:rsidR="009D1382">
        <w:t>polysiloxanové</w:t>
      </w:r>
      <w:proofErr w:type="spellEnd"/>
      <w:r>
        <w:t xml:space="preserve"> matrici</w:t>
      </w:r>
    </w:p>
    <w:p w14:paraId="666485B6" w14:textId="77777777" w:rsidR="00682E5B" w:rsidRPr="00363413" w:rsidRDefault="00340168" w:rsidP="00B474A0">
      <w:pPr>
        <w:jc w:val="both"/>
      </w:pPr>
      <w:r>
        <w:t xml:space="preserve">Ze zásobníků </w:t>
      </w:r>
      <w:r w:rsidR="00F50EAB">
        <w:t>bude převedeno určené množství plniva a aktivátoru do homogenizačního zařízení, do kterého se následně bude přidávat i zpracovávaný odpad. Důležitým měřeným parametrem je viskozita a teplot</w:t>
      </w:r>
      <w:r w:rsidR="00C80BDD">
        <w:t>a</w:t>
      </w:r>
      <w:r w:rsidR="00F50EAB">
        <w:t xml:space="preserve">. </w:t>
      </w:r>
      <w:r w:rsidR="00B474A0">
        <w:t xml:space="preserve">Podle experimentu může být ještě přidáno určité množství katalyzátoru k dokončení </w:t>
      </w:r>
      <w:r w:rsidR="009A5362">
        <w:t xml:space="preserve">polymerní </w:t>
      </w:r>
      <w:r w:rsidR="00B474A0">
        <w:t xml:space="preserve">reakce. Při reakci dochází k vývinu tepla a odpařování vody. </w:t>
      </w:r>
      <w:r w:rsidR="00A75769">
        <w:t xml:space="preserve">Kondenzát bude odváděn do zásobní nádrže </w:t>
      </w:r>
      <w:r>
        <w:t>modelových roztoků technologie ETL</w:t>
      </w:r>
      <w:r w:rsidR="00A75769">
        <w:t>. Maximální naplnění s</w:t>
      </w:r>
      <w:r w:rsidR="009A5362">
        <w:t>udu bude 30 l z celkových 50 l.</w:t>
      </w:r>
    </w:p>
    <w:p w14:paraId="396A8DA8" w14:textId="77777777" w:rsidR="00682E5B" w:rsidRDefault="00A75769" w:rsidP="00A75769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Zásobník plniva </w:t>
      </w:r>
      <w:r w:rsidR="009A5362"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geopolymerní</w:t>
      </w:r>
      <w:proofErr w:type="spellEnd"/>
      <w:r w:rsidR="009A5362">
        <w:rPr>
          <w:rFonts w:ascii="Calibri" w:hAnsi="Calibri"/>
          <w:sz w:val="22"/>
          <w:szCs w:val="22"/>
        </w:rPr>
        <w:t xml:space="preserve"> nebo </w:t>
      </w:r>
      <w:proofErr w:type="spellStart"/>
      <w:r w:rsidR="009A5362">
        <w:rPr>
          <w:rFonts w:ascii="Calibri" w:hAnsi="Calibri"/>
          <w:sz w:val="22"/>
          <w:szCs w:val="22"/>
        </w:rPr>
        <w:t>polysiloxanová</w:t>
      </w:r>
      <w:proofErr w:type="spellEnd"/>
      <w:r>
        <w:rPr>
          <w:rFonts w:ascii="Calibri" w:hAnsi="Calibri"/>
          <w:sz w:val="22"/>
          <w:szCs w:val="22"/>
        </w:rPr>
        <w:t xml:space="preserve"> matrice</w:t>
      </w:r>
      <w:r w:rsidR="009A5362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usazen na te</w:t>
      </w:r>
      <w:r w:rsidR="009A5362">
        <w:rPr>
          <w:rFonts w:ascii="Calibri" w:hAnsi="Calibri"/>
          <w:sz w:val="22"/>
          <w:szCs w:val="22"/>
        </w:rPr>
        <w:t>nzometrických vahách</w:t>
      </w:r>
    </w:p>
    <w:p w14:paraId="47C92725" w14:textId="77777777" w:rsidR="00A75769" w:rsidRPr="00363413" w:rsidRDefault="00A75769" w:rsidP="00657CD0">
      <w:pPr>
        <w:pStyle w:val="Default"/>
        <w:numPr>
          <w:ilvl w:val="0"/>
          <w:numId w:val="5"/>
        </w:numPr>
        <w:tabs>
          <w:tab w:val="left" w:pos="411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Zásobník aktivátoru </w:t>
      </w:r>
      <w:proofErr w:type="spellStart"/>
      <w:r>
        <w:rPr>
          <w:rFonts w:ascii="Calibri" w:hAnsi="Calibri"/>
          <w:sz w:val="22"/>
          <w:szCs w:val="22"/>
        </w:rPr>
        <w:t>geopolymerní</w:t>
      </w:r>
      <w:proofErr w:type="spellEnd"/>
      <w:r>
        <w:rPr>
          <w:rFonts w:ascii="Calibri" w:hAnsi="Calibri"/>
          <w:sz w:val="22"/>
          <w:szCs w:val="22"/>
        </w:rPr>
        <w:t xml:space="preserve"> matrice</w:t>
      </w:r>
      <w:r w:rsidR="009A5362">
        <w:rPr>
          <w:rFonts w:ascii="Calibri" w:hAnsi="Calibri"/>
          <w:sz w:val="22"/>
          <w:szCs w:val="22"/>
        </w:rPr>
        <w:t xml:space="preserve"> nebo katalyzátoru pro polymerní reakce,</w:t>
      </w:r>
      <w:r>
        <w:rPr>
          <w:rFonts w:ascii="Calibri" w:hAnsi="Calibri"/>
          <w:sz w:val="22"/>
          <w:szCs w:val="22"/>
        </w:rPr>
        <w:t xml:space="preserve"> usazen na tenzometrických vahách včetně dopravního systému</w:t>
      </w:r>
    </w:p>
    <w:p w14:paraId="0AEF8A5D" w14:textId="77777777" w:rsidR="00A75769" w:rsidRDefault="00A75769" w:rsidP="00795C6C">
      <w:pPr>
        <w:pStyle w:val="Default"/>
        <w:numPr>
          <w:ilvl w:val="0"/>
          <w:numId w:val="5"/>
        </w:numPr>
        <w:ind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Homogenizační zařízení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- </w:t>
      </w:r>
      <w:r>
        <w:rPr>
          <w:rFonts w:ascii="Calibri" w:hAnsi="Calibri"/>
          <w:sz w:val="22"/>
          <w:szCs w:val="22"/>
        </w:rPr>
        <w:tab/>
        <w:t>specifikuje dodavatel</w:t>
      </w:r>
    </w:p>
    <w:p w14:paraId="229BD60C" w14:textId="0315438D" w:rsidR="00682E5B" w:rsidRDefault="00682E5B" w:rsidP="009A5362">
      <w:pPr>
        <w:pStyle w:val="Default"/>
        <w:ind w:left="709"/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="00D6469E">
        <w:rPr>
          <w:rFonts w:ascii="Calibri" w:hAnsi="Calibri"/>
          <w:sz w:val="22"/>
          <w:szCs w:val="22"/>
        </w:rPr>
        <w:tab/>
      </w:r>
      <w:r w:rsidR="00D6469E">
        <w:rPr>
          <w:rFonts w:ascii="Calibri" w:hAnsi="Calibri"/>
          <w:sz w:val="22"/>
          <w:szCs w:val="22"/>
        </w:rPr>
        <w:tab/>
        <w:t>-</w:t>
      </w:r>
      <w:r w:rsidR="00D6469E">
        <w:rPr>
          <w:rFonts w:ascii="Calibri" w:hAnsi="Calibri"/>
          <w:sz w:val="22"/>
          <w:szCs w:val="22"/>
        </w:rPr>
        <w:tab/>
      </w:r>
      <w:r w:rsidR="009A5362">
        <w:rPr>
          <w:rFonts w:ascii="Calibri" w:hAnsi="Calibri"/>
          <w:sz w:val="22"/>
          <w:szCs w:val="22"/>
        </w:rPr>
        <w:t>objem 50 l</w:t>
      </w:r>
    </w:p>
    <w:p w14:paraId="4F6F500B" w14:textId="259A76AC" w:rsidR="00C80BDD" w:rsidRDefault="00C80BDD" w:rsidP="00C80BDD">
      <w:pPr>
        <w:pStyle w:val="Default"/>
        <w:ind w:left="4248"/>
        <w:jc w:val="both"/>
        <w:rPr>
          <w:rFonts w:ascii="Calibri" w:hAnsi="Calibri"/>
          <w:sz w:val="22"/>
          <w:szCs w:val="22"/>
        </w:rPr>
      </w:pPr>
      <w:r w:rsidRPr="00C80BDD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regulac</w:t>
      </w:r>
      <w:r w:rsidR="009A5362">
        <w:rPr>
          <w:rFonts w:ascii="Calibri" w:hAnsi="Calibri"/>
          <w:sz w:val="22"/>
          <w:szCs w:val="22"/>
        </w:rPr>
        <w:t>e otáček míchadla 1</w:t>
      </w:r>
      <w:r w:rsidR="00B9126D">
        <w:rPr>
          <w:rFonts w:ascii="Calibri" w:hAnsi="Calibri"/>
          <w:sz w:val="22"/>
          <w:szCs w:val="22"/>
        </w:rPr>
        <w:t>0 – 1700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ot</w:t>
      </w:r>
      <w:proofErr w:type="spellEnd"/>
      <w:r>
        <w:rPr>
          <w:rFonts w:ascii="Calibri" w:hAnsi="Calibri"/>
          <w:sz w:val="22"/>
          <w:szCs w:val="22"/>
        </w:rPr>
        <w:t>/min</w:t>
      </w:r>
    </w:p>
    <w:p w14:paraId="7C5E8CFC" w14:textId="77777777" w:rsidR="00C80BDD" w:rsidRDefault="00C80BDD" w:rsidP="00C80BDD">
      <w:pPr>
        <w:pStyle w:val="Default"/>
        <w:ind w:left="42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>pohyb míchadla nahoru a dolů</w:t>
      </w:r>
    </w:p>
    <w:p w14:paraId="31C7727C" w14:textId="70B4AE3E" w:rsidR="00B9126D" w:rsidRPr="00A75769" w:rsidRDefault="00B9126D" w:rsidP="00C80BDD">
      <w:pPr>
        <w:pStyle w:val="Default"/>
        <w:ind w:left="42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použití pro tixotropní kapaliny</w:t>
      </w:r>
    </w:p>
    <w:p w14:paraId="52539B54" w14:textId="77777777" w:rsidR="00682E5B" w:rsidRPr="00363413" w:rsidRDefault="00682E5B" w:rsidP="00795C6C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>Objem, hmotnost, rozměry</w:t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  <w:t>-</w:t>
      </w:r>
      <w:r w:rsidRPr="00363413">
        <w:rPr>
          <w:rFonts w:ascii="Calibri" w:hAnsi="Calibri"/>
          <w:sz w:val="22"/>
          <w:szCs w:val="22"/>
        </w:rPr>
        <w:tab/>
        <w:t>specifikuje dodavatel</w:t>
      </w:r>
    </w:p>
    <w:p w14:paraId="6C7AC20D" w14:textId="77777777" w:rsidR="00657CD0" w:rsidRDefault="00A75769" w:rsidP="00A75769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 xml:space="preserve">Zařízení bude mít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82E5B" w:rsidRPr="00363413">
        <w:rPr>
          <w:rFonts w:ascii="Calibri" w:hAnsi="Calibri"/>
          <w:sz w:val="22"/>
          <w:szCs w:val="22"/>
        </w:rPr>
        <w:t xml:space="preserve">- </w:t>
      </w:r>
      <w:r w:rsidR="00682E5B" w:rsidRPr="00363413">
        <w:rPr>
          <w:rFonts w:ascii="Calibri" w:hAnsi="Calibri"/>
          <w:sz w:val="22"/>
          <w:szCs w:val="22"/>
        </w:rPr>
        <w:tab/>
      </w:r>
      <w:r w:rsidR="00657CD0">
        <w:rPr>
          <w:rFonts w:ascii="Calibri" w:hAnsi="Calibri"/>
          <w:sz w:val="22"/>
          <w:szCs w:val="22"/>
        </w:rPr>
        <w:t>rozsah tenzometrických vah 0,001 – 100 kg,</w:t>
      </w:r>
    </w:p>
    <w:p w14:paraId="3C735313" w14:textId="77777777" w:rsidR="00657CD0" w:rsidRDefault="00657CD0" w:rsidP="00A75769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  <w:t>chyba měření ± 0,03 %</w:t>
      </w:r>
    </w:p>
    <w:p w14:paraId="2F46DE8A" w14:textId="77777777" w:rsidR="00C80BDD" w:rsidRDefault="00657CD0" w:rsidP="00657CD0">
      <w:pPr>
        <w:pStyle w:val="Default"/>
        <w:ind w:left="3912" w:firstLine="3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C80BDD">
        <w:rPr>
          <w:rFonts w:ascii="Calibri" w:hAnsi="Calibri"/>
          <w:sz w:val="22"/>
          <w:szCs w:val="22"/>
        </w:rPr>
        <w:t>průzor pro pozorování průběhu reakce tuhnutí</w:t>
      </w:r>
    </w:p>
    <w:p w14:paraId="4CD4176B" w14:textId="77777777" w:rsidR="00EF08D2" w:rsidRDefault="00C80BDD" w:rsidP="00C80BDD">
      <w:pPr>
        <w:pStyle w:val="Default"/>
        <w:ind w:left="3576" w:firstLine="67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EF08D2">
        <w:rPr>
          <w:rFonts w:ascii="Calibri" w:hAnsi="Calibri"/>
          <w:sz w:val="22"/>
          <w:szCs w:val="22"/>
        </w:rPr>
        <w:t>izolaci sudu a jeho elektrický ohřev</w:t>
      </w:r>
    </w:p>
    <w:p w14:paraId="7F93420D" w14:textId="77777777" w:rsidR="00682E5B" w:rsidRPr="00795C6C" w:rsidRDefault="00EF08D2" w:rsidP="00EF08D2">
      <w:pPr>
        <w:pStyle w:val="Default"/>
        <w:ind w:left="3912" w:firstLine="3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682E5B" w:rsidRPr="00363413">
        <w:rPr>
          <w:rFonts w:ascii="Calibri" w:hAnsi="Calibri"/>
          <w:sz w:val="22"/>
          <w:szCs w:val="22"/>
        </w:rPr>
        <w:t>připo</w:t>
      </w:r>
      <w:r w:rsidR="00682E5B">
        <w:rPr>
          <w:rFonts w:ascii="Calibri" w:hAnsi="Calibri"/>
          <w:sz w:val="22"/>
          <w:szCs w:val="22"/>
        </w:rPr>
        <w:t xml:space="preserve">jení na </w:t>
      </w:r>
      <w:proofErr w:type="spellStart"/>
      <w:r w:rsidR="00682E5B">
        <w:rPr>
          <w:rFonts w:ascii="Calibri" w:hAnsi="Calibri"/>
          <w:sz w:val="22"/>
          <w:szCs w:val="22"/>
        </w:rPr>
        <w:t>proplachová</w:t>
      </w:r>
      <w:proofErr w:type="spellEnd"/>
      <w:r w:rsidR="00682E5B">
        <w:rPr>
          <w:rFonts w:ascii="Calibri" w:hAnsi="Calibri"/>
          <w:sz w:val="22"/>
          <w:szCs w:val="22"/>
        </w:rPr>
        <w:t xml:space="preserve"> média (CIP)</w:t>
      </w:r>
    </w:p>
    <w:p w14:paraId="4F59F94A" w14:textId="77777777" w:rsidR="00682E5B" w:rsidRPr="00363413" w:rsidRDefault="00A75769" w:rsidP="00A75769">
      <w:pPr>
        <w:pStyle w:val="Default"/>
        <w:ind w:left="3576" w:firstLine="67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vlastní kondenzátor par</w:t>
      </w:r>
    </w:p>
    <w:p w14:paraId="49BD5C6E" w14:textId="77777777" w:rsidR="00682E5B" w:rsidRPr="00363413" w:rsidRDefault="00682E5B" w:rsidP="00795C6C">
      <w:pPr>
        <w:pStyle w:val="Default"/>
        <w:ind w:left="3576" w:firstLine="672"/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>-</w:t>
      </w:r>
      <w:r w:rsidRPr="00363413">
        <w:rPr>
          <w:rFonts w:ascii="Calibri" w:hAnsi="Calibri"/>
          <w:sz w:val="22"/>
          <w:szCs w:val="22"/>
        </w:rPr>
        <w:tab/>
        <w:t>spodní vypouštění</w:t>
      </w:r>
    </w:p>
    <w:p w14:paraId="008FCBEB" w14:textId="77777777" w:rsidR="00682E5B" w:rsidRPr="00363413" w:rsidRDefault="00682E5B" w:rsidP="00795C6C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 xml:space="preserve">- </w:t>
      </w:r>
      <w:r w:rsidRPr="00363413">
        <w:rPr>
          <w:rFonts w:ascii="Calibri" w:hAnsi="Calibri"/>
          <w:sz w:val="22"/>
          <w:szCs w:val="22"/>
        </w:rPr>
        <w:tab/>
        <w:t>Měření</w:t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  <w:t>-</w:t>
      </w:r>
      <w:r w:rsidRPr="00363413">
        <w:rPr>
          <w:rFonts w:ascii="Calibri" w:hAnsi="Calibri"/>
          <w:sz w:val="22"/>
          <w:szCs w:val="22"/>
        </w:rPr>
        <w:tab/>
      </w:r>
      <w:r w:rsidR="00A75769">
        <w:rPr>
          <w:rFonts w:ascii="Calibri" w:hAnsi="Calibri"/>
          <w:sz w:val="22"/>
          <w:szCs w:val="22"/>
        </w:rPr>
        <w:t xml:space="preserve">viskozita, </w:t>
      </w:r>
      <w:r w:rsidRPr="003B5D7D">
        <w:rPr>
          <w:rFonts w:ascii="Calibri" w:hAnsi="Calibri"/>
          <w:sz w:val="22"/>
          <w:szCs w:val="22"/>
        </w:rPr>
        <w:t>tlak, teplota</w:t>
      </w:r>
    </w:p>
    <w:p w14:paraId="278EB5B0" w14:textId="6AE895D7" w:rsidR="00682E5B" w:rsidRDefault="00682E5B" w:rsidP="00795C6C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 xml:space="preserve">- </w:t>
      </w:r>
      <w:r w:rsidRPr="00363413">
        <w:rPr>
          <w:rFonts w:ascii="Calibri" w:hAnsi="Calibri"/>
          <w:sz w:val="22"/>
          <w:szCs w:val="22"/>
        </w:rPr>
        <w:tab/>
        <w:t>Další měřené veličiny</w:t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  <w:t>-</w:t>
      </w:r>
      <w:r w:rsidRPr="00363413">
        <w:rPr>
          <w:rFonts w:ascii="Calibri" w:hAnsi="Calibri"/>
          <w:sz w:val="22"/>
          <w:szCs w:val="22"/>
        </w:rPr>
        <w:tab/>
      </w:r>
      <w:r w:rsidR="00EF08D2">
        <w:rPr>
          <w:rFonts w:ascii="Calibri" w:hAnsi="Calibri"/>
          <w:sz w:val="22"/>
          <w:szCs w:val="22"/>
        </w:rPr>
        <w:t>hmotnost zásobníků</w:t>
      </w:r>
      <w:r w:rsidR="00E82BD7">
        <w:rPr>
          <w:rFonts w:ascii="Calibri" w:hAnsi="Calibri"/>
          <w:sz w:val="22"/>
          <w:szCs w:val="22"/>
        </w:rPr>
        <w:t>, otáčky míchadla na display</w:t>
      </w:r>
    </w:p>
    <w:p w14:paraId="28DCE713" w14:textId="77777777" w:rsidR="00682E5B" w:rsidRPr="00363413" w:rsidRDefault="00682E5B" w:rsidP="00795C6C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Systém čištění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</w:t>
      </w:r>
      <w:r>
        <w:rPr>
          <w:rFonts w:ascii="Calibri" w:hAnsi="Calibri"/>
          <w:sz w:val="22"/>
          <w:szCs w:val="22"/>
        </w:rPr>
        <w:tab/>
        <w:t>navrhne dodavatel</w:t>
      </w:r>
    </w:p>
    <w:p w14:paraId="4555D106" w14:textId="4A13F13B" w:rsidR="00682E5B" w:rsidRDefault="00F01B8A" w:rsidP="00F01B8A">
      <w:pPr>
        <w:pStyle w:val="Default"/>
        <w:ind w:left="1084" w:hanging="3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 xml:space="preserve">Materiálové provedení: </w:t>
      </w:r>
      <w:r w:rsidR="00682E5B">
        <w:rPr>
          <w:rFonts w:ascii="Calibri" w:hAnsi="Calibri"/>
          <w:sz w:val="22"/>
          <w:szCs w:val="22"/>
        </w:rPr>
        <w:t xml:space="preserve">použitý materiál </w:t>
      </w:r>
      <w:r>
        <w:rPr>
          <w:rFonts w:ascii="Calibri" w:hAnsi="Calibri"/>
          <w:sz w:val="22"/>
          <w:szCs w:val="22"/>
        </w:rPr>
        <w:t>musí být odolný vůči alkalickým</w:t>
      </w:r>
      <w:r w:rsidR="00FA0AC2">
        <w:rPr>
          <w:rFonts w:ascii="Calibri" w:hAnsi="Calibri"/>
          <w:sz w:val="22"/>
          <w:szCs w:val="22"/>
        </w:rPr>
        <w:t xml:space="preserve"> látkám </w:t>
      </w:r>
      <w:r w:rsidR="00FA0AC2">
        <w:t>(</w:t>
      </w:r>
      <w:r w:rsidR="00FA0AC2" w:rsidRPr="00FA0AC2">
        <w:rPr>
          <w:rFonts w:ascii="Calibri" w:hAnsi="Calibri"/>
          <w:sz w:val="22"/>
          <w:szCs w:val="22"/>
        </w:rPr>
        <w:t>nerezové oceli typu Super Duplex 1.4410, TP 904L austenit 1.4539 nebo 316Ti 1.4571</w:t>
      </w:r>
      <w:r w:rsidR="00FA0AC2">
        <w:rPr>
          <w:rFonts w:ascii="Calibri" w:hAnsi="Calibri"/>
          <w:sz w:val="22"/>
          <w:szCs w:val="22"/>
        </w:rPr>
        <w:t>)</w:t>
      </w:r>
    </w:p>
    <w:p w14:paraId="0840B258" w14:textId="77777777" w:rsidR="00EF08D2" w:rsidRDefault="00EF08D2" w:rsidP="00683320">
      <w:pPr>
        <w:pStyle w:val="Default"/>
        <w:ind w:left="4624" w:firstLine="332"/>
        <w:rPr>
          <w:rFonts w:ascii="Calibri" w:hAnsi="Calibri"/>
          <w:sz w:val="22"/>
          <w:szCs w:val="22"/>
        </w:rPr>
      </w:pPr>
    </w:p>
    <w:p w14:paraId="3506814F" w14:textId="77777777" w:rsidR="00682E5B" w:rsidRDefault="00682E5B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59B7509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7E5C318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47A4DFA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30E5CFD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91248B4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7BDF5C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4348837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E5A7DDF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509BB053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FC83199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E23A56E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88E47B2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5617699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70F73AC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6D547C7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6F2F8345" w14:textId="77777777" w:rsidR="0089013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CCBD027" w14:textId="77777777" w:rsidR="00890133" w:rsidRPr="00363413" w:rsidRDefault="00890133" w:rsidP="00795C6C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1FD12CE" w14:textId="77777777" w:rsidR="00682E5B" w:rsidRDefault="00561228" w:rsidP="00795C6C">
      <w:pPr>
        <w:pStyle w:val="Nadpis2"/>
        <w:jc w:val="both"/>
      </w:pPr>
      <w:r>
        <w:t>Systém pro měření teplotního profilu tuhnutí matric</w:t>
      </w:r>
    </w:p>
    <w:p w14:paraId="64C729DF" w14:textId="77777777" w:rsidR="00561228" w:rsidRPr="00561228" w:rsidRDefault="00561228" w:rsidP="00561228">
      <w:pPr>
        <w:jc w:val="both"/>
      </w:pPr>
      <w:r w:rsidRPr="00561228">
        <w:rPr>
          <w:color w:val="000000"/>
        </w:rPr>
        <w:t xml:space="preserve">Po ukončení procesu homogenizace se část matrice odebere do vzorkovací formy. Následní operace je měření teplotního profilu tuhnutí matrice. Zařízení bude tvořit víko, opatřeno izolací se zabudovanými teplotními čidly, </w:t>
      </w:r>
      <w:r w:rsidR="00C902A5">
        <w:rPr>
          <w:color w:val="000000"/>
        </w:rPr>
        <w:t>které bude nasazeno a ukotveno na</w:t>
      </w:r>
      <w:r w:rsidRPr="00561228">
        <w:rPr>
          <w:color w:val="000000"/>
        </w:rPr>
        <w:t xml:space="preserve"> transportní </w:t>
      </w:r>
      <w:r w:rsidR="00C902A5">
        <w:rPr>
          <w:color w:val="000000"/>
        </w:rPr>
        <w:t>zařízení</w:t>
      </w:r>
      <w:r w:rsidRPr="00561228">
        <w:rPr>
          <w:color w:val="000000"/>
        </w:rPr>
        <w:t>. Proces tuhnutí matric musí probíhat v adiabatických podmínkách. Teplotní čidla budou umístěná v teplotních jímkách.</w:t>
      </w:r>
    </w:p>
    <w:p w14:paraId="479E4354" w14:textId="77777777" w:rsidR="00561228" w:rsidRDefault="00561228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Zařízení pro měření teplotního profilu matric, včetně zdvižného systému víka</w:t>
      </w:r>
    </w:p>
    <w:p w14:paraId="1D89CCE7" w14:textId="77777777" w:rsidR="00561228" w:rsidRDefault="00561228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Transportní zařízení</w:t>
      </w:r>
    </w:p>
    <w:p w14:paraId="4A867629" w14:textId="77777777" w:rsidR="00EE56C7" w:rsidRDefault="00C33F5E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EE56C7">
        <w:rPr>
          <w:rFonts w:ascii="Calibri" w:hAnsi="Calibri"/>
          <w:sz w:val="22"/>
          <w:szCs w:val="22"/>
        </w:rPr>
        <w:t>anipu</w:t>
      </w:r>
      <w:r>
        <w:rPr>
          <w:rFonts w:ascii="Calibri" w:hAnsi="Calibri"/>
          <w:sz w:val="22"/>
          <w:szCs w:val="22"/>
        </w:rPr>
        <w:t>lační systém mezi oběma homogenizačními zařízeními a</w:t>
      </w:r>
      <w:r w:rsidR="00890133">
        <w:rPr>
          <w:rFonts w:ascii="Calibri" w:hAnsi="Calibri"/>
          <w:sz w:val="22"/>
          <w:szCs w:val="22"/>
        </w:rPr>
        <w:t xml:space="preserve"> zařízením teplotního profilu</w:t>
      </w:r>
    </w:p>
    <w:p w14:paraId="236FDE3C" w14:textId="77777777" w:rsidR="003D0501" w:rsidRDefault="003D0501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20x teplotní čidla</w:t>
      </w:r>
    </w:p>
    <w:p w14:paraId="15AD6763" w14:textId="77777777" w:rsidR="00E604E1" w:rsidRDefault="003F3D1C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100x jímka</w:t>
      </w:r>
    </w:p>
    <w:p w14:paraId="3863EE4C" w14:textId="272EDBAA" w:rsidR="003D0501" w:rsidRDefault="00E82BD7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D0501">
        <w:rPr>
          <w:rFonts w:ascii="Calibri" w:hAnsi="Calibri"/>
          <w:sz w:val="22"/>
          <w:szCs w:val="22"/>
        </w:rPr>
        <w:t>0x 50 l sud</w:t>
      </w:r>
      <w:r w:rsidR="003F3D1C">
        <w:rPr>
          <w:rFonts w:ascii="Calibri" w:hAnsi="Calibri"/>
          <w:sz w:val="22"/>
          <w:szCs w:val="22"/>
        </w:rPr>
        <w:t xml:space="preserve"> upraven pro možnost odpouštění matric</w:t>
      </w:r>
    </w:p>
    <w:p w14:paraId="71956DB7" w14:textId="4F30C4CA" w:rsidR="00B32B15" w:rsidRDefault="00B32B15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1x bezkontaktní snímání teploty povrchu matrice</w:t>
      </w:r>
    </w:p>
    <w:p w14:paraId="6CB9AF53" w14:textId="77777777" w:rsidR="00561228" w:rsidRPr="00363413" w:rsidRDefault="00561228" w:rsidP="00561228">
      <w:pPr>
        <w:pStyle w:val="Defaul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>Objem, hmotnost, rozměry</w:t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  <w:t>-</w:t>
      </w:r>
      <w:r w:rsidRPr="00363413">
        <w:rPr>
          <w:rFonts w:ascii="Calibri" w:hAnsi="Calibri"/>
          <w:sz w:val="22"/>
          <w:szCs w:val="22"/>
        </w:rPr>
        <w:tab/>
        <w:t>specifikuje dodavatel</w:t>
      </w:r>
    </w:p>
    <w:p w14:paraId="2A87FB90" w14:textId="77777777" w:rsidR="00561228" w:rsidRDefault="00561228" w:rsidP="003D0501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 xml:space="preserve">Zařízení bude mít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</w:t>
      </w:r>
      <w:r>
        <w:rPr>
          <w:rFonts w:ascii="Calibri" w:hAnsi="Calibri"/>
          <w:sz w:val="22"/>
          <w:szCs w:val="22"/>
        </w:rPr>
        <w:tab/>
        <w:t>průzor pro pozorování průběhu reakce tuhnutí</w:t>
      </w:r>
    </w:p>
    <w:p w14:paraId="3DCA9941" w14:textId="3C6EED6B" w:rsidR="009B5437" w:rsidRDefault="00561228" w:rsidP="00561228">
      <w:pPr>
        <w:pStyle w:val="Default"/>
        <w:ind w:left="3576" w:firstLine="67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890133">
        <w:rPr>
          <w:rFonts w:ascii="Calibri" w:hAnsi="Calibri"/>
          <w:sz w:val="22"/>
          <w:szCs w:val="22"/>
        </w:rPr>
        <w:t>systém proplachu</w:t>
      </w:r>
      <w:r w:rsidR="00E82BD7">
        <w:rPr>
          <w:rFonts w:ascii="Calibri" w:hAnsi="Calibri"/>
          <w:sz w:val="22"/>
          <w:szCs w:val="22"/>
        </w:rPr>
        <w:t xml:space="preserve"> zásobních nádrží</w:t>
      </w:r>
    </w:p>
    <w:p w14:paraId="20663991" w14:textId="77777777" w:rsidR="00561228" w:rsidRDefault="009B5437" w:rsidP="00561228">
      <w:pPr>
        <w:pStyle w:val="Default"/>
        <w:ind w:left="3576" w:firstLine="67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  <w:r w:rsidR="00561228">
        <w:rPr>
          <w:rFonts w:ascii="Calibri" w:hAnsi="Calibri"/>
          <w:sz w:val="22"/>
          <w:szCs w:val="22"/>
        </w:rPr>
        <w:t>izolaci sudu a jeho elektrický ohřev</w:t>
      </w:r>
    </w:p>
    <w:p w14:paraId="0CBB392F" w14:textId="77777777" w:rsidR="00C33F5E" w:rsidRDefault="00C33F5E" w:rsidP="00C33F5E">
      <w:pPr>
        <w:pStyle w:val="Default"/>
        <w:ind w:left="4953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 xml:space="preserve">Vzorkovací formu pro odlitky matrice dle </w:t>
      </w:r>
      <w:r>
        <w:rPr>
          <w:rFonts w:ascii="Calibri" w:hAnsi="Calibri"/>
          <w:sz w:val="22"/>
          <w:szCs w:val="22"/>
        </w:rPr>
        <w:br/>
        <w:t>ASTM C39</w:t>
      </w:r>
    </w:p>
    <w:p w14:paraId="058D7AD2" w14:textId="77777777" w:rsidR="00C33F5E" w:rsidRDefault="00C33F5E" w:rsidP="00C33F5E">
      <w:pPr>
        <w:pStyle w:val="Default"/>
        <w:ind w:left="4953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 xml:space="preserve">Vzorkovací formu pro odlitky matrice dle </w:t>
      </w:r>
      <w:r>
        <w:rPr>
          <w:rFonts w:ascii="Calibri" w:hAnsi="Calibri"/>
          <w:sz w:val="22"/>
          <w:szCs w:val="22"/>
        </w:rPr>
        <w:br/>
        <w:t>ASTM 469</w:t>
      </w:r>
    </w:p>
    <w:p w14:paraId="1FAD8D5A" w14:textId="77777777" w:rsidR="00561228" w:rsidRDefault="00561228" w:rsidP="00C33F5E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 w:rsidRPr="00363413">
        <w:rPr>
          <w:rFonts w:ascii="Calibri" w:hAnsi="Calibri"/>
          <w:sz w:val="22"/>
          <w:szCs w:val="22"/>
        </w:rPr>
        <w:t xml:space="preserve">- </w:t>
      </w:r>
      <w:r w:rsidRPr="00363413">
        <w:rPr>
          <w:rFonts w:ascii="Calibri" w:hAnsi="Calibri"/>
          <w:sz w:val="22"/>
          <w:szCs w:val="22"/>
        </w:rPr>
        <w:tab/>
        <w:t>Měření</w:t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</w:r>
      <w:r w:rsidRPr="00363413">
        <w:rPr>
          <w:rFonts w:ascii="Calibri" w:hAnsi="Calibri"/>
          <w:sz w:val="22"/>
          <w:szCs w:val="22"/>
        </w:rPr>
        <w:tab/>
        <w:t>-</w:t>
      </w:r>
      <w:r w:rsidRPr="0036341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viskozita, </w:t>
      </w:r>
      <w:r w:rsidRPr="003B5D7D">
        <w:rPr>
          <w:rFonts w:ascii="Calibri" w:hAnsi="Calibri"/>
          <w:sz w:val="22"/>
          <w:szCs w:val="22"/>
        </w:rPr>
        <w:t>tlak, teplota</w:t>
      </w:r>
    </w:p>
    <w:p w14:paraId="60147EF9" w14:textId="77777777" w:rsidR="00561228" w:rsidRPr="00363413" w:rsidRDefault="00561228" w:rsidP="00561228">
      <w:pPr>
        <w:pStyle w:val="Default"/>
        <w:ind w:left="1080" w:hanging="3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Systém čištění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</w:t>
      </w:r>
      <w:r>
        <w:rPr>
          <w:rFonts w:ascii="Calibri" w:hAnsi="Calibri"/>
          <w:sz w:val="22"/>
          <w:szCs w:val="22"/>
        </w:rPr>
        <w:tab/>
        <w:t>navrhne dodavatel</w:t>
      </w:r>
    </w:p>
    <w:p w14:paraId="27C0D477" w14:textId="2B4C0F38" w:rsidR="00682E5B" w:rsidRDefault="00561228" w:rsidP="00B9126D">
      <w:pPr>
        <w:pStyle w:val="Default"/>
        <w:ind w:left="1084" w:hanging="375"/>
      </w:pPr>
      <w:r w:rsidRPr="00363413">
        <w:rPr>
          <w:rFonts w:ascii="Calibri" w:hAnsi="Calibri"/>
          <w:sz w:val="22"/>
          <w:szCs w:val="22"/>
        </w:rPr>
        <w:t>-</w:t>
      </w:r>
      <w:r w:rsidRPr="00363413">
        <w:rPr>
          <w:rFonts w:ascii="Calibri" w:hAnsi="Calibri"/>
          <w:sz w:val="22"/>
          <w:szCs w:val="22"/>
        </w:rPr>
        <w:tab/>
      </w:r>
      <w:r w:rsidR="00B9126D">
        <w:rPr>
          <w:rFonts w:ascii="Calibri" w:hAnsi="Calibri"/>
          <w:sz w:val="22"/>
          <w:szCs w:val="22"/>
        </w:rPr>
        <w:t>Materiálové provedení: použitý materiál musí být odolný vůči alkalickým</w:t>
      </w:r>
      <w:r w:rsidR="00FA0AC2">
        <w:rPr>
          <w:rFonts w:ascii="Calibri" w:hAnsi="Calibri"/>
          <w:sz w:val="22"/>
          <w:szCs w:val="22"/>
        </w:rPr>
        <w:t xml:space="preserve"> látkám</w:t>
      </w:r>
      <w:r w:rsidR="00FA0AC2" w:rsidRPr="00FA0AC2">
        <w:t xml:space="preserve"> </w:t>
      </w:r>
      <w:r w:rsidR="00FA0AC2">
        <w:t>(</w:t>
      </w:r>
      <w:r w:rsidR="00FA0AC2" w:rsidRPr="00FA0AC2">
        <w:rPr>
          <w:rFonts w:ascii="Calibri" w:hAnsi="Calibri"/>
          <w:sz w:val="22"/>
          <w:szCs w:val="22"/>
        </w:rPr>
        <w:t>nerezové oceli typu Super Duplex 1.4410, TP 904L austenit 1.4539 nebo 316Ti 1.4571</w:t>
      </w:r>
      <w:r w:rsidR="00FA0AC2">
        <w:rPr>
          <w:rFonts w:ascii="Calibri" w:hAnsi="Calibri"/>
          <w:sz w:val="22"/>
          <w:szCs w:val="22"/>
        </w:rPr>
        <w:t>)</w:t>
      </w:r>
    </w:p>
    <w:p w14:paraId="2BA3B000" w14:textId="77777777" w:rsidR="00C902A5" w:rsidRDefault="00C902A5" w:rsidP="0099313A">
      <w:pPr>
        <w:tabs>
          <w:tab w:val="left" w:pos="851"/>
        </w:tabs>
        <w:jc w:val="both"/>
      </w:pPr>
    </w:p>
    <w:p w14:paraId="41A3B083" w14:textId="77777777" w:rsidR="00C902A5" w:rsidRDefault="00C902A5" w:rsidP="0099313A">
      <w:pPr>
        <w:tabs>
          <w:tab w:val="left" w:pos="851"/>
        </w:tabs>
        <w:jc w:val="both"/>
      </w:pPr>
    </w:p>
    <w:p w14:paraId="3FB77A7D" w14:textId="77777777" w:rsidR="00C902A5" w:rsidRDefault="00C902A5" w:rsidP="0099313A">
      <w:pPr>
        <w:tabs>
          <w:tab w:val="left" w:pos="851"/>
        </w:tabs>
        <w:jc w:val="both"/>
      </w:pPr>
    </w:p>
    <w:p w14:paraId="7CE2F2A3" w14:textId="77777777" w:rsidR="00C902A5" w:rsidRDefault="00C902A5" w:rsidP="0099313A">
      <w:pPr>
        <w:tabs>
          <w:tab w:val="left" w:pos="851"/>
        </w:tabs>
        <w:jc w:val="both"/>
      </w:pPr>
    </w:p>
    <w:p w14:paraId="29834044" w14:textId="77777777" w:rsidR="00C902A5" w:rsidRDefault="00C902A5" w:rsidP="0099313A">
      <w:pPr>
        <w:tabs>
          <w:tab w:val="left" w:pos="851"/>
        </w:tabs>
        <w:jc w:val="both"/>
      </w:pPr>
    </w:p>
    <w:p w14:paraId="2B453DA8" w14:textId="77777777" w:rsidR="00C902A5" w:rsidRDefault="00C902A5" w:rsidP="0099313A">
      <w:pPr>
        <w:tabs>
          <w:tab w:val="left" w:pos="851"/>
        </w:tabs>
        <w:jc w:val="both"/>
      </w:pPr>
    </w:p>
    <w:p w14:paraId="1A5B1E6A" w14:textId="77777777" w:rsidR="00C902A5" w:rsidRDefault="00C902A5" w:rsidP="0099313A">
      <w:pPr>
        <w:tabs>
          <w:tab w:val="left" w:pos="851"/>
        </w:tabs>
        <w:jc w:val="both"/>
      </w:pPr>
    </w:p>
    <w:p w14:paraId="34AA8DD1" w14:textId="77777777" w:rsidR="00C902A5" w:rsidRDefault="00C902A5" w:rsidP="0099313A">
      <w:pPr>
        <w:tabs>
          <w:tab w:val="left" w:pos="851"/>
        </w:tabs>
        <w:jc w:val="both"/>
      </w:pPr>
    </w:p>
    <w:p w14:paraId="0E0F6571" w14:textId="77777777" w:rsidR="00C902A5" w:rsidRDefault="00C902A5" w:rsidP="0099313A">
      <w:pPr>
        <w:tabs>
          <w:tab w:val="left" w:pos="851"/>
        </w:tabs>
        <w:jc w:val="both"/>
      </w:pPr>
    </w:p>
    <w:p w14:paraId="7FB363B5" w14:textId="77777777" w:rsidR="00C902A5" w:rsidRDefault="00C902A5" w:rsidP="0099313A">
      <w:pPr>
        <w:tabs>
          <w:tab w:val="left" w:pos="851"/>
        </w:tabs>
        <w:jc w:val="both"/>
      </w:pPr>
    </w:p>
    <w:p w14:paraId="200517C8" w14:textId="77777777" w:rsidR="00C902A5" w:rsidRDefault="00C902A5" w:rsidP="0099313A">
      <w:pPr>
        <w:tabs>
          <w:tab w:val="left" w:pos="851"/>
        </w:tabs>
        <w:jc w:val="both"/>
      </w:pPr>
    </w:p>
    <w:p w14:paraId="7E6E2566" w14:textId="77777777" w:rsidR="00C902A5" w:rsidRDefault="00C902A5" w:rsidP="0099313A">
      <w:pPr>
        <w:tabs>
          <w:tab w:val="left" w:pos="851"/>
        </w:tabs>
        <w:jc w:val="both"/>
      </w:pPr>
    </w:p>
    <w:p w14:paraId="629DC0C6" w14:textId="77777777" w:rsidR="00C902A5" w:rsidRDefault="00C902A5" w:rsidP="0099313A">
      <w:pPr>
        <w:tabs>
          <w:tab w:val="left" w:pos="851"/>
        </w:tabs>
        <w:jc w:val="both"/>
      </w:pPr>
    </w:p>
    <w:p w14:paraId="58F95C8C" w14:textId="77777777" w:rsidR="00C902A5" w:rsidRDefault="00C902A5" w:rsidP="0099313A">
      <w:pPr>
        <w:tabs>
          <w:tab w:val="left" w:pos="851"/>
        </w:tabs>
        <w:jc w:val="both"/>
      </w:pPr>
    </w:p>
    <w:p w14:paraId="716040EC" w14:textId="77777777" w:rsidR="00C902A5" w:rsidRDefault="00C902A5" w:rsidP="0099313A">
      <w:pPr>
        <w:tabs>
          <w:tab w:val="left" w:pos="851"/>
        </w:tabs>
        <w:jc w:val="both"/>
      </w:pPr>
    </w:p>
    <w:p w14:paraId="14A78450" w14:textId="77777777" w:rsidR="00C902A5" w:rsidRDefault="00C902A5" w:rsidP="0099313A">
      <w:pPr>
        <w:tabs>
          <w:tab w:val="left" w:pos="851"/>
        </w:tabs>
        <w:jc w:val="both"/>
      </w:pPr>
      <w:r>
        <w:t>Přílohy:</w:t>
      </w:r>
    </w:p>
    <w:p w14:paraId="798BBE29" w14:textId="77777777" w:rsidR="0099313A" w:rsidRDefault="00C65C41" w:rsidP="0099313A">
      <w:pPr>
        <w:tabs>
          <w:tab w:val="left" w:pos="851"/>
        </w:tabs>
        <w:jc w:val="both"/>
      </w:pPr>
      <w:r>
        <w:t xml:space="preserve">Příloha č. 1 – </w:t>
      </w:r>
      <w:r w:rsidR="0099313A">
        <w:t>Techno</w:t>
      </w:r>
      <w:r w:rsidR="00C902A5">
        <w:t>logické schéma separačního uzlu</w:t>
      </w:r>
    </w:p>
    <w:p w14:paraId="010B2794" w14:textId="77777777" w:rsidR="00C65C41" w:rsidRDefault="00C65C41" w:rsidP="0099313A">
      <w:pPr>
        <w:tabs>
          <w:tab w:val="left" w:pos="851"/>
        </w:tabs>
        <w:jc w:val="both"/>
      </w:pPr>
      <w:r>
        <w:t xml:space="preserve">Příloha č. 2 – Materiálový list </w:t>
      </w:r>
      <w:proofErr w:type="spellStart"/>
      <w:r>
        <w:t>Lukopren</w:t>
      </w:r>
      <w:proofErr w:type="spellEnd"/>
      <w:r>
        <w:t xml:space="preserve"> N1000</w:t>
      </w:r>
    </w:p>
    <w:p w14:paraId="23FA15D6" w14:textId="77777777" w:rsidR="00C65C41" w:rsidRPr="00363413" w:rsidRDefault="00C65C41" w:rsidP="0099313A">
      <w:pPr>
        <w:tabs>
          <w:tab w:val="left" w:pos="851"/>
        </w:tabs>
        <w:jc w:val="both"/>
      </w:pPr>
      <w:r>
        <w:t>Příloha č. 3 – Materiálový list katalyzátoru N</w:t>
      </w:r>
    </w:p>
    <w:sectPr w:rsidR="00C65C41" w:rsidRPr="00363413" w:rsidSect="00AA3936">
      <w:headerReference w:type="default" r:id="rId11"/>
      <w:footerReference w:type="default" r:id="rId12"/>
      <w:pgSz w:w="11906" w:h="16838" w:code="9"/>
      <w:pgMar w:top="1418" w:right="1276" w:bottom="1418" w:left="1418" w:header="124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B5B5B" w14:textId="77777777" w:rsidR="001C0583" w:rsidRDefault="001C0583" w:rsidP="00363413">
      <w:pPr>
        <w:spacing w:after="0" w:line="240" w:lineRule="auto"/>
      </w:pPr>
      <w:r>
        <w:separator/>
      </w:r>
    </w:p>
  </w:endnote>
  <w:endnote w:type="continuationSeparator" w:id="0">
    <w:p w14:paraId="1DFE0CA0" w14:textId="77777777" w:rsidR="001C0583" w:rsidRDefault="001C0583" w:rsidP="0036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0490B" w14:textId="77777777" w:rsidR="00BF61E4" w:rsidRPr="00FA59D5" w:rsidRDefault="00BF61E4" w:rsidP="00FA59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 w:cs="Arial"/>
        <w:b/>
        <w:sz w:val="18"/>
        <w:szCs w:val="16"/>
      </w:rPr>
    </w:pPr>
    <w:r w:rsidRPr="00FA59D5">
      <w:rPr>
        <w:rFonts w:asciiTheme="minorHAnsi" w:hAnsiTheme="minorHAnsi" w:cs="Arial"/>
        <w:b/>
        <w:sz w:val="18"/>
        <w:szCs w:val="16"/>
      </w:rPr>
      <w:t>Veřejná zakázka</w:t>
    </w:r>
    <w:r w:rsidRPr="00FA59D5">
      <w:rPr>
        <w:rFonts w:asciiTheme="minorHAnsi" w:hAnsiTheme="minorHAnsi" w:cs="Arial"/>
        <w:b/>
        <w:sz w:val="18"/>
        <w:szCs w:val="16"/>
      </w:rPr>
      <w:tab/>
    </w:r>
    <w:r w:rsidRPr="00FA59D5">
      <w:rPr>
        <w:rFonts w:asciiTheme="minorHAnsi" w:hAnsiTheme="minorHAnsi" w:cs="Arial"/>
        <w:b/>
        <w:sz w:val="18"/>
        <w:szCs w:val="16"/>
      </w:rPr>
      <w:tab/>
    </w:r>
    <w:r w:rsidRPr="00FA59D5">
      <w:rPr>
        <w:rFonts w:asciiTheme="minorHAnsi" w:hAnsiTheme="minorHAnsi" w:cs="Arial"/>
        <w:sz w:val="18"/>
        <w:szCs w:val="20"/>
        <w:lang w:val="en-US"/>
      </w:rPr>
      <w:fldChar w:fldCharType="begin"/>
    </w:r>
    <w:r w:rsidRPr="00FA59D5">
      <w:rPr>
        <w:rFonts w:asciiTheme="minorHAnsi" w:hAnsiTheme="minorHAnsi" w:cs="Arial"/>
        <w:sz w:val="18"/>
        <w:szCs w:val="20"/>
        <w:lang w:val="en-US"/>
      </w:rPr>
      <w:instrText xml:space="preserve"> PAGE </w:instrText>
    </w:r>
    <w:r w:rsidRPr="00FA59D5">
      <w:rPr>
        <w:rFonts w:asciiTheme="minorHAnsi" w:hAnsiTheme="minorHAnsi" w:cs="Arial"/>
        <w:sz w:val="18"/>
        <w:szCs w:val="20"/>
        <w:lang w:val="en-US"/>
      </w:rPr>
      <w:fldChar w:fldCharType="separate"/>
    </w:r>
    <w:r w:rsidR="00955364">
      <w:rPr>
        <w:rFonts w:asciiTheme="minorHAnsi" w:hAnsiTheme="minorHAnsi" w:cs="Arial"/>
        <w:noProof/>
        <w:sz w:val="18"/>
        <w:szCs w:val="20"/>
        <w:lang w:val="en-US"/>
      </w:rPr>
      <w:t>15</w:t>
    </w:r>
    <w:r w:rsidRPr="00FA59D5">
      <w:rPr>
        <w:rFonts w:asciiTheme="minorHAnsi" w:hAnsiTheme="minorHAnsi" w:cs="Arial"/>
        <w:sz w:val="18"/>
        <w:szCs w:val="20"/>
        <w:lang w:val="en-US"/>
      </w:rPr>
      <w:fldChar w:fldCharType="end"/>
    </w:r>
    <w:r w:rsidRPr="00FA59D5">
      <w:rPr>
        <w:rFonts w:asciiTheme="minorHAnsi" w:hAnsiTheme="minorHAnsi" w:cs="Arial"/>
        <w:sz w:val="18"/>
        <w:szCs w:val="20"/>
        <w:lang w:val="en-US"/>
      </w:rPr>
      <w:t>/</w:t>
    </w:r>
    <w:r w:rsidRPr="00FA59D5">
      <w:rPr>
        <w:rFonts w:asciiTheme="minorHAnsi" w:hAnsiTheme="minorHAnsi" w:cs="Arial"/>
        <w:sz w:val="18"/>
        <w:szCs w:val="20"/>
        <w:lang w:val="en-US"/>
      </w:rPr>
      <w:fldChar w:fldCharType="begin"/>
    </w:r>
    <w:r w:rsidRPr="00FA59D5">
      <w:rPr>
        <w:rFonts w:asciiTheme="minorHAnsi" w:hAnsiTheme="minorHAnsi" w:cs="Arial"/>
        <w:sz w:val="18"/>
        <w:szCs w:val="20"/>
        <w:lang w:val="en-US"/>
      </w:rPr>
      <w:instrText xml:space="preserve"> NUMPAGES </w:instrText>
    </w:r>
    <w:r w:rsidRPr="00FA59D5">
      <w:rPr>
        <w:rFonts w:asciiTheme="minorHAnsi" w:hAnsiTheme="minorHAnsi" w:cs="Arial"/>
        <w:sz w:val="18"/>
        <w:szCs w:val="20"/>
        <w:lang w:val="en-US"/>
      </w:rPr>
      <w:fldChar w:fldCharType="separate"/>
    </w:r>
    <w:r w:rsidR="00955364">
      <w:rPr>
        <w:rFonts w:asciiTheme="minorHAnsi" w:hAnsiTheme="minorHAnsi" w:cs="Arial"/>
        <w:noProof/>
        <w:sz w:val="18"/>
        <w:szCs w:val="20"/>
        <w:lang w:val="en-US"/>
      </w:rPr>
      <w:t>15</w:t>
    </w:r>
    <w:r w:rsidRPr="00FA59D5">
      <w:rPr>
        <w:rFonts w:asciiTheme="minorHAnsi" w:hAnsiTheme="minorHAnsi" w:cs="Arial"/>
        <w:sz w:val="18"/>
        <w:szCs w:val="20"/>
        <w:lang w:val="en-US"/>
      </w:rPr>
      <w:fldChar w:fldCharType="end"/>
    </w:r>
  </w:p>
  <w:p w14:paraId="79DF01AF" w14:textId="77777777" w:rsidR="00BF61E4" w:rsidRPr="00FA59D5" w:rsidRDefault="00BF61E4" w:rsidP="00FA59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/>
        <w:b/>
        <w:sz w:val="18"/>
        <w:szCs w:val="16"/>
      </w:rPr>
    </w:pPr>
    <w:r w:rsidRPr="00FA59D5">
      <w:rPr>
        <w:rFonts w:asciiTheme="minorHAnsi" w:hAnsiTheme="minorHAnsi"/>
        <w:b/>
        <w:sz w:val="18"/>
        <w:szCs w:val="16"/>
      </w:rPr>
      <w:t xml:space="preserve">„SUSEN – </w:t>
    </w:r>
    <w:proofErr w:type="spellStart"/>
    <w:r w:rsidRPr="00FA59D5">
      <w:rPr>
        <w:rFonts w:asciiTheme="minorHAnsi" w:hAnsiTheme="minorHAnsi"/>
        <w:b/>
        <w:sz w:val="18"/>
        <w:szCs w:val="16"/>
      </w:rPr>
      <w:t>S</w:t>
    </w:r>
    <w:r>
      <w:rPr>
        <w:rFonts w:asciiTheme="minorHAnsi" w:hAnsiTheme="minorHAnsi"/>
        <w:b/>
        <w:sz w:val="18"/>
        <w:szCs w:val="16"/>
      </w:rPr>
      <w:t>olidifikační</w:t>
    </w:r>
    <w:proofErr w:type="spellEnd"/>
    <w:r>
      <w:rPr>
        <w:rFonts w:asciiTheme="minorHAnsi" w:hAnsiTheme="minorHAnsi"/>
        <w:b/>
        <w:sz w:val="18"/>
        <w:szCs w:val="16"/>
      </w:rPr>
      <w:t xml:space="preserve"> </w:t>
    </w:r>
    <w:r w:rsidRPr="00FA59D5">
      <w:rPr>
        <w:rFonts w:asciiTheme="minorHAnsi" w:hAnsiTheme="minorHAnsi"/>
        <w:b/>
        <w:sz w:val="18"/>
        <w:szCs w:val="16"/>
      </w:rPr>
      <w:t>zařízení pro experimentální linku ETL“</w:t>
    </w:r>
  </w:p>
  <w:p w14:paraId="7B509CD8" w14:textId="77777777" w:rsidR="00BF61E4" w:rsidRPr="00FA59D5" w:rsidRDefault="00BF61E4" w:rsidP="00FA59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/>
        <w:b/>
        <w:sz w:val="18"/>
        <w:szCs w:val="16"/>
      </w:rPr>
    </w:pPr>
    <w:r w:rsidRPr="00FA59D5">
      <w:rPr>
        <w:rFonts w:asciiTheme="minorHAnsi" w:hAnsiTheme="minorHAnsi"/>
        <w:b/>
        <w:sz w:val="18"/>
        <w:szCs w:val="16"/>
      </w:rPr>
      <w:t>Zadávací dokumentace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F0E9A" w14:textId="77777777" w:rsidR="001C0583" w:rsidRDefault="001C0583" w:rsidP="00363413">
      <w:pPr>
        <w:spacing w:after="0" w:line="240" w:lineRule="auto"/>
      </w:pPr>
      <w:r>
        <w:separator/>
      </w:r>
    </w:p>
  </w:footnote>
  <w:footnote w:type="continuationSeparator" w:id="0">
    <w:p w14:paraId="55DCD905" w14:textId="77777777" w:rsidR="001C0583" w:rsidRDefault="001C0583" w:rsidP="0036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30584" w14:textId="77777777" w:rsidR="00BF61E4" w:rsidRPr="00E44E64" w:rsidRDefault="00BF61E4" w:rsidP="00EE63C1">
    <w:pPr>
      <w:pStyle w:val="Zhlav"/>
      <w:tabs>
        <w:tab w:val="clear" w:pos="4536"/>
        <w:tab w:val="clear" w:pos="9072"/>
        <w:tab w:val="left" w:pos="3600"/>
        <w:tab w:val="left" w:pos="7950"/>
      </w:tabs>
      <w:ind w:left="-142" w:right="-144"/>
    </w:pPr>
    <w:r w:rsidRPr="00EE63C1"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59B8E5C8" wp14:editId="25540718">
          <wp:simplePos x="0" y="0"/>
          <wp:positionH relativeFrom="margin">
            <wp:align>left</wp:align>
          </wp:positionH>
          <wp:positionV relativeFrom="paragraph">
            <wp:posOffset>-497205</wp:posOffset>
          </wp:positionV>
          <wp:extent cx="400050" cy="409575"/>
          <wp:effectExtent l="0" t="0" r="0" b="9525"/>
          <wp:wrapSquare wrapText="bothSides"/>
          <wp:docPr id="1" name="Obráze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3C1"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23A0EA9A" wp14:editId="6F54E957">
          <wp:simplePos x="0" y="0"/>
          <wp:positionH relativeFrom="margin">
            <wp:posOffset>4402455</wp:posOffset>
          </wp:positionH>
          <wp:positionV relativeFrom="paragraph">
            <wp:posOffset>-697230</wp:posOffset>
          </wp:positionV>
          <wp:extent cx="1409700" cy="697865"/>
          <wp:effectExtent l="0" t="0" r="0" b="698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3C1"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27888ED1" wp14:editId="3CDBA418">
          <wp:simplePos x="0" y="0"/>
          <wp:positionH relativeFrom="column">
            <wp:posOffset>1571625</wp:posOffset>
          </wp:positionH>
          <wp:positionV relativeFrom="paragraph">
            <wp:posOffset>-733425</wp:posOffset>
          </wp:positionV>
          <wp:extent cx="2819400" cy="734060"/>
          <wp:effectExtent l="0" t="0" r="0" b="889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_</w:t>
    </w:r>
    <w:r w:rsidRPr="00EE63C1">
      <w:rPr>
        <w:sz w:val="20"/>
      </w:rPr>
      <w:t>_____________________________________________________________________________________</w:t>
    </w:r>
    <w:r>
      <w:rPr>
        <w:sz w:val="20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A0D"/>
    <w:multiLevelType w:val="multilevel"/>
    <w:tmpl w:val="BBCE511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5E214C5"/>
    <w:multiLevelType w:val="multilevel"/>
    <w:tmpl w:val="09705334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27117F59"/>
    <w:multiLevelType w:val="multilevel"/>
    <w:tmpl w:val="85F21A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426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334E7D4C"/>
    <w:multiLevelType w:val="hybridMultilevel"/>
    <w:tmpl w:val="6A804F7C"/>
    <w:lvl w:ilvl="0" w:tplc="B956C6F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BCA"/>
    <w:multiLevelType w:val="hybridMultilevel"/>
    <w:tmpl w:val="85AC9686"/>
    <w:lvl w:ilvl="0" w:tplc="07DAB36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60204"/>
    <w:multiLevelType w:val="multilevel"/>
    <w:tmpl w:val="D586F9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9CD5FE6"/>
    <w:multiLevelType w:val="hybridMultilevel"/>
    <w:tmpl w:val="881616CC"/>
    <w:lvl w:ilvl="0" w:tplc="7CD453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F660CCB"/>
    <w:multiLevelType w:val="hybridMultilevel"/>
    <w:tmpl w:val="81760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817319"/>
    <w:multiLevelType w:val="hybridMultilevel"/>
    <w:tmpl w:val="A6103D2E"/>
    <w:lvl w:ilvl="0" w:tplc="7B62C738">
      <w:start w:val="10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8CAA8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5"/>
    <w:lvlOverride w:ilvl="0">
      <w:startOverride w:val="2"/>
    </w:lvlOverride>
    <w:lvlOverride w:ilvl="1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/hvEkMcRAH2+3nGR/cCUyIRGXyXfPc2G9zifBVcwswHEvpeQ5FlPQ7EidZydFN5GcvKMS/f/dDA2rmO3zspQ==" w:salt="w4jj4U/F7RBWVSvraYNZi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C9"/>
    <w:rsid w:val="00013602"/>
    <w:rsid w:val="00015CD1"/>
    <w:rsid w:val="00023D1F"/>
    <w:rsid w:val="00031E32"/>
    <w:rsid w:val="00035EE4"/>
    <w:rsid w:val="00057070"/>
    <w:rsid w:val="00076F23"/>
    <w:rsid w:val="00080AC2"/>
    <w:rsid w:val="000C66D8"/>
    <w:rsid w:val="000D4A14"/>
    <w:rsid w:val="000E12B4"/>
    <w:rsid w:val="000E4668"/>
    <w:rsid w:val="000F4562"/>
    <w:rsid w:val="000F4824"/>
    <w:rsid w:val="001006A5"/>
    <w:rsid w:val="00103F90"/>
    <w:rsid w:val="00107E01"/>
    <w:rsid w:val="0011273E"/>
    <w:rsid w:val="00123029"/>
    <w:rsid w:val="00125A07"/>
    <w:rsid w:val="00131175"/>
    <w:rsid w:val="00137D8F"/>
    <w:rsid w:val="00147FEC"/>
    <w:rsid w:val="0019370A"/>
    <w:rsid w:val="001A2706"/>
    <w:rsid w:val="001A7A1B"/>
    <w:rsid w:val="001B4F98"/>
    <w:rsid w:val="001C0583"/>
    <w:rsid w:val="001C11A4"/>
    <w:rsid w:val="001C7C97"/>
    <w:rsid w:val="001E19F3"/>
    <w:rsid w:val="00200373"/>
    <w:rsid w:val="0020324E"/>
    <w:rsid w:val="00215E9F"/>
    <w:rsid w:val="00242A31"/>
    <w:rsid w:val="002477E7"/>
    <w:rsid w:val="00250053"/>
    <w:rsid w:val="00265FD2"/>
    <w:rsid w:val="00296A78"/>
    <w:rsid w:val="0029765A"/>
    <w:rsid w:val="002A7F41"/>
    <w:rsid w:val="002B2789"/>
    <w:rsid w:val="002D6B3E"/>
    <w:rsid w:val="002F1748"/>
    <w:rsid w:val="002F2B75"/>
    <w:rsid w:val="002F6066"/>
    <w:rsid w:val="002F6643"/>
    <w:rsid w:val="003015C9"/>
    <w:rsid w:val="0032051E"/>
    <w:rsid w:val="00340168"/>
    <w:rsid w:val="00345486"/>
    <w:rsid w:val="003539E9"/>
    <w:rsid w:val="00356A7E"/>
    <w:rsid w:val="00357E59"/>
    <w:rsid w:val="00363413"/>
    <w:rsid w:val="003B5D7D"/>
    <w:rsid w:val="003B6C5B"/>
    <w:rsid w:val="003D0501"/>
    <w:rsid w:val="003D0B52"/>
    <w:rsid w:val="003D6B88"/>
    <w:rsid w:val="003E3028"/>
    <w:rsid w:val="003F0D89"/>
    <w:rsid w:val="003F3D1C"/>
    <w:rsid w:val="003F5F9C"/>
    <w:rsid w:val="003F6509"/>
    <w:rsid w:val="004071A2"/>
    <w:rsid w:val="0043235E"/>
    <w:rsid w:val="00445ABE"/>
    <w:rsid w:val="00445B0C"/>
    <w:rsid w:val="00447666"/>
    <w:rsid w:val="00455A69"/>
    <w:rsid w:val="0047250E"/>
    <w:rsid w:val="0048013B"/>
    <w:rsid w:val="00490D22"/>
    <w:rsid w:val="004910C3"/>
    <w:rsid w:val="004A38F2"/>
    <w:rsid w:val="004A5CF1"/>
    <w:rsid w:val="004C7F7C"/>
    <w:rsid w:val="004D010E"/>
    <w:rsid w:val="004D1B8F"/>
    <w:rsid w:val="004D2420"/>
    <w:rsid w:val="004D799F"/>
    <w:rsid w:val="004E0E74"/>
    <w:rsid w:val="004F4F6C"/>
    <w:rsid w:val="005247E8"/>
    <w:rsid w:val="0053142E"/>
    <w:rsid w:val="005440F3"/>
    <w:rsid w:val="00546C6C"/>
    <w:rsid w:val="0055470E"/>
    <w:rsid w:val="00561228"/>
    <w:rsid w:val="00566B6E"/>
    <w:rsid w:val="00570E1B"/>
    <w:rsid w:val="005741FB"/>
    <w:rsid w:val="0057678F"/>
    <w:rsid w:val="005B268E"/>
    <w:rsid w:val="005E0920"/>
    <w:rsid w:val="005E3AE9"/>
    <w:rsid w:val="005E5EB9"/>
    <w:rsid w:val="005E6440"/>
    <w:rsid w:val="00602F53"/>
    <w:rsid w:val="006041EC"/>
    <w:rsid w:val="006238CA"/>
    <w:rsid w:val="006310B4"/>
    <w:rsid w:val="00634862"/>
    <w:rsid w:val="00634ACD"/>
    <w:rsid w:val="00645B67"/>
    <w:rsid w:val="00653EF3"/>
    <w:rsid w:val="00657CD0"/>
    <w:rsid w:val="00664C2A"/>
    <w:rsid w:val="006715D2"/>
    <w:rsid w:val="0067161E"/>
    <w:rsid w:val="00672351"/>
    <w:rsid w:val="006735FE"/>
    <w:rsid w:val="00681D98"/>
    <w:rsid w:val="00682E13"/>
    <w:rsid w:val="00682E5B"/>
    <w:rsid w:val="00683320"/>
    <w:rsid w:val="006A2BFB"/>
    <w:rsid w:val="006A4E10"/>
    <w:rsid w:val="006A6E1A"/>
    <w:rsid w:val="006B47D4"/>
    <w:rsid w:val="006D3E32"/>
    <w:rsid w:val="006E1826"/>
    <w:rsid w:val="006F0591"/>
    <w:rsid w:val="006F6338"/>
    <w:rsid w:val="007153D7"/>
    <w:rsid w:val="007240D6"/>
    <w:rsid w:val="00731487"/>
    <w:rsid w:val="00737BFF"/>
    <w:rsid w:val="00750BC9"/>
    <w:rsid w:val="00754DA4"/>
    <w:rsid w:val="00756846"/>
    <w:rsid w:val="007606CA"/>
    <w:rsid w:val="00773F76"/>
    <w:rsid w:val="00777ED0"/>
    <w:rsid w:val="00781254"/>
    <w:rsid w:val="00782399"/>
    <w:rsid w:val="007832A9"/>
    <w:rsid w:val="00786384"/>
    <w:rsid w:val="00795C6C"/>
    <w:rsid w:val="007B3A2D"/>
    <w:rsid w:val="007D450E"/>
    <w:rsid w:val="007E5E49"/>
    <w:rsid w:val="007E63F6"/>
    <w:rsid w:val="007F7581"/>
    <w:rsid w:val="008204AA"/>
    <w:rsid w:val="00822AFE"/>
    <w:rsid w:val="008231F8"/>
    <w:rsid w:val="0082499F"/>
    <w:rsid w:val="00825073"/>
    <w:rsid w:val="0082748B"/>
    <w:rsid w:val="00827B6D"/>
    <w:rsid w:val="00832116"/>
    <w:rsid w:val="00850602"/>
    <w:rsid w:val="0085796A"/>
    <w:rsid w:val="00860014"/>
    <w:rsid w:val="008625E6"/>
    <w:rsid w:val="00867C1A"/>
    <w:rsid w:val="00871A6C"/>
    <w:rsid w:val="00890133"/>
    <w:rsid w:val="008B4661"/>
    <w:rsid w:val="008D46AD"/>
    <w:rsid w:val="008E2634"/>
    <w:rsid w:val="008F4D21"/>
    <w:rsid w:val="008F60B8"/>
    <w:rsid w:val="00940B64"/>
    <w:rsid w:val="00947AC4"/>
    <w:rsid w:val="00955364"/>
    <w:rsid w:val="009611C6"/>
    <w:rsid w:val="00961F64"/>
    <w:rsid w:val="00985EAB"/>
    <w:rsid w:val="0099313A"/>
    <w:rsid w:val="009A11BA"/>
    <w:rsid w:val="009A5362"/>
    <w:rsid w:val="009A6BF9"/>
    <w:rsid w:val="009B3C36"/>
    <w:rsid w:val="009B41F4"/>
    <w:rsid w:val="009B5437"/>
    <w:rsid w:val="009C2827"/>
    <w:rsid w:val="009D1382"/>
    <w:rsid w:val="009D60B9"/>
    <w:rsid w:val="00A00E8B"/>
    <w:rsid w:val="00A050DE"/>
    <w:rsid w:val="00A0762A"/>
    <w:rsid w:val="00A21F79"/>
    <w:rsid w:val="00A2422F"/>
    <w:rsid w:val="00A738E5"/>
    <w:rsid w:val="00A75769"/>
    <w:rsid w:val="00A767AF"/>
    <w:rsid w:val="00A80AEB"/>
    <w:rsid w:val="00A91BEF"/>
    <w:rsid w:val="00AA3936"/>
    <w:rsid w:val="00AB0D24"/>
    <w:rsid w:val="00AC11EB"/>
    <w:rsid w:val="00AC2B50"/>
    <w:rsid w:val="00AC6DDE"/>
    <w:rsid w:val="00AD1AB6"/>
    <w:rsid w:val="00AE1B4F"/>
    <w:rsid w:val="00AE2B45"/>
    <w:rsid w:val="00B04F08"/>
    <w:rsid w:val="00B1509D"/>
    <w:rsid w:val="00B20984"/>
    <w:rsid w:val="00B24516"/>
    <w:rsid w:val="00B32B15"/>
    <w:rsid w:val="00B474A0"/>
    <w:rsid w:val="00B47C83"/>
    <w:rsid w:val="00B51D83"/>
    <w:rsid w:val="00B63E03"/>
    <w:rsid w:val="00B707EB"/>
    <w:rsid w:val="00B9126D"/>
    <w:rsid w:val="00BA1CBA"/>
    <w:rsid w:val="00BB3C63"/>
    <w:rsid w:val="00BB5F38"/>
    <w:rsid w:val="00BD36A6"/>
    <w:rsid w:val="00BD5B8D"/>
    <w:rsid w:val="00BE5BE8"/>
    <w:rsid w:val="00BE7819"/>
    <w:rsid w:val="00BF316A"/>
    <w:rsid w:val="00BF38CD"/>
    <w:rsid w:val="00BF61E4"/>
    <w:rsid w:val="00C01E73"/>
    <w:rsid w:val="00C33F5E"/>
    <w:rsid w:val="00C523C9"/>
    <w:rsid w:val="00C56854"/>
    <w:rsid w:val="00C65C41"/>
    <w:rsid w:val="00C80BDD"/>
    <w:rsid w:val="00C81E56"/>
    <w:rsid w:val="00C83DBD"/>
    <w:rsid w:val="00C902A5"/>
    <w:rsid w:val="00CC76BA"/>
    <w:rsid w:val="00CE1610"/>
    <w:rsid w:val="00CE5C9C"/>
    <w:rsid w:val="00D03D89"/>
    <w:rsid w:val="00D06E60"/>
    <w:rsid w:val="00D43161"/>
    <w:rsid w:val="00D52870"/>
    <w:rsid w:val="00D6469E"/>
    <w:rsid w:val="00D767CE"/>
    <w:rsid w:val="00D8511F"/>
    <w:rsid w:val="00D86FF8"/>
    <w:rsid w:val="00D95B4A"/>
    <w:rsid w:val="00DA18D6"/>
    <w:rsid w:val="00DA373B"/>
    <w:rsid w:val="00DA5A5A"/>
    <w:rsid w:val="00DC3416"/>
    <w:rsid w:val="00DD6A9C"/>
    <w:rsid w:val="00DE0EC2"/>
    <w:rsid w:val="00DE3314"/>
    <w:rsid w:val="00DE3551"/>
    <w:rsid w:val="00DE4C50"/>
    <w:rsid w:val="00E0090D"/>
    <w:rsid w:val="00E00F4B"/>
    <w:rsid w:val="00E05BE9"/>
    <w:rsid w:val="00E150B7"/>
    <w:rsid w:val="00E25C32"/>
    <w:rsid w:val="00E42BF0"/>
    <w:rsid w:val="00E465D7"/>
    <w:rsid w:val="00E604E1"/>
    <w:rsid w:val="00E61CA9"/>
    <w:rsid w:val="00E63156"/>
    <w:rsid w:val="00E679D1"/>
    <w:rsid w:val="00E82BD7"/>
    <w:rsid w:val="00EB4971"/>
    <w:rsid w:val="00EB55C3"/>
    <w:rsid w:val="00EC77F1"/>
    <w:rsid w:val="00EE56C7"/>
    <w:rsid w:val="00EE59CE"/>
    <w:rsid w:val="00EE63C1"/>
    <w:rsid w:val="00EF08D2"/>
    <w:rsid w:val="00F01B8A"/>
    <w:rsid w:val="00F376C4"/>
    <w:rsid w:val="00F416EC"/>
    <w:rsid w:val="00F42AD3"/>
    <w:rsid w:val="00F42C58"/>
    <w:rsid w:val="00F444BA"/>
    <w:rsid w:val="00F44524"/>
    <w:rsid w:val="00F50EAB"/>
    <w:rsid w:val="00F77613"/>
    <w:rsid w:val="00F81D4F"/>
    <w:rsid w:val="00FA0AC2"/>
    <w:rsid w:val="00FA59D5"/>
    <w:rsid w:val="00FB0252"/>
    <w:rsid w:val="00FB3657"/>
    <w:rsid w:val="00FC1D07"/>
    <w:rsid w:val="00FC21EB"/>
    <w:rsid w:val="00FC2C1F"/>
    <w:rsid w:val="00FC48F4"/>
    <w:rsid w:val="00FC770A"/>
    <w:rsid w:val="00FD0FC5"/>
    <w:rsid w:val="00FD15F2"/>
    <w:rsid w:val="00FD50DC"/>
    <w:rsid w:val="00FE38BB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0591423"/>
  <w15:docId w15:val="{9867968D-838E-4BF9-9C23-0E815561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9CE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F048A"/>
    <w:pPr>
      <w:numPr>
        <w:numId w:val="4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F048A"/>
    <w:pPr>
      <w:numPr>
        <w:ilvl w:val="1"/>
        <w:numId w:val="4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E7819"/>
    <w:pPr>
      <w:numPr>
        <w:ilvl w:val="2"/>
        <w:numId w:val="4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BE7819"/>
    <w:pPr>
      <w:numPr>
        <w:ilvl w:val="3"/>
        <w:numId w:val="2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B51D83"/>
    <w:pPr>
      <w:spacing w:before="120" w:after="60" w:line="276" w:lineRule="auto"/>
      <w:ind w:left="1008" w:hanging="1008"/>
      <w:jc w:val="both"/>
      <w:outlineLvl w:val="4"/>
    </w:pPr>
    <w:rPr>
      <w:rFonts w:ascii="Arial" w:eastAsia="MS Mincho" w:hAnsi="Arial"/>
      <w:bCs/>
      <w:i/>
      <w:iCs/>
      <w:kern w:val="20"/>
      <w:sz w:val="26"/>
      <w:szCs w:val="26"/>
      <w:lang w:eastAsia="ja-JP"/>
    </w:rPr>
  </w:style>
  <w:style w:type="paragraph" w:styleId="Nadpis6">
    <w:name w:val="heading 6"/>
    <w:basedOn w:val="Normln"/>
    <w:next w:val="Normln"/>
    <w:link w:val="Nadpis6Char"/>
    <w:uiPriority w:val="99"/>
    <w:qFormat/>
    <w:rsid w:val="00B51D83"/>
    <w:pPr>
      <w:spacing w:before="120" w:after="0" w:line="276" w:lineRule="auto"/>
      <w:ind w:left="1152" w:hanging="1152"/>
      <w:jc w:val="both"/>
      <w:outlineLvl w:val="5"/>
    </w:pPr>
    <w:rPr>
      <w:rFonts w:ascii="Arial" w:eastAsia="MS Mincho" w:hAnsi="Arial"/>
      <w:b/>
      <w:bCs/>
      <w:i/>
      <w:iCs/>
      <w:spacing w:val="-8"/>
      <w:kern w:val="20"/>
      <w:lang w:eastAsia="ja-JP"/>
    </w:rPr>
  </w:style>
  <w:style w:type="paragraph" w:styleId="Nadpis7">
    <w:name w:val="heading 7"/>
    <w:basedOn w:val="Normln"/>
    <w:next w:val="Normln"/>
    <w:link w:val="Nadpis7Char"/>
    <w:uiPriority w:val="99"/>
    <w:qFormat/>
    <w:rsid w:val="00B51D83"/>
    <w:pPr>
      <w:spacing w:before="240" w:after="60" w:line="276" w:lineRule="auto"/>
      <w:ind w:left="1296" w:hanging="1296"/>
      <w:jc w:val="both"/>
      <w:outlineLvl w:val="6"/>
    </w:pPr>
    <w:rPr>
      <w:rFonts w:ascii="Arial" w:eastAsia="MS Mincho" w:hAnsi="Arial"/>
      <w:bCs/>
      <w:kern w:val="20"/>
      <w:sz w:val="24"/>
      <w:szCs w:val="24"/>
      <w:lang w:eastAsia="ja-JP"/>
    </w:rPr>
  </w:style>
  <w:style w:type="paragraph" w:styleId="Nadpis8">
    <w:name w:val="heading 8"/>
    <w:basedOn w:val="Normln"/>
    <w:next w:val="Normln"/>
    <w:link w:val="Nadpis8Char"/>
    <w:uiPriority w:val="99"/>
    <w:qFormat/>
    <w:rsid w:val="00B51D83"/>
    <w:pPr>
      <w:keepNext/>
      <w:spacing w:after="0" w:line="276" w:lineRule="auto"/>
      <w:ind w:left="1440" w:hanging="1440"/>
      <w:jc w:val="both"/>
      <w:outlineLvl w:val="7"/>
    </w:pPr>
    <w:rPr>
      <w:rFonts w:ascii="Arial" w:eastAsia="MS Mincho" w:hAnsi="Arial"/>
      <w:b/>
      <w:bCs/>
      <w:i/>
      <w:iCs/>
      <w:kern w:val="20"/>
      <w:sz w:val="24"/>
      <w:szCs w:val="24"/>
      <w:lang w:eastAsia="ja-JP"/>
    </w:rPr>
  </w:style>
  <w:style w:type="paragraph" w:styleId="Nadpis9">
    <w:name w:val="heading 9"/>
    <w:basedOn w:val="Normln"/>
    <w:next w:val="Normln"/>
    <w:link w:val="Nadpis9Char"/>
    <w:uiPriority w:val="99"/>
    <w:qFormat/>
    <w:rsid w:val="00B51D83"/>
    <w:pPr>
      <w:keepNext/>
      <w:spacing w:after="0" w:line="276" w:lineRule="auto"/>
      <w:ind w:left="1584" w:hanging="1584"/>
      <w:jc w:val="both"/>
      <w:outlineLvl w:val="8"/>
    </w:pPr>
    <w:rPr>
      <w:rFonts w:ascii="Arial" w:eastAsia="MS Mincho" w:hAnsi="Arial"/>
      <w:b/>
      <w:bCs/>
      <w:i/>
      <w:iCs/>
      <w:color w:val="000000"/>
      <w:kern w:val="20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048A"/>
    <w:rPr>
      <w:rFonts w:cs="Times New Roman"/>
      <w:b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F048A"/>
    <w:rPr>
      <w:rFonts w:cs="Times New Roman"/>
      <w:b/>
      <w:sz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E7819"/>
    <w:rPr>
      <w:rFonts w:cs="Times New Roman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7819"/>
    <w:rPr>
      <w:rFonts w:cs="Times New Roman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51D83"/>
    <w:rPr>
      <w:rFonts w:ascii="Arial" w:eastAsia="MS Mincho" w:hAnsi="Arial" w:cs="Times New Roman"/>
      <w:i/>
      <w:kern w:val="20"/>
      <w:sz w:val="26"/>
      <w:lang w:eastAsia="ja-JP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51D83"/>
    <w:rPr>
      <w:rFonts w:ascii="Arial" w:eastAsia="MS Mincho" w:hAnsi="Arial" w:cs="Times New Roman"/>
      <w:b/>
      <w:i/>
      <w:spacing w:val="-8"/>
      <w:kern w:val="20"/>
      <w:sz w:val="22"/>
      <w:lang w:eastAsia="ja-JP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51D83"/>
    <w:rPr>
      <w:rFonts w:ascii="Arial" w:eastAsia="MS Mincho" w:hAnsi="Arial" w:cs="Times New Roman"/>
      <w:kern w:val="20"/>
      <w:sz w:val="24"/>
      <w:lang w:eastAsia="ja-JP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51D83"/>
    <w:rPr>
      <w:rFonts w:ascii="Arial" w:eastAsia="MS Mincho" w:hAnsi="Arial" w:cs="Times New Roman"/>
      <w:b/>
      <w:i/>
      <w:kern w:val="20"/>
      <w:sz w:val="24"/>
      <w:lang w:eastAsia="ja-JP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1D83"/>
    <w:rPr>
      <w:rFonts w:ascii="Arial" w:eastAsia="MS Mincho" w:hAnsi="Arial" w:cs="Times New Roman"/>
      <w:b/>
      <w:i/>
      <w:color w:val="000000"/>
      <w:kern w:val="20"/>
      <w:sz w:val="24"/>
      <w:lang w:eastAsia="ja-JP"/>
    </w:rPr>
  </w:style>
  <w:style w:type="paragraph" w:styleId="Odstavecseseznamem">
    <w:name w:val="List Paragraph"/>
    <w:basedOn w:val="Normln"/>
    <w:qFormat/>
    <w:rsid w:val="003015C9"/>
    <w:pPr>
      <w:ind w:left="720"/>
      <w:contextualSpacing/>
    </w:pPr>
  </w:style>
  <w:style w:type="paragraph" w:customStyle="1" w:styleId="Default">
    <w:name w:val="Default"/>
    <w:uiPriority w:val="99"/>
    <w:rsid w:val="003015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99"/>
    <w:qFormat/>
    <w:rsid w:val="003015C9"/>
    <w:rPr>
      <w:rFonts w:cs="Times New Roman"/>
      <w:b/>
    </w:rPr>
  </w:style>
  <w:style w:type="paragraph" w:styleId="Zhlav">
    <w:name w:val="header"/>
    <w:basedOn w:val="Normln"/>
    <w:link w:val="ZhlavChar"/>
    <w:rsid w:val="003634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363413"/>
    <w:rPr>
      <w:rFonts w:cs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3634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63413"/>
    <w:rPr>
      <w:rFonts w:cs="Times New Roman"/>
      <w:sz w:val="22"/>
      <w:lang w:eastAsia="en-US"/>
    </w:rPr>
  </w:style>
  <w:style w:type="paragraph" w:styleId="Titulek">
    <w:name w:val="caption"/>
    <w:basedOn w:val="Normln"/>
    <w:next w:val="Normln"/>
    <w:uiPriority w:val="99"/>
    <w:qFormat/>
    <w:rsid w:val="000136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4A1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0F48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F48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F4824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F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F4824"/>
    <w:rPr>
      <w:rFonts w:cs="Times New Roman"/>
      <w:b/>
      <w:bCs/>
      <w:lang w:eastAsia="en-US"/>
    </w:rPr>
  </w:style>
  <w:style w:type="paragraph" w:styleId="Zkladntext">
    <w:name w:val="Body Text"/>
    <w:basedOn w:val="Normln"/>
    <w:link w:val="ZkladntextChar"/>
    <w:uiPriority w:val="99"/>
    <w:locked/>
    <w:rsid w:val="00E61CA9"/>
    <w:pPr>
      <w:spacing w:after="120" w:line="240" w:lineRule="auto"/>
      <w:jc w:val="both"/>
    </w:pPr>
    <w:rPr>
      <w:rFonts w:ascii="Arial" w:eastAsia="MS Mincho" w:hAnsi="Arial" w:cs="Arial"/>
      <w:bCs/>
      <w:kern w:val="20"/>
      <w:sz w:val="24"/>
      <w:szCs w:val="24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1CA9"/>
    <w:rPr>
      <w:rFonts w:ascii="Arial" w:eastAsia="MS Mincho" w:hAnsi="Arial" w:cs="Arial"/>
      <w:bCs/>
      <w:kern w:val="20"/>
      <w:sz w:val="24"/>
      <w:szCs w:val="24"/>
      <w:lang w:val="de-DE" w:eastAsia="de-DE"/>
    </w:rPr>
  </w:style>
  <w:style w:type="character" w:customStyle="1" w:styleId="apple-converted-space">
    <w:name w:val="apple-converted-space"/>
    <w:rsid w:val="00C65C41"/>
  </w:style>
  <w:style w:type="character" w:customStyle="1" w:styleId="kno-fv">
    <w:name w:val="kno-fv"/>
    <w:basedOn w:val="Standardnpsmoodstavce"/>
    <w:rsid w:val="00C6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3783</Words>
  <Characters>22630</Characters>
  <Application>Microsoft Office Word</Application>
  <DocSecurity>8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popis separačního uzlu pro výběrové řízení ÚJV Řež</vt:lpstr>
      <vt:lpstr>Zadávací popis separačního uzlu pro výběrové řízení ÚJV Řež</vt:lpstr>
    </vt:vector>
  </TitlesOfParts>
  <Company/>
  <LinksUpToDate>false</LinksUpToDate>
  <CharactersWithSpaces>26361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popis separačního uzlu pro výběrové řízení ÚJV Řež</dc:title>
  <dc:subject/>
  <dc:creator>Jan Sýkora</dc:creator>
  <cp:keywords/>
  <dc:description/>
  <cp:lastModifiedBy>Chyna Bohuslav</cp:lastModifiedBy>
  <cp:revision>13</cp:revision>
  <cp:lastPrinted>2015-11-12T12:37:00Z</cp:lastPrinted>
  <dcterms:created xsi:type="dcterms:W3CDTF">2016-09-06T08:46:00Z</dcterms:created>
  <dcterms:modified xsi:type="dcterms:W3CDTF">2017-01-25T08:45:00Z</dcterms:modified>
</cp:coreProperties>
</file>