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B04D" w14:textId="77777777" w:rsidR="00720231" w:rsidRDefault="00720231" w:rsidP="00720231">
      <w:pPr>
        <w:ind w:left="142" w:right="283"/>
        <w:jc w:val="center"/>
        <w:rPr>
          <w:rFonts w:asciiTheme="minorHAnsi" w:hAnsiTheme="minorHAnsi" w:cs="Arial"/>
          <w:b/>
          <w:sz w:val="32"/>
          <w:szCs w:val="32"/>
        </w:rPr>
      </w:pPr>
    </w:p>
    <w:p w14:paraId="324EDF3A" w14:textId="4A7FD455" w:rsidR="00720231" w:rsidRPr="00173607" w:rsidRDefault="00720231" w:rsidP="00720231">
      <w:pPr>
        <w:ind w:left="142" w:right="283"/>
        <w:jc w:val="center"/>
        <w:rPr>
          <w:rFonts w:asciiTheme="minorHAnsi" w:hAnsiTheme="minorHAnsi" w:cs="Arial"/>
          <w:b/>
          <w:sz w:val="32"/>
          <w:szCs w:val="32"/>
        </w:rPr>
      </w:pPr>
      <w:r w:rsidRPr="00173607">
        <w:rPr>
          <w:rFonts w:asciiTheme="minorHAnsi" w:hAnsiTheme="minorHAnsi" w:cs="Arial"/>
          <w:b/>
          <w:sz w:val="32"/>
          <w:szCs w:val="32"/>
        </w:rPr>
        <w:t>Dohoda o poskytování právní služby</w:t>
      </w:r>
    </w:p>
    <w:p w14:paraId="16D68479" w14:textId="77777777" w:rsidR="00720231" w:rsidRPr="00173607" w:rsidRDefault="00720231" w:rsidP="00720231">
      <w:pPr>
        <w:ind w:left="142" w:right="283"/>
        <w:jc w:val="center"/>
        <w:rPr>
          <w:rFonts w:asciiTheme="minorHAnsi" w:hAnsiTheme="minorHAnsi" w:cs="Arial"/>
          <w:sz w:val="20"/>
          <w:szCs w:val="20"/>
        </w:rPr>
      </w:pPr>
      <w:r w:rsidRPr="00173607">
        <w:rPr>
          <w:rFonts w:asciiTheme="minorHAnsi" w:hAnsiTheme="minorHAnsi" w:cs="Arial"/>
          <w:sz w:val="20"/>
          <w:szCs w:val="20"/>
        </w:rPr>
        <w:t>uzavřená mezi:</w:t>
      </w:r>
    </w:p>
    <w:p w14:paraId="3EA4C59D" w14:textId="77777777" w:rsidR="00720231" w:rsidRPr="0014401D" w:rsidRDefault="00720231" w:rsidP="00720231">
      <w:pPr>
        <w:ind w:left="142" w:right="283"/>
        <w:jc w:val="both"/>
        <w:rPr>
          <w:rFonts w:asciiTheme="minorHAnsi" w:hAnsiTheme="minorHAnsi" w:cs="Arial"/>
          <w:sz w:val="12"/>
          <w:szCs w:val="12"/>
        </w:rPr>
      </w:pPr>
      <w:r w:rsidRPr="00173607">
        <w:rPr>
          <w:rFonts w:asciiTheme="minorHAnsi" w:hAnsiTheme="minorHAnsi" w:cs="Arial"/>
          <w:sz w:val="20"/>
          <w:szCs w:val="20"/>
        </w:rPr>
        <w:tab/>
      </w:r>
    </w:p>
    <w:p w14:paraId="523DDF97" w14:textId="20EF8E63" w:rsidR="00720231" w:rsidRPr="00720231" w:rsidRDefault="004E464A" w:rsidP="00720231">
      <w:pPr>
        <w:tabs>
          <w:tab w:val="left" w:pos="4962"/>
          <w:tab w:val="left" w:pos="5812"/>
        </w:tabs>
        <w:ind w:left="142" w:right="283"/>
        <w:jc w:val="both"/>
        <w:rPr>
          <w:rFonts w:asciiTheme="minorHAnsi" w:hAnsiTheme="minorHAnsi" w:cs="Arial"/>
          <w:b/>
          <w:sz w:val="20"/>
          <w:szCs w:val="20"/>
        </w:rPr>
      </w:pPr>
      <w:r>
        <w:rPr>
          <w:rFonts w:asciiTheme="minorHAnsi" w:hAnsiTheme="minorHAnsi" w:cs="Arial"/>
          <w:b/>
          <w:bCs/>
          <w:sz w:val="20"/>
          <w:szCs w:val="20"/>
        </w:rPr>
        <w:t>město Kutná Hora, IČO: 00236195</w:t>
      </w:r>
      <w:r w:rsidR="00720231" w:rsidRPr="00720231">
        <w:rPr>
          <w:rFonts w:asciiTheme="minorHAnsi" w:hAnsiTheme="minorHAnsi" w:cs="Arial"/>
          <w:b/>
          <w:bCs/>
          <w:sz w:val="20"/>
          <w:szCs w:val="20"/>
        </w:rPr>
        <w:tab/>
        <w:t xml:space="preserve">SVEJKOVSKÝ &amp; </w:t>
      </w:r>
      <w:proofErr w:type="gramStart"/>
      <w:r w:rsidR="00720231" w:rsidRPr="00720231">
        <w:rPr>
          <w:rFonts w:asciiTheme="minorHAnsi" w:hAnsiTheme="minorHAnsi" w:cs="Arial"/>
          <w:b/>
          <w:bCs/>
          <w:sz w:val="20"/>
          <w:szCs w:val="20"/>
        </w:rPr>
        <w:t>KABELKOVÁ - advokáti</w:t>
      </w:r>
      <w:proofErr w:type="gramEnd"/>
      <w:r w:rsidR="00720231" w:rsidRPr="00720231">
        <w:rPr>
          <w:rFonts w:asciiTheme="minorHAnsi" w:hAnsiTheme="minorHAnsi" w:cs="Arial"/>
          <w:b/>
          <w:bCs/>
          <w:sz w:val="20"/>
          <w:szCs w:val="20"/>
        </w:rPr>
        <w:t xml:space="preserve"> s.r.o.</w:t>
      </w:r>
      <w:r w:rsidR="00720231" w:rsidRPr="00720231">
        <w:rPr>
          <w:rFonts w:asciiTheme="minorHAnsi" w:hAnsiTheme="minorHAnsi" w:cs="Arial"/>
          <w:b/>
          <w:sz w:val="20"/>
          <w:szCs w:val="20"/>
        </w:rPr>
        <w:t xml:space="preserve"> </w:t>
      </w:r>
    </w:p>
    <w:p w14:paraId="2AB78F9B" w14:textId="1D84A1B6" w:rsidR="00720231" w:rsidRPr="00720231" w:rsidRDefault="004E464A" w:rsidP="00720231">
      <w:pPr>
        <w:tabs>
          <w:tab w:val="left" w:pos="5387"/>
        </w:tabs>
        <w:ind w:left="142" w:right="283"/>
        <w:jc w:val="both"/>
        <w:rPr>
          <w:rFonts w:asciiTheme="minorHAnsi" w:hAnsiTheme="minorHAnsi" w:cs="Arial"/>
          <w:sz w:val="20"/>
          <w:szCs w:val="20"/>
        </w:rPr>
      </w:pPr>
      <w:r>
        <w:rPr>
          <w:rFonts w:asciiTheme="minorHAnsi" w:hAnsiTheme="minorHAnsi" w:cs="Arial"/>
          <w:sz w:val="20"/>
          <w:szCs w:val="20"/>
        </w:rPr>
        <w:t>Havlíčkovo nám. 552, 284 01 Kutná Hora</w:t>
      </w:r>
      <w:r w:rsidR="00720231" w:rsidRPr="00720231">
        <w:rPr>
          <w:rFonts w:asciiTheme="minorHAnsi" w:hAnsiTheme="minorHAnsi" w:cs="Arial"/>
          <w:sz w:val="20"/>
          <w:szCs w:val="20"/>
        </w:rPr>
        <w:t xml:space="preserve">                      </w:t>
      </w:r>
      <w:r w:rsidR="00EF115D">
        <w:rPr>
          <w:rFonts w:asciiTheme="minorHAnsi" w:hAnsiTheme="minorHAnsi" w:cs="Arial"/>
          <w:sz w:val="20"/>
          <w:szCs w:val="20"/>
        </w:rPr>
        <w:t xml:space="preserve">   </w:t>
      </w:r>
      <w:r w:rsidR="005F36DA">
        <w:rPr>
          <w:rFonts w:asciiTheme="minorHAnsi" w:hAnsiTheme="minorHAnsi" w:cs="Arial"/>
          <w:sz w:val="20"/>
          <w:szCs w:val="20"/>
        </w:rPr>
        <w:t xml:space="preserve">       </w:t>
      </w:r>
      <w:r w:rsidR="00DC0AA2">
        <w:rPr>
          <w:rFonts w:asciiTheme="minorHAnsi" w:hAnsiTheme="minorHAnsi" w:cs="Arial"/>
          <w:sz w:val="20"/>
          <w:szCs w:val="20"/>
        </w:rPr>
        <w:t xml:space="preserve">  </w:t>
      </w:r>
      <w:r w:rsidR="00720231" w:rsidRPr="00720231">
        <w:rPr>
          <w:rFonts w:asciiTheme="minorHAnsi" w:hAnsiTheme="minorHAnsi" w:cs="Arial"/>
          <w:sz w:val="20"/>
          <w:szCs w:val="20"/>
        </w:rPr>
        <w:t>IČO: 26362066, Holečkova 419/21, Praha</w:t>
      </w:r>
    </w:p>
    <w:p w14:paraId="5F0CE86D" w14:textId="11B6B2CC" w:rsidR="00720231" w:rsidRPr="00720231" w:rsidRDefault="004E464A" w:rsidP="00720231">
      <w:pPr>
        <w:tabs>
          <w:tab w:val="left" w:pos="5387"/>
        </w:tabs>
        <w:ind w:left="142" w:right="283"/>
        <w:jc w:val="both"/>
        <w:rPr>
          <w:rFonts w:asciiTheme="minorHAnsi" w:hAnsiTheme="minorHAnsi" w:cs="Arial"/>
          <w:sz w:val="20"/>
          <w:szCs w:val="20"/>
        </w:rPr>
      </w:pPr>
      <w:r>
        <w:rPr>
          <w:rFonts w:asciiTheme="minorHAnsi" w:hAnsiTheme="minorHAnsi" w:cs="Arial"/>
          <w:sz w:val="20"/>
          <w:szCs w:val="20"/>
        </w:rPr>
        <w:t>Mgr. Lukáš Seifert, starosta</w:t>
      </w:r>
      <w:r w:rsidR="00720231" w:rsidRPr="00720231">
        <w:rPr>
          <w:rFonts w:asciiTheme="minorHAnsi" w:hAnsiTheme="minorHAnsi" w:cs="Arial"/>
          <w:sz w:val="20"/>
          <w:szCs w:val="20"/>
        </w:rPr>
        <w:tab/>
      </w:r>
      <w:r w:rsidR="00720231" w:rsidRPr="00720231">
        <w:rPr>
          <w:rFonts w:asciiTheme="minorHAnsi" w:hAnsiTheme="minorHAnsi" w:cs="Arial"/>
          <w:sz w:val="20"/>
          <w:szCs w:val="20"/>
        </w:rPr>
        <w:tab/>
      </w:r>
    </w:p>
    <w:p w14:paraId="60995D86" w14:textId="77777777" w:rsidR="00592064" w:rsidRDefault="00592064" w:rsidP="00720231">
      <w:pPr>
        <w:tabs>
          <w:tab w:val="left" w:pos="5387"/>
        </w:tabs>
        <w:ind w:left="142" w:right="283"/>
        <w:jc w:val="both"/>
        <w:rPr>
          <w:rFonts w:asciiTheme="minorHAnsi" w:hAnsiTheme="minorHAnsi" w:cs="Arial"/>
          <w:sz w:val="20"/>
          <w:szCs w:val="20"/>
        </w:rPr>
      </w:pPr>
    </w:p>
    <w:p w14:paraId="0D3D8381" w14:textId="4F754308" w:rsidR="00720231" w:rsidRPr="00720231" w:rsidRDefault="00720231" w:rsidP="00720231">
      <w:pPr>
        <w:tabs>
          <w:tab w:val="left" w:pos="5387"/>
        </w:tabs>
        <w:ind w:left="142" w:right="283"/>
        <w:jc w:val="both"/>
        <w:rPr>
          <w:rFonts w:asciiTheme="minorHAnsi" w:hAnsiTheme="minorHAnsi" w:cs="Arial"/>
          <w:sz w:val="20"/>
          <w:szCs w:val="20"/>
        </w:rPr>
      </w:pPr>
      <w:r w:rsidRPr="00720231">
        <w:rPr>
          <w:rFonts w:asciiTheme="minorHAnsi" w:hAnsiTheme="minorHAnsi" w:cs="Arial"/>
          <w:sz w:val="20"/>
          <w:szCs w:val="20"/>
        </w:rPr>
        <w:t>na straně jedné jako příkazce                                                       na straně druhé jako příkazník</w:t>
      </w:r>
    </w:p>
    <w:p w14:paraId="0BEAA08B" w14:textId="77777777" w:rsidR="00720231" w:rsidRPr="00720231" w:rsidRDefault="00720231" w:rsidP="00720231">
      <w:pPr>
        <w:spacing w:line="276" w:lineRule="auto"/>
        <w:ind w:left="142" w:right="283"/>
        <w:jc w:val="both"/>
        <w:rPr>
          <w:rFonts w:asciiTheme="minorHAnsi" w:hAnsiTheme="minorHAnsi" w:cs="Arial"/>
          <w:sz w:val="20"/>
          <w:szCs w:val="20"/>
        </w:rPr>
      </w:pPr>
    </w:p>
    <w:p w14:paraId="431D9C35" w14:textId="633D60D2" w:rsidR="00720231" w:rsidRPr="00720231" w:rsidRDefault="00720231" w:rsidP="00720231">
      <w:pPr>
        <w:ind w:left="142" w:right="283"/>
        <w:jc w:val="both"/>
        <w:rPr>
          <w:rFonts w:asciiTheme="minorHAnsi" w:hAnsiTheme="minorHAnsi" w:cs="Arial"/>
          <w:sz w:val="20"/>
          <w:szCs w:val="20"/>
        </w:rPr>
      </w:pPr>
      <w:r w:rsidRPr="00720231">
        <w:rPr>
          <w:rFonts w:asciiTheme="minorHAnsi" w:hAnsiTheme="minorHAnsi" w:cs="Arial"/>
          <w:sz w:val="20"/>
          <w:szCs w:val="20"/>
        </w:rPr>
        <w:t xml:space="preserve">1. Na základě této dohody se zavazuje příkazník poskytovat příkazci právní službu sestávající z jednotlivých úkonů, a to </w:t>
      </w:r>
      <w:r w:rsidRPr="00720231">
        <w:rPr>
          <w:rFonts w:asciiTheme="minorHAnsi" w:hAnsiTheme="minorHAnsi" w:cs="Arial"/>
          <w:b/>
          <w:sz w:val="20"/>
          <w:szCs w:val="20"/>
        </w:rPr>
        <w:t>dle oprávněných požadavků ze strany příkazce</w:t>
      </w:r>
      <w:r w:rsidR="004E464A">
        <w:rPr>
          <w:rFonts w:asciiTheme="minorHAnsi" w:hAnsiTheme="minorHAnsi" w:cs="Arial"/>
          <w:b/>
          <w:sz w:val="20"/>
          <w:szCs w:val="20"/>
        </w:rPr>
        <w:t xml:space="preserve"> – zejména pro zpracování rozboru – „možná výstavba bytových domů v lokalitě Malín“ – návrh postupu a případná jednání</w:t>
      </w:r>
      <w:r w:rsidRPr="00720231">
        <w:rPr>
          <w:rFonts w:asciiTheme="minorHAnsi" w:hAnsiTheme="minorHAnsi" w:cs="Arial"/>
          <w:b/>
          <w:sz w:val="20"/>
          <w:szCs w:val="20"/>
        </w:rPr>
        <w:t>.</w:t>
      </w:r>
      <w:r w:rsidRPr="00720231">
        <w:rPr>
          <w:rFonts w:asciiTheme="minorHAnsi" w:hAnsiTheme="minorHAnsi" w:cs="Arial"/>
          <w:sz w:val="20"/>
          <w:szCs w:val="20"/>
        </w:rPr>
        <w:t xml:space="preserve"> Příkazce se zavazuje předložit příkazníkovi neprodleně veškeré údaje potřebné k projednání jednotlivých případů a informovat jej o všech skutečnostech souvisejících s předmětem poskytované právní služby, jakmile se o nich dozví; v případě porušení této povinnosti příkazcem neodpovídá příkazník za vzniklou škodu. Úkonem právní služby se rozumí každá započatá hodina poskytované právní služby v jakékoliv formě. </w:t>
      </w:r>
    </w:p>
    <w:p w14:paraId="61FE816E" w14:textId="77777777" w:rsidR="00720231" w:rsidRPr="00720231" w:rsidRDefault="00720231" w:rsidP="00720231">
      <w:pPr>
        <w:ind w:left="142" w:right="283"/>
        <w:jc w:val="both"/>
        <w:rPr>
          <w:rFonts w:asciiTheme="minorHAnsi" w:hAnsiTheme="minorHAnsi" w:cs="Arial"/>
          <w:sz w:val="20"/>
          <w:szCs w:val="20"/>
        </w:rPr>
      </w:pPr>
    </w:p>
    <w:p w14:paraId="7BB8538A" w14:textId="77777777" w:rsidR="00720231" w:rsidRPr="00720231" w:rsidRDefault="00720231" w:rsidP="00720231">
      <w:pPr>
        <w:ind w:left="142" w:right="283"/>
        <w:jc w:val="both"/>
        <w:rPr>
          <w:rFonts w:asciiTheme="minorHAnsi" w:hAnsiTheme="minorHAnsi" w:cs="Arial"/>
          <w:sz w:val="20"/>
          <w:szCs w:val="20"/>
        </w:rPr>
      </w:pPr>
      <w:r w:rsidRPr="00720231">
        <w:rPr>
          <w:rFonts w:asciiTheme="minorHAnsi" w:hAnsiTheme="minorHAnsi" w:cs="Arial"/>
          <w:sz w:val="20"/>
          <w:szCs w:val="20"/>
        </w:rPr>
        <w:t xml:space="preserve">2. </w:t>
      </w:r>
      <w:r w:rsidRPr="00720231">
        <w:rPr>
          <w:rFonts w:asciiTheme="minorHAnsi" w:hAnsiTheme="minorHAnsi" w:cs="Arial"/>
          <w:b/>
          <w:sz w:val="20"/>
          <w:szCs w:val="20"/>
        </w:rPr>
        <w:t xml:space="preserve">Příkazník se zavazuje zachovávat mlčenlivost </w:t>
      </w:r>
      <w:r w:rsidRPr="00720231">
        <w:rPr>
          <w:rFonts w:asciiTheme="minorHAnsi" w:hAnsiTheme="minorHAnsi" w:cs="Arial"/>
          <w:sz w:val="20"/>
          <w:szCs w:val="20"/>
        </w:rPr>
        <w:t>o všech skutečnostech, s nimiž se seznámí při poskytování právní služby v souvislosti se záležitostmi příkazce. Této povinnosti může být příkazcem výslovně zproštěn. Příkazník zajišťuje poskytovanou právní službu prostřednictvím advokátů, event. advokátních koncipientů.</w:t>
      </w:r>
    </w:p>
    <w:p w14:paraId="6969DBA0" w14:textId="77777777" w:rsidR="00720231" w:rsidRPr="00720231" w:rsidRDefault="00720231" w:rsidP="00720231">
      <w:pPr>
        <w:ind w:left="142" w:right="283"/>
        <w:jc w:val="both"/>
        <w:rPr>
          <w:rFonts w:asciiTheme="minorHAnsi" w:hAnsiTheme="minorHAnsi" w:cs="Arial"/>
          <w:sz w:val="20"/>
          <w:szCs w:val="20"/>
        </w:rPr>
      </w:pPr>
    </w:p>
    <w:p w14:paraId="1D1B8B21" w14:textId="76A86F81" w:rsidR="00720231" w:rsidRPr="00720231" w:rsidRDefault="00720231" w:rsidP="00720231">
      <w:pPr>
        <w:tabs>
          <w:tab w:val="left" w:pos="6804"/>
        </w:tabs>
        <w:ind w:left="142" w:right="283"/>
        <w:jc w:val="both"/>
        <w:rPr>
          <w:rFonts w:asciiTheme="minorHAnsi" w:hAnsiTheme="minorHAnsi" w:cs="Arial"/>
          <w:sz w:val="20"/>
          <w:szCs w:val="20"/>
        </w:rPr>
      </w:pPr>
      <w:r w:rsidRPr="00720231">
        <w:rPr>
          <w:rFonts w:asciiTheme="minorHAnsi" w:hAnsiTheme="minorHAnsi" w:cs="Arial"/>
          <w:sz w:val="20"/>
          <w:szCs w:val="20"/>
        </w:rPr>
        <w:t xml:space="preserve">3. Odměna příkazníka </w:t>
      </w:r>
      <w:r w:rsidRPr="00720231">
        <w:rPr>
          <w:rFonts w:asciiTheme="minorHAnsi" w:hAnsiTheme="minorHAnsi" w:cs="Arial"/>
          <w:bCs/>
          <w:sz w:val="20"/>
          <w:szCs w:val="20"/>
        </w:rPr>
        <w:t>za každou započatou</w:t>
      </w:r>
      <w:r w:rsidRPr="00720231">
        <w:rPr>
          <w:rFonts w:asciiTheme="minorHAnsi" w:hAnsiTheme="minorHAnsi" w:cs="Arial"/>
          <w:b/>
          <w:bCs/>
          <w:sz w:val="20"/>
          <w:szCs w:val="20"/>
        </w:rPr>
        <w:t xml:space="preserve"> 1 hodinu právní služby činí </w:t>
      </w:r>
      <w:r w:rsidR="004E464A">
        <w:rPr>
          <w:rFonts w:asciiTheme="minorHAnsi" w:hAnsiTheme="minorHAnsi" w:cs="Arial"/>
          <w:b/>
          <w:bCs/>
          <w:sz w:val="20"/>
          <w:szCs w:val="20"/>
        </w:rPr>
        <w:t>3</w:t>
      </w:r>
      <w:r w:rsidRPr="00720231">
        <w:rPr>
          <w:rFonts w:asciiTheme="minorHAnsi" w:hAnsiTheme="minorHAnsi" w:cs="Arial"/>
          <w:b/>
          <w:bCs/>
          <w:sz w:val="20"/>
          <w:szCs w:val="20"/>
        </w:rPr>
        <w:t>.</w:t>
      </w:r>
      <w:r w:rsidR="008A3282">
        <w:rPr>
          <w:rFonts w:asciiTheme="minorHAnsi" w:hAnsiTheme="minorHAnsi" w:cs="Arial"/>
          <w:b/>
          <w:bCs/>
          <w:sz w:val="20"/>
          <w:szCs w:val="20"/>
        </w:rPr>
        <w:t>0</w:t>
      </w:r>
      <w:r w:rsidRPr="00720231">
        <w:rPr>
          <w:rFonts w:asciiTheme="minorHAnsi" w:hAnsiTheme="minorHAnsi" w:cs="Arial"/>
          <w:b/>
          <w:bCs/>
          <w:sz w:val="20"/>
          <w:szCs w:val="20"/>
        </w:rPr>
        <w:t xml:space="preserve">00 Kč bez DPH spolu s režijním paušálem ve výši 300 Kč za </w:t>
      </w:r>
      <w:r w:rsidR="004E464A">
        <w:rPr>
          <w:rFonts w:asciiTheme="minorHAnsi" w:hAnsiTheme="minorHAnsi" w:cs="Arial"/>
          <w:b/>
          <w:bCs/>
          <w:sz w:val="20"/>
          <w:szCs w:val="20"/>
        </w:rPr>
        <w:t>započatou hodinu</w:t>
      </w:r>
      <w:r w:rsidRPr="00720231">
        <w:rPr>
          <w:rFonts w:asciiTheme="minorHAnsi" w:hAnsiTheme="minorHAnsi" w:cs="Arial"/>
          <w:b/>
          <w:bCs/>
          <w:sz w:val="20"/>
          <w:szCs w:val="20"/>
        </w:rPr>
        <w:t xml:space="preserve"> právní služby.</w:t>
      </w:r>
      <w:r w:rsidR="00892AEC">
        <w:rPr>
          <w:rFonts w:asciiTheme="minorHAnsi" w:hAnsiTheme="minorHAnsi" w:cs="Arial"/>
          <w:b/>
          <w:bCs/>
          <w:sz w:val="20"/>
          <w:szCs w:val="20"/>
        </w:rPr>
        <w:t xml:space="preserve"> </w:t>
      </w:r>
      <w:r w:rsidRPr="00720231">
        <w:rPr>
          <w:rFonts w:asciiTheme="minorHAnsi" w:hAnsiTheme="minorHAnsi" w:cs="Arial"/>
          <w:bCs/>
          <w:sz w:val="20"/>
          <w:szCs w:val="20"/>
        </w:rPr>
        <w:t xml:space="preserve">Hotové výdaje a náhrada za promeškaný čas budou hrazeny </w:t>
      </w:r>
      <w:r w:rsidRPr="00720231">
        <w:rPr>
          <w:rFonts w:asciiTheme="minorHAnsi" w:hAnsiTheme="minorHAnsi" w:cs="Arial"/>
          <w:sz w:val="20"/>
          <w:szCs w:val="20"/>
        </w:rPr>
        <w:t>příkazce</w:t>
      </w:r>
      <w:r w:rsidRPr="00720231">
        <w:rPr>
          <w:rFonts w:asciiTheme="minorHAnsi" w:hAnsiTheme="minorHAnsi" w:cs="Arial"/>
          <w:bCs/>
          <w:sz w:val="20"/>
          <w:szCs w:val="20"/>
        </w:rPr>
        <w:t xml:space="preserve">m zvlášť. V případě jednání mimo město Prahu </w:t>
      </w:r>
      <w:r w:rsidR="007221C1">
        <w:rPr>
          <w:rFonts w:asciiTheme="minorHAnsi" w:hAnsiTheme="minorHAnsi" w:cs="Arial"/>
          <w:bCs/>
          <w:sz w:val="20"/>
          <w:szCs w:val="20"/>
        </w:rPr>
        <w:t xml:space="preserve">či město Plzeň </w:t>
      </w:r>
      <w:r w:rsidRPr="00720231">
        <w:rPr>
          <w:rFonts w:asciiTheme="minorHAnsi" w:hAnsiTheme="minorHAnsi" w:cs="Arial"/>
          <w:bCs/>
          <w:sz w:val="20"/>
          <w:szCs w:val="20"/>
        </w:rPr>
        <w:t xml:space="preserve">uhradí </w:t>
      </w:r>
      <w:r w:rsidRPr="00720231">
        <w:rPr>
          <w:rFonts w:asciiTheme="minorHAnsi" w:hAnsiTheme="minorHAnsi" w:cs="Arial"/>
          <w:sz w:val="20"/>
          <w:szCs w:val="20"/>
        </w:rPr>
        <w:t>příkazce</w:t>
      </w:r>
      <w:r w:rsidRPr="00720231">
        <w:rPr>
          <w:rFonts w:asciiTheme="minorHAnsi" w:hAnsiTheme="minorHAnsi" w:cs="Arial"/>
          <w:bCs/>
          <w:sz w:val="20"/>
          <w:szCs w:val="20"/>
        </w:rPr>
        <w:t xml:space="preserve"> zákonné cestovné. </w:t>
      </w:r>
      <w:r w:rsidRPr="00720231">
        <w:rPr>
          <w:rFonts w:asciiTheme="minorHAnsi" w:hAnsiTheme="minorHAnsi" w:cs="Arial"/>
          <w:sz w:val="20"/>
          <w:szCs w:val="20"/>
        </w:rPr>
        <w:t>V případě, že budou pravomocným rozhodnutím přiznány příkazci náklady řízení, a to ve věci, kde příkazník intervenoval, představují tyto smluvní odměnu příkazníka, vyjma částky představující příkazcem hrazený soudní poplatek, která patří příkazci. Příkazník je oprávněn provádět fakturaci dle svého uvážení po provedení jednotlivých úkonů právní služby.</w:t>
      </w:r>
    </w:p>
    <w:p w14:paraId="44B52A15" w14:textId="77777777" w:rsidR="00720231" w:rsidRPr="00720231" w:rsidRDefault="00720231" w:rsidP="00720231">
      <w:pPr>
        <w:ind w:left="142" w:right="283"/>
        <w:jc w:val="both"/>
        <w:rPr>
          <w:rFonts w:asciiTheme="minorHAnsi" w:hAnsiTheme="minorHAnsi" w:cs="Arial"/>
          <w:sz w:val="20"/>
          <w:szCs w:val="20"/>
        </w:rPr>
      </w:pPr>
    </w:p>
    <w:p w14:paraId="751C5133" w14:textId="149C6E52" w:rsidR="00720231" w:rsidRPr="00720231" w:rsidRDefault="00720231" w:rsidP="00720231">
      <w:pPr>
        <w:ind w:left="142" w:right="283"/>
        <w:jc w:val="both"/>
        <w:rPr>
          <w:rFonts w:asciiTheme="minorHAnsi" w:hAnsiTheme="minorHAnsi"/>
          <w:sz w:val="20"/>
          <w:szCs w:val="20"/>
        </w:rPr>
      </w:pPr>
      <w:r w:rsidRPr="00720231">
        <w:rPr>
          <w:rFonts w:asciiTheme="minorHAnsi" w:hAnsiTheme="minorHAnsi" w:cs="Arial"/>
          <w:sz w:val="20"/>
          <w:szCs w:val="20"/>
        </w:rPr>
        <w:t xml:space="preserve">4. Smluvní strany mohou </w:t>
      </w:r>
      <w:r w:rsidRPr="00720231">
        <w:rPr>
          <w:rFonts w:asciiTheme="minorHAnsi" w:hAnsiTheme="minorHAnsi" w:cs="Arial"/>
          <w:b/>
          <w:sz w:val="20"/>
          <w:szCs w:val="20"/>
        </w:rPr>
        <w:t xml:space="preserve">ukončit tuto dohodu vzájemnou dohodou v písemné formě, případně písemnou výpovědí některé ze smluvních stran. </w:t>
      </w:r>
      <w:r w:rsidRPr="00720231">
        <w:rPr>
          <w:rFonts w:asciiTheme="minorHAnsi" w:hAnsiTheme="minorHAnsi" w:cs="Arial"/>
          <w:sz w:val="20"/>
          <w:szCs w:val="20"/>
        </w:rPr>
        <w:t xml:space="preserve">Příkazce i příkazník jsou oprávněni podat výpověď kdykoliv. V případě, že příkazce vypoví tuto dohodu, je výpovědní doba dvouměsíční a počíná plynout počátkem měsíce následujícího po měsíci, kdy byla doručena výpověď příkazníkovi. Pro ostatní případy se výpovědní doba nesjednává. Pokud příkazce neuhradí příkazníkovi včas fakturu za poskytnuté právní služby, je příkazník oprávněn vypovědět bez výpovědní doby. Při ukončení právního zastoupení vyzve příkazník písemně příkazce, aby se dostavil k předání agendy spisů do sídla příkazníka, nedohodnou-li se smluvní strany jinak. Pokud se příkazce nedostaví, platí, že ničeho ze spisové agendy přebírat nechce a nehodlá a příkazník není povinen činit další kroky k předání. Příkazce </w:t>
      </w:r>
      <w:r w:rsidRPr="00720231">
        <w:rPr>
          <w:rFonts w:asciiTheme="minorHAnsi" w:hAnsiTheme="minorHAnsi"/>
          <w:sz w:val="20"/>
          <w:szCs w:val="20"/>
        </w:rPr>
        <w:t>byl poučen o důsledcích vyplývajících z § 347a odst. 1 trestního zákoníku, které zní takto: „(1)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 V této souvislosti byl příkazce také poučen i o tom, že ve smyslu čl. 6 odst. 3 usnesení představenstva České advokátní komory č. 1/1997 Věstníku, kterým se stanoví pravidla profesionální etiky a pravidla soutěže advokátů České republiky (etický kodex), ve znění pozdějších předpisů, není příkazník oprávněn bez souhlasu příkazce ověřovat pravdivost nebo úplnost skutkových informací poskytnutých příkazcem. Podpisem této dohody příkazce mimo jiné stvrzuje i to, že byl poučen o nutnosti sdělit příkazníkovi jemu známé informace o možnosti, že by vůči předloženým důkazům mohlo být namítnuto, že jsou padělané anebo pozměněné, a pro takový případ s příkazníkem projednat vhodný postup. Bez tohoto upozornění příkazník neodpovídá za věcnou správnost a autentičnost důkazů, které soudu podle pokynu příkazce předloží.</w:t>
      </w:r>
    </w:p>
    <w:p w14:paraId="5040F463" w14:textId="66EC676F" w:rsidR="00720231" w:rsidRPr="00720231" w:rsidRDefault="00720231" w:rsidP="00720231">
      <w:pPr>
        <w:ind w:left="142" w:right="283"/>
        <w:jc w:val="both"/>
        <w:rPr>
          <w:rFonts w:asciiTheme="minorHAnsi" w:hAnsiTheme="minorHAnsi"/>
          <w:sz w:val="20"/>
          <w:szCs w:val="20"/>
        </w:rPr>
      </w:pPr>
    </w:p>
    <w:p w14:paraId="1648F5A1" w14:textId="77777777" w:rsidR="00720231" w:rsidRPr="00720231" w:rsidRDefault="00720231" w:rsidP="00720231">
      <w:pPr>
        <w:ind w:left="142" w:right="283"/>
        <w:jc w:val="both"/>
        <w:rPr>
          <w:rFonts w:asciiTheme="minorHAnsi" w:hAnsiTheme="minorHAnsi"/>
          <w:sz w:val="20"/>
          <w:szCs w:val="20"/>
        </w:rPr>
      </w:pPr>
    </w:p>
    <w:p w14:paraId="5A640F1B" w14:textId="77777777" w:rsidR="00720231" w:rsidRPr="00720231" w:rsidRDefault="00720231" w:rsidP="00720231">
      <w:pPr>
        <w:ind w:left="142" w:right="283"/>
        <w:jc w:val="both"/>
        <w:rPr>
          <w:rFonts w:asciiTheme="minorHAnsi" w:hAnsiTheme="minorHAnsi" w:cs="Arial"/>
          <w:sz w:val="20"/>
          <w:szCs w:val="20"/>
        </w:rPr>
      </w:pPr>
    </w:p>
    <w:p w14:paraId="32A8EE30" w14:textId="77777777" w:rsidR="00720231" w:rsidRDefault="00720231" w:rsidP="00720231">
      <w:pPr>
        <w:pStyle w:val="Zkladntext"/>
        <w:ind w:left="142" w:right="283"/>
        <w:rPr>
          <w:rFonts w:asciiTheme="minorHAnsi" w:hAnsiTheme="minorHAnsi" w:cs="Arial"/>
          <w:sz w:val="20"/>
          <w:szCs w:val="20"/>
        </w:rPr>
      </w:pPr>
    </w:p>
    <w:p w14:paraId="040795AE" w14:textId="2540208F" w:rsidR="00892AEC" w:rsidRDefault="00892AEC" w:rsidP="00720231">
      <w:pPr>
        <w:pStyle w:val="Zkladntext"/>
        <w:ind w:left="142" w:right="283"/>
        <w:rPr>
          <w:rFonts w:asciiTheme="minorHAnsi" w:hAnsiTheme="minorHAnsi" w:cs="Arial"/>
          <w:sz w:val="20"/>
          <w:szCs w:val="20"/>
        </w:rPr>
      </w:pPr>
    </w:p>
    <w:p w14:paraId="282DCDA4" w14:textId="0036CF32" w:rsidR="00F6079C" w:rsidRDefault="00F6079C" w:rsidP="00720231">
      <w:pPr>
        <w:pStyle w:val="Zkladntext"/>
        <w:ind w:left="142" w:right="283"/>
        <w:rPr>
          <w:rFonts w:asciiTheme="minorHAnsi" w:hAnsiTheme="minorHAnsi" w:cs="Arial"/>
          <w:sz w:val="20"/>
          <w:szCs w:val="20"/>
        </w:rPr>
      </w:pPr>
    </w:p>
    <w:p w14:paraId="51B750A2" w14:textId="77777777" w:rsidR="00F6079C" w:rsidRDefault="00F6079C" w:rsidP="00720231">
      <w:pPr>
        <w:pStyle w:val="Zkladntext"/>
        <w:ind w:left="142" w:right="283"/>
        <w:rPr>
          <w:rFonts w:asciiTheme="minorHAnsi" w:hAnsiTheme="minorHAnsi" w:cs="Arial"/>
          <w:sz w:val="20"/>
          <w:szCs w:val="20"/>
        </w:rPr>
      </w:pPr>
    </w:p>
    <w:p w14:paraId="4BA46922" w14:textId="45076888" w:rsidR="00720231" w:rsidRDefault="00720231" w:rsidP="009B2BF2">
      <w:pPr>
        <w:pStyle w:val="Zkladntext"/>
        <w:ind w:left="142" w:right="283"/>
        <w:jc w:val="both"/>
        <w:rPr>
          <w:rFonts w:asciiTheme="minorHAnsi" w:hAnsiTheme="minorHAnsi" w:cs="Arial"/>
          <w:sz w:val="20"/>
          <w:szCs w:val="20"/>
        </w:rPr>
      </w:pPr>
      <w:r w:rsidRPr="00720231">
        <w:rPr>
          <w:rFonts w:asciiTheme="minorHAnsi" w:hAnsiTheme="minorHAnsi" w:cs="Arial"/>
          <w:sz w:val="20"/>
          <w:szCs w:val="20"/>
        </w:rPr>
        <w:t xml:space="preserve">5. </w:t>
      </w:r>
      <w:r w:rsidRPr="00720231">
        <w:rPr>
          <w:rFonts w:asciiTheme="minorHAnsi" w:hAnsiTheme="minorHAnsi" w:cs="Arial"/>
          <w:b/>
          <w:sz w:val="20"/>
          <w:szCs w:val="20"/>
        </w:rPr>
        <w:t>Tato dohoda je účinná od níže uvedeného dne</w:t>
      </w:r>
      <w:r w:rsidRPr="00720231">
        <w:rPr>
          <w:rFonts w:asciiTheme="minorHAnsi" w:hAnsiTheme="minorHAnsi" w:cs="Arial"/>
          <w:sz w:val="20"/>
          <w:szCs w:val="20"/>
        </w:rPr>
        <w:t xml:space="preserve"> a může být měněna pouze písemně. Smluvní strany prohlašují, že tato dohoda byla sepsána dle jejich svobodné a vážné vůle projevené určitě a srozumitelně.</w:t>
      </w:r>
    </w:p>
    <w:p w14:paraId="0D2127B3" w14:textId="4BFCAA16" w:rsidR="009B2BF2" w:rsidRDefault="009B2BF2" w:rsidP="009B2BF2">
      <w:pPr>
        <w:pStyle w:val="Zkladntext"/>
        <w:ind w:left="142" w:right="283"/>
        <w:jc w:val="both"/>
        <w:rPr>
          <w:rFonts w:asciiTheme="minorHAnsi" w:hAnsiTheme="minorHAnsi" w:cs="Arial"/>
          <w:sz w:val="20"/>
          <w:szCs w:val="20"/>
        </w:rPr>
      </w:pPr>
    </w:p>
    <w:p w14:paraId="23E07EED" w14:textId="77777777" w:rsidR="009B2BF2" w:rsidRPr="009B2BF2" w:rsidRDefault="009B2BF2" w:rsidP="009B2BF2">
      <w:pPr>
        <w:pStyle w:val="Zkladntext"/>
        <w:ind w:left="142" w:right="283"/>
        <w:jc w:val="both"/>
        <w:rPr>
          <w:rFonts w:asciiTheme="minorHAnsi" w:hAnsiTheme="minorHAnsi" w:cstheme="minorHAnsi"/>
          <w:b/>
          <w:sz w:val="20"/>
          <w:szCs w:val="20"/>
        </w:rPr>
      </w:pPr>
      <w:r w:rsidRPr="009B2BF2">
        <w:rPr>
          <w:rFonts w:asciiTheme="minorHAnsi" w:hAnsiTheme="minorHAnsi" w:cs="Arial"/>
          <w:sz w:val="20"/>
          <w:szCs w:val="20"/>
        </w:rPr>
        <w:t xml:space="preserve">6. </w:t>
      </w:r>
      <w:bookmarkStart w:id="0" w:name="_Hlk526320678"/>
      <w:r w:rsidRPr="009B2BF2">
        <w:rPr>
          <w:rFonts w:asciiTheme="minorHAnsi" w:hAnsiTheme="minorHAnsi" w:cstheme="minorHAnsi"/>
          <w:b/>
          <w:sz w:val="20"/>
          <w:szCs w:val="20"/>
        </w:rPr>
        <w:t>Ochrana osobních údajů</w:t>
      </w:r>
    </w:p>
    <w:p w14:paraId="128E813E" w14:textId="77777777" w:rsidR="009B2BF2" w:rsidRPr="009B2BF2" w:rsidRDefault="009B2BF2" w:rsidP="009B2BF2">
      <w:pPr>
        <w:pStyle w:val="Zkladntext"/>
        <w:ind w:left="142" w:right="283"/>
        <w:jc w:val="both"/>
        <w:rPr>
          <w:rFonts w:asciiTheme="minorHAnsi" w:hAnsiTheme="minorHAnsi" w:cstheme="minorHAnsi"/>
          <w:sz w:val="20"/>
          <w:szCs w:val="20"/>
        </w:rPr>
      </w:pPr>
      <w:r w:rsidRPr="009B2BF2">
        <w:rPr>
          <w:rFonts w:asciiTheme="minorHAnsi" w:hAnsiTheme="minorHAnsi" w:cstheme="minorHAnsi"/>
          <w:sz w:val="20"/>
          <w:szCs w:val="20"/>
        </w:rPr>
        <w:t>Advokát se jakožto správce osobních údajů, které mu budou na základě této smlouvy klientem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 o zrušení směrnice 95/46/ES.</w:t>
      </w:r>
    </w:p>
    <w:p w14:paraId="7B4C6BF1" w14:textId="5BA36D29" w:rsidR="009B2BF2" w:rsidRPr="009B2BF2" w:rsidRDefault="009B2BF2" w:rsidP="009B2BF2">
      <w:pPr>
        <w:pStyle w:val="Zkladntext"/>
        <w:ind w:left="142" w:right="283"/>
        <w:jc w:val="both"/>
        <w:rPr>
          <w:rFonts w:asciiTheme="minorHAnsi" w:hAnsiTheme="minorHAnsi" w:cstheme="minorHAnsi"/>
          <w:b/>
          <w:sz w:val="20"/>
          <w:szCs w:val="20"/>
        </w:rPr>
      </w:pPr>
      <w:r w:rsidRPr="009B2BF2">
        <w:rPr>
          <w:rFonts w:asciiTheme="minorHAnsi" w:hAnsiTheme="minorHAnsi" w:cstheme="minorHAnsi"/>
          <w:sz w:val="20"/>
          <w:szCs w:val="20"/>
        </w:rPr>
        <w:t>Informace související se zpracováním osobních údajů klienta jsou obsahem Přílohy č.</w:t>
      </w:r>
      <w:r>
        <w:rPr>
          <w:rFonts w:asciiTheme="minorHAnsi" w:hAnsiTheme="minorHAnsi" w:cstheme="minorHAnsi"/>
          <w:sz w:val="20"/>
          <w:szCs w:val="20"/>
        </w:rPr>
        <w:t xml:space="preserve"> 1</w:t>
      </w:r>
      <w:r w:rsidRPr="009B2BF2">
        <w:rPr>
          <w:rFonts w:asciiTheme="minorHAnsi" w:hAnsiTheme="minorHAnsi" w:cstheme="minorHAnsi"/>
          <w:sz w:val="20"/>
          <w:szCs w:val="20"/>
        </w:rPr>
        <w:t>, která je nedílnou součástí této smlouvy.</w:t>
      </w:r>
    </w:p>
    <w:p w14:paraId="73516DFE" w14:textId="77777777" w:rsidR="009B2BF2" w:rsidRPr="009B2BF2" w:rsidRDefault="009B2BF2" w:rsidP="00720231">
      <w:pPr>
        <w:spacing w:before="120" w:line="276" w:lineRule="auto"/>
        <w:ind w:left="284" w:right="283"/>
        <w:jc w:val="both"/>
        <w:rPr>
          <w:rFonts w:asciiTheme="minorHAnsi" w:hAnsiTheme="minorHAnsi" w:cs="Arial"/>
          <w:sz w:val="20"/>
          <w:szCs w:val="20"/>
        </w:rPr>
      </w:pPr>
    </w:p>
    <w:p w14:paraId="321A4B94" w14:textId="77777777" w:rsidR="00F6079C" w:rsidRDefault="00F6079C" w:rsidP="00720231">
      <w:pPr>
        <w:spacing w:before="120" w:line="276" w:lineRule="auto"/>
        <w:ind w:left="284" w:right="283"/>
        <w:jc w:val="both"/>
        <w:rPr>
          <w:rFonts w:asciiTheme="minorHAnsi" w:hAnsiTheme="minorHAnsi" w:cs="Arial"/>
          <w:sz w:val="20"/>
          <w:szCs w:val="20"/>
        </w:rPr>
      </w:pPr>
    </w:p>
    <w:p w14:paraId="7D620D85" w14:textId="6A1E93D5" w:rsidR="00720231" w:rsidRPr="00720231" w:rsidRDefault="00720231" w:rsidP="00720231">
      <w:pPr>
        <w:spacing w:before="120" w:line="276" w:lineRule="auto"/>
        <w:ind w:left="284" w:right="283"/>
        <w:jc w:val="both"/>
        <w:rPr>
          <w:rFonts w:asciiTheme="minorHAnsi" w:hAnsiTheme="minorHAnsi" w:cs="Arial"/>
          <w:sz w:val="20"/>
          <w:szCs w:val="20"/>
        </w:rPr>
      </w:pPr>
      <w:r w:rsidRPr="00720231">
        <w:rPr>
          <w:rFonts w:asciiTheme="minorHAnsi" w:hAnsiTheme="minorHAnsi" w:cs="Arial"/>
          <w:sz w:val="20"/>
          <w:szCs w:val="20"/>
        </w:rPr>
        <w:t>V _______________ dne ____________</w:t>
      </w:r>
      <w:r w:rsidRPr="00720231">
        <w:rPr>
          <w:rFonts w:asciiTheme="minorHAnsi" w:hAnsiTheme="minorHAnsi" w:cs="Arial"/>
          <w:sz w:val="20"/>
          <w:szCs w:val="20"/>
        </w:rPr>
        <w:tab/>
      </w:r>
      <w:r w:rsidRPr="00720231">
        <w:rPr>
          <w:rFonts w:asciiTheme="minorHAnsi" w:hAnsiTheme="minorHAnsi" w:cs="Arial"/>
          <w:sz w:val="20"/>
          <w:szCs w:val="20"/>
        </w:rPr>
        <w:tab/>
      </w:r>
      <w:r w:rsidRPr="00720231">
        <w:rPr>
          <w:rFonts w:asciiTheme="minorHAnsi" w:hAnsiTheme="minorHAnsi" w:cs="Arial"/>
          <w:sz w:val="20"/>
          <w:szCs w:val="20"/>
        </w:rPr>
        <w:tab/>
        <w:t>V _______________ dne _____________</w:t>
      </w:r>
    </w:p>
    <w:bookmarkEnd w:id="0"/>
    <w:p w14:paraId="35ADB528" w14:textId="77777777" w:rsidR="00720231" w:rsidRPr="00720231" w:rsidRDefault="00720231" w:rsidP="00720231">
      <w:pPr>
        <w:spacing w:before="120" w:line="276" w:lineRule="auto"/>
        <w:ind w:left="142" w:right="283"/>
        <w:jc w:val="both"/>
        <w:rPr>
          <w:rFonts w:asciiTheme="minorHAnsi" w:hAnsiTheme="minorHAnsi" w:cs="Arial"/>
          <w:sz w:val="20"/>
          <w:szCs w:val="20"/>
        </w:rPr>
      </w:pPr>
    </w:p>
    <w:p w14:paraId="640B9386" w14:textId="77777777" w:rsidR="00720231" w:rsidRPr="00720231" w:rsidRDefault="00720231" w:rsidP="00720231">
      <w:pPr>
        <w:spacing w:line="276" w:lineRule="auto"/>
        <w:ind w:left="142" w:right="283"/>
        <w:jc w:val="both"/>
        <w:rPr>
          <w:rFonts w:asciiTheme="minorHAnsi" w:hAnsiTheme="minorHAnsi" w:cs="Arial"/>
          <w:sz w:val="20"/>
          <w:szCs w:val="20"/>
        </w:rPr>
      </w:pPr>
    </w:p>
    <w:p w14:paraId="2B276D46" w14:textId="403A501E" w:rsidR="00720231" w:rsidRPr="00720231" w:rsidRDefault="00720231" w:rsidP="00720231">
      <w:pPr>
        <w:tabs>
          <w:tab w:val="left" w:pos="6379"/>
          <w:tab w:val="right" w:pos="10065"/>
        </w:tabs>
        <w:spacing w:line="276" w:lineRule="auto"/>
        <w:ind w:left="284" w:right="283"/>
        <w:jc w:val="both"/>
        <w:rPr>
          <w:rFonts w:asciiTheme="minorHAnsi" w:hAnsiTheme="minorHAnsi" w:cs="Arial"/>
          <w:sz w:val="20"/>
          <w:szCs w:val="20"/>
        </w:rPr>
      </w:pPr>
      <w:r w:rsidRPr="00720231">
        <w:rPr>
          <w:rFonts w:asciiTheme="minorHAnsi" w:hAnsiTheme="minorHAnsi" w:cs="Arial"/>
          <w:sz w:val="20"/>
          <w:szCs w:val="20"/>
        </w:rPr>
        <w:t>_________________________________</w:t>
      </w:r>
      <w:r>
        <w:rPr>
          <w:rFonts w:asciiTheme="minorHAnsi" w:hAnsiTheme="minorHAnsi" w:cs="Arial"/>
          <w:sz w:val="20"/>
          <w:szCs w:val="20"/>
        </w:rPr>
        <w:t xml:space="preserve">                                   </w:t>
      </w:r>
      <w:r w:rsidRPr="00720231">
        <w:rPr>
          <w:rFonts w:asciiTheme="minorHAnsi" w:hAnsiTheme="minorHAnsi" w:cs="Arial"/>
          <w:sz w:val="20"/>
          <w:szCs w:val="20"/>
        </w:rPr>
        <w:t>__________________________________</w:t>
      </w:r>
    </w:p>
    <w:p w14:paraId="2297D7FE" w14:textId="58228FD7" w:rsidR="00720231" w:rsidRDefault="00720231" w:rsidP="00720231">
      <w:pPr>
        <w:tabs>
          <w:tab w:val="center" w:pos="1843"/>
          <w:tab w:val="center" w:pos="7797"/>
          <w:tab w:val="right" w:pos="8789"/>
        </w:tabs>
        <w:spacing w:line="276" w:lineRule="auto"/>
        <w:ind w:left="142" w:right="283"/>
        <w:jc w:val="both"/>
        <w:rPr>
          <w:rFonts w:asciiTheme="minorHAnsi" w:hAnsiTheme="minorHAnsi" w:cs="Arial"/>
          <w:sz w:val="20"/>
          <w:szCs w:val="20"/>
        </w:rPr>
      </w:pPr>
      <w:r w:rsidRPr="00720231">
        <w:rPr>
          <w:rFonts w:asciiTheme="minorHAnsi" w:hAnsiTheme="minorHAnsi" w:cs="Arial"/>
          <w:sz w:val="20"/>
          <w:szCs w:val="20"/>
        </w:rPr>
        <w:tab/>
        <w:t xml:space="preserve">   příkazce</w:t>
      </w:r>
      <w:r>
        <w:rPr>
          <w:rFonts w:asciiTheme="minorHAnsi" w:hAnsiTheme="minorHAnsi" w:cs="Arial"/>
          <w:sz w:val="20"/>
          <w:szCs w:val="20"/>
        </w:rPr>
        <w:t xml:space="preserve">                                                                                             </w:t>
      </w:r>
      <w:r w:rsidRPr="00720231">
        <w:rPr>
          <w:rFonts w:asciiTheme="minorHAnsi" w:hAnsiTheme="minorHAnsi" w:cs="Arial"/>
          <w:sz w:val="20"/>
          <w:szCs w:val="20"/>
        </w:rPr>
        <w:t>příkazník</w:t>
      </w:r>
    </w:p>
    <w:p w14:paraId="40F50E89" w14:textId="143B7909"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89F0AE3" w14:textId="18717E49"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55066580" w14:textId="7170B511"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0BDF37A7" w14:textId="0D66B97E"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38E6D69D" w14:textId="0AC41596"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F7CD916" w14:textId="13A0E04F"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DC9FCD6" w14:textId="68F551D1"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2650A1FC" w14:textId="7E62F8F7"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35F61351" w14:textId="3C4FE05E"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5F5F5D19" w14:textId="688377F3"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69D8663" w14:textId="34394707"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466A0D3" w14:textId="40348ADB"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3ABFC2FC" w14:textId="69A805B3"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6DEFA128" w14:textId="1D066269"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8FA18C2" w14:textId="4D94904F"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57710BA0" w14:textId="26D7ECAB"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49F130B" w14:textId="25AA6C4F"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609C7FA" w14:textId="10497AEB"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6DFD4C94" w14:textId="296FC759"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03F654B" w14:textId="5B1DBE6B"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F1EF659" w14:textId="01DD8841"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2AC0E9E0" w14:textId="45D8FC10"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304AB972" w14:textId="3DB916C4"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00AB3A91" w14:textId="43F28C97"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B08545F" w14:textId="1999ABD0"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3761023C" w14:textId="1F9F9011"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7668E9A" w14:textId="44798D27"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0628D788" w14:textId="67E11F05"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426FFFDF" w14:textId="5DB7EDEB" w:rsidR="009B2BF2" w:rsidRDefault="009B2BF2" w:rsidP="00720231">
      <w:pPr>
        <w:tabs>
          <w:tab w:val="center" w:pos="1843"/>
          <w:tab w:val="center" w:pos="7797"/>
          <w:tab w:val="right" w:pos="8789"/>
        </w:tabs>
        <w:spacing w:line="276" w:lineRule="auto"/>
        <w:ind w:left="142" w:right="283"/>
        <w:jc w:val="both"/>
        <w:rPr>
          <w:rFonts w:asciiTheme="minorHAnsi" w:hAnsiTheme="minorHAnsi" w:cs="Arial"/>
          <w:sz w:val="20"/>
          <w:szCs w:val="20"/>
        </w:rPr>
      </w:pPr>
    </w:p>
    <w:p w14:paraId="12EB324F" w14:textId="21A15E13" w:rsidR="009B2BF2" w:rsidRPr="009B2BF2" w:rsidRDefault="009B2BF2" w:rsidP="009B2BF2">
      <w:pPr>
        <w:pStyle w:val="Bodytext3PRK"/>
        <w:ind w:left="0"/>
        <w:rPr>
          <w:rFonts w:asciiTheme="minorHAnsi" w:hAnsiTheme="minorHAnsi" w:cstheme="minorHAnsi"/>
          <w:b/>
          <w:sz w:val="20"/>
          <w:szCs w:val="20"/>
        </w:rPr>
      </w:pPr>
      <w:r w:rsidRPr="009B2BF2">
        <w:rPr>
          <w:rFonts w:asciiTheme="minorHAnsi" w:hAnsiTheme="minorHAnsi" w:cstheme="minorHAnsi"/>
          <w:b/>
          <w:sz w:val="20"/>
          <w:szCs w:val="20"/>
        </w:rPr>
        <w:lastRenderedPageBreak/>
        <w:t>Příloha</w:t>
      </w:r>
      <w:r w:rsidR="00A047A8">
        <w:rPr>
          <w:rFonts w:asciiTheme="minorHAnsi" w:hAnsiTheme="minorHAnsi" w:cstheme="minorHAnsi"/>
          <w:b/>
          <w:sz w:val="20"/>
          <w:szCs w:val="20"/>
        </w:rPr>
        <w:t xml:space="preserve"> č.1 </w:t>
      </w:r>
      <w:r w:rsidRPr="009B2BF2">
        <w:rPr>
          <w:rFonts w:asciiTheme="minorHAnsi" w:hAnsiTheme="minorHAnsi" w:cstheme="minorHAnsi"/>
          <w:b/>
          <w:sz w:val="20"/>
          <w:szCs w:val="20"/>
        </w:rPr>
        <w:t>ke smlouvě: Informace pro klienta při přijetí osobních údajů advokátem</w:t>
      </w:r>
    </w:p>
    <w:p w14:paraId="63F5B107" w14:textId="0F6D4EC4" w:rsidR="009B2BF2" w:rsidRPr="00A047A8" w:rsidRDefault="009B2BF2" w:rsidP="009B2BF2">
      <w:pPr>
        <w:pStyle w:val="Bezmezer"/>
        <w:rPr>
          <w:rFonts w:asciiTheme="minorHAnsi" w:hAnsiTheme="minorHAnsi" w:cstheme="minorHAnsi"/>
          <w:b/>
          <w:bCs/>
          <w:sz w:val="20"/>
          <w:szCs w:val="20"/>
        </w:rPr>
      </w:pPr>
      <w:proofErr w:type="spellStart"/>
      <w:r w:rsidRPr="00A047A8">
        <w:rPr>
          <w:rFonts w:asciiTheme="minorHAnsi" w:hAnsiTheme="minorHAnsi" w:cstheme="minorHAnsi"/>
          <w:b/>
          <w:bCs/>
          <w:sz w:val="20"/>
          <w:szCs w:val="20"/>
        </w:rPr>
        <w:t>Správce</w:t>
      </w:r>
      <w:proofErr w:type="spellEnd"/>
      <w:r w:rsidRPr="00A047A8">
        <w:rPr>
          <w:rFonts w:asciiTheme="minorHAnsi" w:hAnsiTheme="minorHAnsi" w:cstheme="minorHAnsi"/>
          <w:b/>
          <w:bCs/>
          <w:sz w:val="20"/>
          <w:szCs w:val="20"/>
        </w:rPr>
        <w:t xml:space="preserve"> </w:t>
      </w:r>
      <w:proofErr w:type="spellStart"/>
      <w:r w:rsidRPr="00A047A8">
        <w:rPr>
          <w:rFonts w:asciiTheme="minorHAnsi" w:hAnsiTheme="minorHAnsi" w:cstheme="minorHAnsi"/>
          <w:b/>
          <w:bCs/>
          <w:sz w:val="20"/>
          <w:szCs w:val="20"/>
        </w:rPr>
        <w:t>osobních</w:t>
      </w:r>
      <w:proofErr w:type="spellEnd"/>
      <w:r w:rsidRPr="00A047A8">
        <w:rPr>
          <w:rFonts w:asciiTheme="minorHAnsi" w:hAnsiTheme="minorHAnsi" w:cstheme="minorHAnsi"/>
          <w:b/>
          <w:bCs/>
          <w:sz w:val="20"/>
          <w:szCs w:val="20"/>
        </w:rPr>
        <w:t xml:space="preserve"> </w:t>
      </w:r>
      <w:proofErr w:type="spellStart"/>
      <w:r w:rsidRPr="00A047A8">
        <w:rPr>
          <w:rFonts w:asciiTheme="minorHAnsi" w:hAnsiTheme="minorHAnsi" w:cstheme="minorHAnsi"/>
          <w:b/>
          <w:bCs/>
          <w:sz w:val="20"/>
          <w:szCs w:val="20"/>
        </w:rPr>
        <w:t>údajů</w:t>
      </w:r>
      <w:proofErr w:type="spellEnd"/>
      <w:r w:rsidRPr="00A047A8">
        <w:rPr>
          <w:rFonts w:asciiTheme="minorHAnsi" w:hAnsiTheme="minorHAnsi" w:cstheme="minorHAnsi"/>
          <w:b/>
          <w:bCs/>
          <w:sz w:val="20"/>
          <w:szCs w:val="20"/>
        </w:rPr>
        <w:t>:</w:t>
      </w:r>
    </w:p>
    <w:p w14:paraId="188F7A64" w14:textId="77777777" w:rsidR="009B2BF2" w:rsidRPr="003365C2" w:rsidRDefault="009B2BF2" w:rsidP="009B2BF2">
      <w:pPr>
        <w:adjustRightInd w:val="0"/>
        <w:jc w:val="both"/>
        <w:rPr>
          <w:rFonts w:cstheme="minorHAnsi"/>
          <w:color w:val="000000"/>
          <w:sz w:val="20"/>
          <w:szCs w:val="20"/>
        </w:rPr>
      </w:pPr>
      <w:r w:rsidRPr="00450B4E">
        <w:rPr>
          <w:rFonts w:cstheme="minorHAnsi"/>
          <w:color w:val="333333"/>
          <w:sz w:val="20"/>
          <w:szCs w:val="20"/>
          <w:shd w:val="clear" w:color="auto" w:fill="FFFFFF"/>
        </w:rPr>
        <w:t xml:space="preserve">SVEJKOVSKÝ &amp; </w:t>
      </w:r>
      <w:proofErr w:type="gramStart"/>
      <w:r w:rsidRPr="00450B4E">
        <w:rPr>
          <w:rFonts w:cstheme="minorHAnsi"/>
          <w:color w:val="333333"/>
          <w:sz w:val="20"/>
          <w:szCs w:val="20"/>
          <w:shd w:val="clear" w:color="auto" w:fill="FFFFFF"/>
        </w:rPr>
        <w:t>KABELKOVÁ - advokáti</w:t>
      </w:r>
      <w:proofErr w:type="gramEnd"/>
      <w:r w:rsidRPr="00450B4E">
        <w:rPr>
          <w:rFonts w:cstheme="minorHAnsi"/>
          <w:color w:val="333333"/>
          <w:sz w:val="20"/>
          <w:szCs w:val="20"/>
          <w:shd w:val="clear" w:color="auto" w:fill="FFFFFF"/>
        </w:rPr>
        <w:t xml:space="preserve"> s.r.o., IČO: 26362066, </w:t>
      </w:r>
      <w:r w:rsidRPr="00450B4E">
        <w:rPr>
          <w:rFonts w:eastAsia="Times New Roman" w:cstheme="minorHAnsi"/>
          <w:color w:val="333333"/>
          <w:sz w:val="20"/>
          <w:szCs w:val="20"/>
          <w:bdr w:val="none" w:sz="0" w:space="0" w:color="auto" w:frame="1"/>
          <w:lang w:eastAsia="cs-CZ"/>
        </w:rPr>
        <w:t>Holečkova 419/21, Smíchov, 150 00 Praha 5</w:t>
      </w:r>
      <w:r>
        <w:rPr>
          <w:rFonts w:eastAsia="Times New Roman" w:cstheme="minorHAnsi"/>
          <w:color w:val="333333"/>
          <w:sz w:val="20"/>
          <w:szCs w:val="20"/>
          <w:bdr w:val="none" w:sz="0" w:space="0" w:color="auto" w:frame="1"/>
          <w:lang w:eastAsia="cs-CZ"/>
        </w:rPr>
        <w:t xml:space="preserve">, </w:t>
      </w:r>
      <w:r w:rsidRPr="003365C2">
        <w:rPr>
          <w:rFonts w:cstheme="minorHAnsi"/>
          <w:color w:val="000000"/>
          <w:sz w:val="20"/>
          <w:szCs w:val="20"/>
        </w:rPr>
        <w:t>(dále jen „správce“)</w:t>
      </w:r>
      <w:r>
        <w:rPr>
          <w:rFonts w:cstheme="minorHAnsi"/>
          <w:color w:val="000000"/>
          <w:sz w:val="20"/>
          <w:szCs w:val="20"/>
        </w:rPr>
        <w:t xml:space="preserve"> </w:t>
      </w:r>
      <w:r w:rsidRPr="003365C2">
        <w:rPr>
          <w:rFonts w:cstheme="minorHAnsi"/>
          <w:color w:val="000000"/>
          <w:sz w:val="20"/>
          <w:szCs w:val="20"/>
        </w:rPr>
        <w:t>deklaruje, že je správcem osobních údajů klientů ve smyslu čl. 7 nařízení Evropského parlamentu a</w:t>
      </w:r>
      <w:r>
        <w:rPr>
          <w:rFonts w:cstheme="minorHAnsi"/>
          <w:color w:val="000000"/>
          <w:sz w:val="20"/>
          <w:szCs w:val="20"/>
        </w:rPr>
        <w:t xml:space="preserve"> </w:t>
      </w:r>
      <w:r w:rsidRPr="003365C2">
        <w:rPr>
          <w:rFonts w:cstheme="minorHAnsi"/>
          <w:color w:val="000000"/>
          <w:sz w:val="20"/>
          <w:szCs w:val="20"/>
        </w:rPr>
        <w:t>Rady č. 2016/679 (obecné nařízení o ochraně osobních údajů, dále jen „nařízení“).</w:t>
      </w:r>
    </w:p>
    <w:p w14:paraId="6A96E49D" w14:textId="77777777" w:rsidR="009B2BF2" w:rsidRPr="009B2BF2" w:rsidRDefault="009B2BF2" w:rsidP="009B2BF2">
      <w:pPr>
        <w:pStyle w:val="Bezmezer"/>
        <w:rPr>
          <w:rFonts w:asciiTheme="minorHAnsi" w:hAnsiTheme="minorHAnsi" w:cstheme="minorHAnsi"/>
          <w:sz w:val="20"/>
          <w:szCs w:val="20"/>
          <w:lang w:val="cs-CZ"/>
        </w:rPr>
      </w:pPr>
    </w:p>
    <w:p w14:paraId="33BC7DEF" w14:textId="07864359" w:rsidR="009B2BF2" w:rsidRPr="009B2BF2" w:rsidRDefault="009B2BF2" w:rsidP="009B2BF2">
      <w:pPr>
        <w:rPr>
          <w:rFonts w:asciiTheme="minorHAnsi" w:hAnsiTheme="minorHAnsi" w:cstheme="minorHAnsi"/>
          <w:b/>
          <w:bCs/>
          <w:sz w:val="20"/>
          <w:szCs w:val="20"/>
        </w:rPr>
      </w:pPr>
      <w:r w:rsidRPr="009B2BF2">
        <w:rPr>
          <w:rFonts w:asciiTheme="minorHAnsi" w:hAnsiTheme="minorHAnsi" w:cstheme="minorHAnsi"/>
          <w:b/>
          <w:bCs/>
          <w:sz w:val="20"/>
          <w:szCs w:val="20"/>
        </w:rPr>
        <w:t>Právní základ pro zpracování:</w:t>
      </w:r>
    </w:p>
    <w:p w14:paraId="613819BB" w14:textId="0C845F36" w:rsidR="009B2BF2" w:rsidRPr="009B2BF2" w:rsidRDefault="009B2BF2" w:rsidP="009B2BF2">
      <w:pPr>
        <w:pStyle w:val="Odstavecseseznamem"/>
        <w:numPr>
          <w:ilvl w:val="0"/>
          <w:numId w:val="11"/>
        </w:numPr>
        <w:rPr>
          <w:rFonts w:asciiTheme="minorHAnsi" w:hAnsiTheme="minorHAnsi" w:cstheme="minorHAnsi"/>
          <w:sz w:val="20"/>
          <w:szCs w:val="20"/>
        </w:rPr>
      </w:pPr>
      <w:r w:rsidRPr="009B2BF2">
        <w:rPr>
          <w:rFonts w:asciiTheme="minorHAnsi" w:hAnsiTheme="minorHAnsi" w:cstheme="minorHAnsi"/>
          <w:sz w:val="20"/>
          <w:szCs w:val="20"/>
        </w:rPr>
        <w:t>Smlouva o poskytování právních služeb.</w:t>
      </w:r>
    </w:p>
    <w:p w14:paraId="404007F4" w14:textId="579E8C5A" w:rsidR="009B2BF2" w:rsidRPr="009B2BF2" w:rsidRDefault="009B2BF2" w:rsidP="009B2BF2">
      <w:pPr>
        <w:pStyle w:val="Odstavecseseznamem"/>
        <w:numPr>
          <w:ilvl w:val="0"/>
          <w:numId w:val="11"/>
        </w:numPr>
        <w:rPr>
          <w:rFonts w:asciiTheme="minorHAnsi" w:hAnsiTheme="minorHAnsi" w:cstheme="minorHAnsi"/>
          <w:sz w:val="20"/>
          <w:szCs w:val="20"/>
        </w:rPr>
      </w:pPr>
      <w:r w:rsidRPr="009B2BF2">
        <w:rPr>
          <w:rFonts w:asciiTheme="minorHAnsi" w:hAnsiTheme="minorHAnsi" w:cstheme="minorHAnsi"/>
          <w:sz w:val="20"/>
          <w:szCs w:val="20"/>
        </w:rPr>
        <w:t>Poskytování osobních údajů je povinností subjektu údajů – klienta (dále jen "klient"), která vyplývá z výše zmíněné smlouvy.</w:t>
      </w:r>
    </w:p>
    <w:p w14:paraId="51D4D01D" w14:textId="77777777" w:rsidR="009B2BF2" w:rsidRDefault="009B2BF2" w:rsidP="009B2BF2">
      <w:pPr>
        <w:rPr>
          <w:rFonts w:asciiTheme="minorHAnsi" w:hAnsiTheme="minorHAnsi" w:cstheme="minorHAnsi"/>
          <w:sz w:val="20"/>
          <w:szCs w:val="20"/>
        </w:rPr>
      </w:pPr>
    </w:p>
    <w:p w14:paraId="737E007E" w14:textId="58766A31" w:rsidR="009B2BF2" w:rsidRPr="009B2BF2" w:rsidRDefault="009B2BF2" w:rsidP="009B2BF2">
      <w:pPr>
        <w:rPr>
          <w:rFonts w:asciiTheme="minorHAnsi" w:hAnsiTheme="minorHAnsi" w:cstheme="minorHAnsi"/>
          <w:b/>
          <w:bCs/>
          <w:sz w:val="20"/>
          <w:szCs w:val="20"/>
        </w:rPr>
      </w:pPr>
      <w:r w:rsidRPr="009B2BF2">
        <w:rPr>
          <w:rFonts w:asciiTheme="minorHAnsi" w:hAnsiTheme="minorHAnsi" w:cstheme="minorHAnsi"/>
          <w:b/>
          <w:bCs/>
          <w:sz w:val="20"/>
          <w:szCs w:val="20"/>
        </w:rPr>
        <w:t>Účel zpracování:</w:t>
      </w:r>
    </w:p>
    <w:p w14:paraId="43E5CE58" w14:textId="5CF5E13E" w:rsidR="009B2BF2" w:rsidRPr="009B2BF2" w:rsidRDefault="009B2BF2" w:rsidP="009B2BF2">
      <w:pPr>
        <w:rPr>
          <w:rFonts w:asciiTheme="minorHAnsi" w:hAnsiTheme="minorHAnsi" w:cstheme="minorHAnsi"/>
          <w:sz w:val="20"/>
          <w:szCs w:val="20"/>
        </w:rPr>
      </w:pPr>
      <w:r w:rsidRPr="009B2BF2">
        <w:rPr>
          <w:rFonts w:asciiTheme="minorHAnsi" w:hAnsiTheme="minorHAnsi" w:cstheme="minorHAnsi"/>
          <w:sz w:val="20"/>
          <w:szCs w:val="20"/>
        </w:rPr>
        <w:t>Poskytování právních služeb podle smlouvy uzavřené s</w:t>
      </w:r>
      <w:r>
        <w:rPr>
          <w:rFonts w:asciiTheme="minorHAnsi" w:hAnsiTheme="minorHAnsi" w:cstheme="minorHAnsi"/>
          <w:sz w:val="20"/>
          <w:szCs w:val="20"/>
        </w:rPr>
        <w:t> </w:t>
      </w:r>
      <w:r w:rsidRPr="009B2BF2">
        <w:rPr>
          <w:rFonts w:asciiTheme="minorHAnsi" w:hAnsiTheme="minorHAnsi" w:cstheme="minorHAnsi"/>
          <w:sz w:val="20"/>
          <w:szCs w:val="20"/>
        </w:rPr>
        <w:t>klientem</w:t>
      </w:r>
      <w:r>
        <w:rPr>
          <w:rFonts w:asciiTheme="minorHAnsi" w:hAnsiTheme="minorHAnsi" w:cstheme="minorHAnsi"/>
          <w:sz w:val="20"/>
          <w:szCs w:val="20"/>
        </w:rPr>
        <w:t>.</w:t>
      </w:r>
    </w:p>
    <w:p w14:paraId="4D6FAF7A" w14:textId="77777777" w:rsidR="009B2BF2" w:rsidRDefault="009B2BF2" w:rsidP="009B2BF2">
      <w:pPr>
        <w:pStyle w:val="Bezmezer"/>
        <w:rPr>
          <w:rFonts w:asciiTheme="minorHAnsi" w:hAnsiTheme="minorHAnsi" w:cstheme="minorHAnsi"/>
          <w:sz w:val="20"/>
          <w:szCs w:val="20"/>
        </w:rPr>
      </w:pPr>
    </w:p>
    <w:p w14:paraId="6229E773" w14:textId="41394743" w:rsidR="009B2BF2" w:rsidRPr="009B2BF2" w:rsidRDefault="009B2BF2" w:rsidP="009B2BF2">
      <w:pPr>
        <w:pStyle w:val="Bezmezer"/>
        <w:rPr>
          <w:rFonts w:asciiTheme="minorHAnsi" w:hAnsiTheme="minorHAnsi" w:cstheme="minorHAnsi"/>
          <w:b/>
          <w:bCs/>
          <w:sz w:val="20"/>
          <w:szCs w:val="20"/>
          <w:lang w:val="cs-CZ"/>
        </w:rPr>
      </w:pPr>
      <w:r w:rsidRPr="009B2BF2">
        <w:rPr>
          <w:rFonts w:asciiTheme="minorHAnsi" w:hAnsiTheme="minorHAnsi" w:cstheme="minorHAnsi"/>
          <w:b/>
          <w:bCs/>
          <w:sz w:val="20"/>
          <w:szCs w:val="20"/>
          <w:lang w:val="cs-CZ"/>
        </w:rPr>
        <w:t>Příjemci osobních údajů:</w:t>
      </w:r>
    </w:p>
    <w:p w14:paraId="7CA10CAD" w14:textId="50ABC8DD" w:rsidR="009B2BF2" w:rsidRPr="009B2BF2" w:rsidRDefault="009B2BF2" w:rsidP="009B2BF2">
      <w:pPr>
        <w:pStyle w:val="Bezmezer"/>
        <w:numPr>
          <w:ilvl w:val="0"/>
          <w:numId w:val="11"/>
        </w:numPr>
        <w:rPr>
          <w:rFonts w:asciiTheme="minorHAnsi" w:hAnsiTheme="minorHAnsi" w:cstheme="minorHAnsi"/>
          <w:sz w:val="20"/>
          <w:szCs w:val="20"/>
          <w:lang w:val="cs-CZ"/>
        </w:rPr>
      </w:pPr>
      <w:r w:rsidRPr="009B2BF2">
        <w:rPr>
          <w:rFonts w:asciiTheme="minorHAnsi" w:hAnsiTheme="minorHAnsi" w:cstheme="minorHAnsi"/>
          <w:sz w:val="20"/>
          <w:szCs w:val="20"/>
          <w:lang w:val="cs-CZ"/>
        </w:rPr>
        <w:t>Orgány veřejné moci (např. soudy, správní orgány)</w:t>
      </w:r>
      <w:r>
        <w:rPr>
          <w:rFonts w:asciiTheme="minorHAnsi" w:hAnsiTheme="minorHAnsi" w:cstheme="minorHAnsi"/>
          <w:sz w:val="20"/>
          <w:szCs w:val="20"/>
          <w:lang w:val="cs-CZ"/>
        </w:rPr>
        <w:t>.</w:t>
      </w:r>
    </w:p>
    <w:p w14:paraId="49704A40" w14:textId="6945B58D" w:rsidR="009B2BF2" w:rsidRPr="009B2BF2" w:rsidRDefault="009B2BF2" w:rsidP="009B2BF2">
      <w:pPr>
        <w:pStyle w:val="Bezmezer"/>
        <w:numPr>
          <w:ilvl w:val="0"/>
          <w:numId w:val="11"/>
        </w:numPr>
        <w:rPr>
          <w:rFonts w:asciiTheme="minorHAnsi" w:hAnsiTheme="minorHAnsi" w:cstheme="minorHAnsi"/>
          <w:sz w:val="20"/>
          <w:szCs w:val="20"/>
          <w:lang w:val="cs-CZ"/>
        </w:rPr>
      </w:pPr>
      <w:r w:rsidRPr="009B2BF2">
        <w:rPr>
          <w:rFonts w:asciiTheme="minorHAnsi" w:hAnsiTheme="minorHAnsi" w:cstheme="minorHAnsi"/>
          <w:sz w:val="20"/>
          <w:szCs w:val="20"/>
          <w:lang w:val="cs-CZ"/>
        </w:rPr>
        <w:t>Poskytovatelé údržby informačního systému</w:t>
      </w:r>
      <w:r>
        <w:rPr>
          <w:rFonts w:asciiTheme="minorHAnsi" w:hAnsiTheme="minorHAnsi" w:cstheme="minorHAnsi"/>
          <w:sz w:val="20"/>
          <w:szCs w:val="20"/>
          <w:lang w:val="cs-CZ"/>
        </w:rPr>
        <w:t>.</w:t>
      </w:r>
    </w:p>
    <w:p w14:paraId="73DD4766" w14:textId="3252D850" w:rsidR="009B2BF2" w:rsidRPr="009B2BF2" w:rsidRDefault="009B2BF2" w:rsidP="009B2BF2">
      <w:pPr>
        <w:pStyle w:val="Bezmezer"/>
        <w:numPr>
          <w:ilvl w:val="0"/>
          <w:numId w:val="11"/>
        </w:numPr>
        <w:rPr>
          <w:rFonts w:asciiTheme="minorHAnsi" w:hAnsiTheme="minorHAnsi" w:cstheme="minorHAnsi"/>
          <w:sz w:val="20"/>
          <w:szCs w:val="20"/>
          <w:lang w:val="cs-CZ"/>
        </w:rPr>
      </w:pPr>
      <w:r w:rsidRPr="009B2BF2">
        <w:rPr>
          <w:rFonts w:asciiTheme="minorHAnsi" w:hAnsiTheme="minorHAnsi" w:cstheme="minorHAnsi"/>
          <w:sz w:val="20"/>
          <w:szCs w:val="20"/>
          <w:lang w:val="cs-CZ"/>
        </w:rPr>
        <w:t>Další příjemci dle potřeb a pokynů klienta</w:t>
      </w:r>
      <w:r>
        <w:rPr>
          <w:rFonts w:asciiTheme="minorHAnsi" w:hAnsiTheme="minorHAnsi" w:cstheme="minorHAnsi"/>
          <w:sz w:val="20"/>
          <w:szCs w:val="20"/>
          <w:lang w:val="cs-CZ"/>
        </w:rPr>
        <w:t>.</w:t>
      </w:r>
    </w:p>
    <w:p w14:paraId="186A4DD9" w14:textId="77777777" w:rsidR="009B2BF2" w:rsidRPr="009B2BF2" w:rsidRDefault="009B2BF2" w:rsidP="009B2BF2">
      <w:pPr>
        <w:pStyle w:val="Bezmezer"/>
        <w:ind w:left="720"/>
        <w:rPr>
          <w:rFonts w:asciiTheme="minorHAnsi" w:hAnsiTheme="minorHAnsi" w:cstheme="minorHAnsi"/>
          <w:sz w:val="20"/>
          <w:szCs w:val="20"/>
          <w:lang w:val="cs-CZ"/>
        </w:rPr>
      </w:pPr>
    </w:p>
    <w:p w14:paraId="06F42E0E" w14:textId="77777777" w:rsidR="009B2BF2" w:rsidRPr="009B2BF2" w:rsidRDefault="009B2BF2" w:rsidP="009B2BF2">
      <w:pPr>
        <w:pStyle w:val="Bezmezer"/>
        <w:rPr>
          <w:rFonts w:asciiTheme="minorHAnsi" w:hAnsiTheme="minorHAnsi" w:cstheme="minorHAnsi"/>
          <w:b/>
          <w:bCs/>
          <w:sz w:val="20"/>
          <w:szCs w:val="20"/>
        </w:rPr>
      </w:pPr>
      <w:r w:rsidRPr="009B2BF2">
        <w:rPr>
          <w:rFonts w:asciiTheme="minorHAnsi" w:hAnsiTheme="minorHAnsi" w:cstheme="minorHAnsi"/>
          <w:b/>
          <w:bCs/>
          <w:sz w:val="20"/>
          <w:szCs w:val="20"/>
        </w:rPr>
        <w:t xml:space="preserve">Doba </w:t>
      </w:r>
      <w:proofErr w:type="spellStart"/>
      <w:r w:rsidRPr="009B2BF2">
        <w:rPr>
          <w:rFonts w:asciiTheme="minorHAnsi" w:hAnsiTheme="minorHAnsi" w:cstheme="minorHAnsi"/>
          <w:b/>
          <w:bCs/>
          <w:sz w:val="20"/>
          <w:szCs w:val="20"/>
        </w:rPr>
        <w:t>zpracování</w:t>
      </w:r>
      <w:proofErr w:type="spellEnd"/>
      <w:r w:rsidRPr="009B2BF2">
        <w:rPr>
          <w:rFonts w:asciiTheme="minorHAnsi" w:hAnsiTheme="minorHAnsi" w:cstheme="minorHAnsi"/>
          <w:b/>
          <w:bCs/>
          <w:sz w:val="20"/>
          <w:szCs w:val="20"/>
        </w:rPr>
        <w:t xml:space="preserve"> </w:t>
      </w:r>
      <w:proofErr w:type="spellStart"/>
      <w:r w:rsidRPr="009B2BF2">
        <w:rPr>
          <w:rFonts w:asciiTheme="minorHAnsi" w:hAnsiTheme="minorHAnsi" w:cstheme="minorHAnsi"/>
          <w:b/>
          <w:bCs/>
          <w:sz w:val="20"/>
          <w:szCs w:val="20"/>
        </w:rPr>
        <w:t>osobních</w:t>
      </w:r>
      <w:proofErr w:type="spellEnd"/>
      <w:r w:rsidRPr="009B2BF2">
        <w:rPr>
          <w:rFonts w:asciiTheme="minorHAnsi" w:hAnsiTheme="minorHAnsi" w:cstheme="minorHAnsi"/>
          <w:b/>
          <w:bCs/>
          <w:sz w:val="20"/>
          <w:szCs w:val="20"/>
        </w:rPr>
        <w:t xml:space="preserve"> </w:t>
      </w:r>
      <w:proofErr w:type="spellStart"/>
      <w:r w:rsidRPr="009B2BF2">
        <w:rPr>
          <w:rFonts w:asciiTheme="minorHAnsi" w:hAnsiTheme="minorHAnsi" w:cstheme="minorHAnsi"/>
          <w:b/>
          <w:bCs/>
          <w:sz w:val="20"/>
          <w:szCs w:val="20"/>
        </w:rPr>
        <w:t>údajů</w:t>
      </w:r>
      <w:proofErr w:type="spellEnd"/>
    </w:p>
    <w:p w14:paraId="2ED386AF" w14:textId="340D8D58" w:rsidR="009B2BF2" w:rsidRPr="009B2BF2" w:rsidRDefault="009B2BF2" w:rsidP="009B2BF2">
      <w:pPr>
        <w:pStyle w:val="Bezmezer"/>
        <w:jc w:val="both"/>
        <w:rPr>
          <w:rFonts w:asciiTheme="minorHAnsi" w:hAnsiTheme="minorHAnsi" w:cstheme="minorHAnsi"/>
          <w:sz w:val="20"/>
          <w:szCs w:val="20"/>
        </w:rPr>
      </w:pPr>
      <w:proofErr w:type="spellStart"/>
      <w:r w:rsidRPr="009B2BF2">
        <w:rPr>
          <w:rFonts w:asciiTheme="minorHAnsi" w:hAnsiTheme="minorHAnsi" w:cstheme="minorHAnsi"/>
          <w:sz w:val="20"/>
          <w:szCs w:val="20"/>
        </w:rPr>
        <w:t>Osobní</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údaje</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budou</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zpracovávány</w:t>
      </w:r>
      <w:proofErr w:type="spellEnd"/>
      <w:r w:rsidRPr="009B2BF2">
        <w:rPr>
          <w:rFonts w:asciiTheme="minorHAnsi" w:hAnsiTheme="minorHAnsi" w:cstheme="minorHAnsi"/>
          <w:sz w:val="20"/>
          <w:szCs w:val="20"/>
        </w:rPr>
        <w:t xml:space="preserve"> po </w:t>
      </w:r>
      <w:proofErr w:type="spellStart"/>
      <w:r w:rsidRPr="009B2BF2">
        <w:rPr>
          <w:rFonts w:asciiTheme="minorHAnsi" w:hAnsiTheme="minorHAnsi" w:cstheme="minorHAnsi"/>
          <w:sz w:val="20"/>
          <w:szCs w:val="20"/>
        </w:rPr>
        <w:t>dobu</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platnosti</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výše</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zmíněné</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smlouvy</w:t>
      </w:r>
      <w:proofErr w:type="spellEnd"/>
      <w:r w:rsidRPr="009B2BF2">
        <w:rPr>
          <w:rFonts w:asciiTheme="minorHAnsi" w:hAnsiTheme="minorHAnsi" w:cstheme="minorHAnsi"/>
          <w:sz w:val="20"/>
          <w:szCs w:val="20"/>
        </w:rPr>
        <w:t xml:space="preserve"> a po </w:t>
      </w:r>
      <w:proofErr w:type="spellStart"/>
      <w:r w:rsidRPr="009B2BF2">
        <w:rPr>
          <w:rFonts w:asciiTheme="minorHAnsi" w:hAnsiTheme="minorHAnsi" w:cstheme="minorHAnsi"/>
          <w:sz w:val="20"/>
          <w:szCs w:val="20"/>
        </w:rPr>
        <w:t>jejím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skončení</w:t>
      </w:r>
      <w:proofErr w:type="spellEnd"/>
      <w:r w:rsidRPr="009B2BF2">
        <w:rPr>
          <w:rFonts w:asciiTheme="minorHAnsi" w:hAnsiTheme="minorHAnsi" w:cstheme="minorHAnsi"/>
          <w:sz w:val="20"/>
          <w:szCs w:val="20"/>
        </w:rPr>
        <w:t xml:space="preserve"> s </w:t>
      </w:r>
      <w:proofErr w:type="spellStart"/>
      <w:r w:rsidRPr="009B2BF2">
        <w:rPr>
          <w:rFonts w:asciiTheme="minorHAnsi" w:hAnsiTheme="minorHAnsi" w:cstheme="minorHAnsi"/>
          <w:sz w:val="20"/>
          <w:szCs w:val="20"/>
        </w:rPr>
        <w:t>nimi</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bude</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naloženo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dle</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platné</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právní</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úpravy</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zejm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zákona</w:t>
      </w:r>
      <w:proofErr w:type="spellEnd"/>
      <w:r w:rsidRPr="009B2BF2">
        <w:rPr>
          <w:rFonts w:asciiTheme="minorHAnsi" w:hAnsiTheme="minorHAnsi" w:cstheme="minorHAnsi"/>
          <w:sz w:val="20"/>
          <w:szCs w:val="20"/>
        </w:rPr>
        <w:t xml:space="preserve"> č. 85/1996 Sb. (</w:t>
      </w:r>
      <w:proofErr w:type="spellStart"/>
      <w:r w:rsidRPr="009B2BF2">
        <w:rPr>
          <w:rFonts w:asciiTheme="minorHAnsi" w:hAnsiTheme="minorHAnsi" w:cstheme="minorHAnsi"/>
          <w:sz w:val="20"/>
          <w:szCs w:val="20"/>
        </w:rPr>
        <w:t>zákon</w:t>
      </w:r>
      <w:proofErr w:type="spellEnd"/>
      <w:r w:rsidRPr="009B2BF2">
        <w:rPr>
          <w:rFonts w:asciiTheme="minorHAnsi" w:hAnsiTheme="minorHAnsi" w:cstheme="minorHAnsi"/>
          <w:sz w:val="20"/>
          <w:szCs w:val="20"/>
        </w:rPr>
        <w:t xml:space="preserve"> o </w:t>
      </w:r>
      <w:proofErr w:type="spellStart"/>
      <w:r w:rsidRPr="009B2BF2">
        <w:rPr>
          <w:rFonts w:asciiTheme="minorHAnsi" w:hAnsiTheme="minorHAnsi" w:cstheme="minorHAnsi"/>
          <w:sz w:val="20"/>
          <w:szCs w:val="20"/>
        </w:rPr>
        <w:t>advokacii</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zákona</w:t>
      </w:r>
      <w:proofErr w:type="spellEnd"/>
      <w:r w:rsidRPr="009B2BF2">
        <w:rPr>
          <w:rFonts w:asciiTheme="minorHAnsi" w:hAnsiTheme="minorHAnsi" w:cstheme="minorHAnsi"/>
          <w:sz w:val="20"/>
          <w:szCs w:val="20"/>
        </w:rPr>
        <w:t xml:space="preserve"> č. 499/2004 Sb. (</w:t>
      </w:r>
      <w:proofErr w:type="spellStart"/>
      <w:r w:rsidRPr="009B2BF2">
        <w:rPr>
          <w:rFonts w:asciiTheme="minorHAnsi" w:hAnsiTheme="minorHAnsi" w:cstheme="minorHAnsi"/>
          <w:sz w:val="20"/>
          <w:szCs w:val="20"/>
        </w:rPr>
        <w:t>zákon</w:t>
      </w:r>
      <w:proofErr w:type="spellEnd"/>
      <w:r w:rsidRPr="009B2BF2">
        <w:rPr>
          <w:rFonts w:asciiTheme="minorHAnsi" w:hAnsiTheme="minorHAnsi" w:cstheme="minorHAnsi"/>
          <w:sz w:val="20"/>
          <w:szCs w:val="20"/>
        </w:rPr>
        <w:t xml:space="preserve"> o </w:t>
      </w:r>
      <w:proofErr w:type="spellStart"/>
      <w:r w:rsidRPr="009B2BF2">
        <w:rPr>
          <w:rFonts w:asciiTheme="minorHAnsi" w:hAnsiTheme="minorHAnsi" w:cstheme="minorHAnsi"/>
          <w:sz w:val="20"/>
          <w:szCs w:val="20"/>
        </w:rPr>
        <w:t>archivnictví</w:t>
      </w:r>
      <w:proofErr w:type="spellEnd"/>
      <w:r w:rsidRPr="009B2BF2">
        <w:rPr>
          <w:rFonts w:asciiTheme="minorHAnsi" w:hAnsiTheme="minorHAnsi" w:cstheme="minorHAnsi"/>
          <w:sz w:val="20"/>
          <w:szCs w:val="20"/>
        </w:rPr>
        <w:t xml:space="preserve"> a </w:t>
      </w:r>
      <w:proofErr w:type="spellStart"/>
      <w:r w:rsidRPr="009B2BF2">
        <w:rPr>
          <w:rFonts w:asciiTheme="minorHAnsi" w:hAnsiTheme="minorHAnsi" w:cstheme="minorHAnsi"/>
          <w:sz w:val="20"/>
          <w:szCs w:val="20"/>
        </w:rPr>
        <w:t>spisové</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službě</w:t>
      </w:r>
      <w:proofErr w:type="spellEnd"/>
      <w:r w:rsidRPr="009B2BF2">
        <w:rPr>
          <w:rFonts w:asciiTheme="minorHAnsi" w:hAnsiTheme="minorHAnsi" w:cstheme="minorHAnsi"/>
          <w:sz w:val="20"/>
          <w:szCs w:val="20"/>
        </w:rPr>
        <w:t xml:space="preserve"> a o </w:t>
      </w:r>
      <w:proofErr w:type="spellStart"/>
      <w:r w:rsidRPr="009B2BF2">
        <w:rPr>
          <w:rFonts w:asciiTheme="minorHAnsi" w:hAnsiTheme="minorHAnsi" w:cstheme="minorHAnsi"/>
          <w:sz w:val="20"/>
          <w:szCs w:val="20"/>
        </w:rPr>
        <w:t>změně</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některých</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zákonů</w:t>
      </w:r>
      <w:proofErr w:type="spellEnd"/>
      <w:r w:rsidRPr="009B2BF2">
        <w:rPr>
          <w:rFonts w:asciiTheme="minorHAnsi" w:hAnsiTheme="minorHAnsi" w:cstheme="minorHAnsi"/>
          <w:sz w:val="20"/>
          <w:szCs w:val="20"/>
        </w:rPr>
        <w:t xml:space="preserve">) a </w:t>
      </w:r>
      <w:proofErr w:type="spellStart"/>
      <w:r w:rsidRPr="009B2BF2">
        <w:rPr>
          <w:rFonts w:asciiTheme="minorHAnsi" w:hAnsiTheme="minorHAnsi" w:cstheme="minorHAnsi"/>
          <w:sz w:val="20"/>
          <w:szCs w:val="20"/>
        </w:rPr>
        <w:t>Nařízení</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Evropského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parlamentu</w:t>
      </w:r>
      <w:proofErr w:type="spellEnd"/>
      <w:r w:rsidRPr="009B2BF2">
        <w:rPr>
          <w:rFonts w:asciiTheme="minorHAnsi" w:hAnsiTheme="minorHAnsi" w:cstheme="minorHAnsi"/>
          <w:sz w:val="20"/>
          <w:szCs w:val="20"/>
        </w:rPr>
        <w:t xml:space="preserve"> a Rady (EU) 2016/679 ze </w:t>
      </w:r>
      <w:proofErr w:type="spellStart"/>
      <w:r w:rsidRPr="009B2BF2">
        <w:rPr>
          <w:rFonts w:asciiTheme="minorHAnsi" w:hAnsiTheme="minorHAnsi" w:cstheme="minorHAnsi"/>
          <w:sz w:val="20"/>
          <w:szCs w:val="20"/>
        </w:rPr>
        <w:t>dne</w:t>
      </w:r>
      <w:proofErr w:type="spellEnd"/>
      <w:r w:rsidRPr="009B2BF2">
        <w:rPr>
          <w:rFonts w:asciiTheme="minorHAnsi" w:hAnsiTheme="minorHAnsi" w:cstheme="minorHAnsi"/>
          <w:sz w:val="20"/>
          <w:szCs w:val="20"/>
        </w:rPr>
        <w:t xml:space="preserve"> 27. </w:t>
      </w:r>
      <w:proofErr w:type="spellStart"/>
      <w:r w:rsidRPr="009B2BF2">
        <w:rPr>
          <w:rFonts w:asciiTheme="minorHAnsi" w:hAnsiTheme="minorHAnsi" w:cstheme="minorHAnsi"/>
          <w:sz w:val="20"/>
          <w:szCs w:val="20"/>
        </w:rPr>
        <w:t>dubna</w:t>
      </w:r>
      <w:proofErr w:type="spellEnd"/>
      <w:r w:rsidRPr="009B2BF2">
        <w:rPr>
          <w:rFonts w:asciiTheme="minorHAnsi" w:hAnsiTheme="minorHAnsi" w:cstheme="minorHAnsi"/>
          <w:sz w:val="20"/>
          <w:szCs w:val="20"/>
        </w:rPr>
        <w:t xml:space="preserve"> 2016 o </w:t>
      </w:r>
      <w:proofErr w:type="spellStart"/>
      <w:r w:rsidRPr="009B2BF2">
        <w:rPr>
          <w:rFonts w:asciiTheme="minorHAnsi" w:hAnsiTheme="minorHAnsi" w:cstheme="minorHAnsi"/>
          <w:sz w:val="20"/>
          <w:szCs w:val="20"/>
        </w:rPr>
        <w:t>ochraně</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fyzických</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osob</w:t>
      </w:r>
      <w:proofErr w:type="spellEnd"/>
      <w:r w:rsidRPr="009B2BF2">
        <w:rPr>
          <w:rFonts w:asciiTheme="minorHAnsi" w:hAnsiTheme="minorHAnsi" w:cstheme="minorHAnsi"/>
          <w:sz w:val="20"/>
          <w:szCs w:val="20"/>
        </w:rPr>
        <w:t xml:space="preserve"> v </w:t>
      </w:r>
      <w:proofErr w:type="spellStart"/>
      <w:r w:rsidRPr="009B2BF2">
        <w:rPr>
          <w:rFonts w:asciiTheme="minorHAnsi" w:hAnsiTheme="minorHAnsi" w:cstheme="minorHAnsi"/>
          <w:sz w:val="20"/>
          <w:szCs w:val="20"/>
        </w:rPr>
        <w:t>souvislosti</w:t>
      </w:r>
      <w:proofErr w:type="spellEnd"/>
      <w:r w:rsidRPr="009B2BF2">
        <w:rPr>
          <w:rFonts w:asciiTheme="minorHAnsi" w:hAnsiTheme="minorHAnsi" w:cstheme="minorHAnsi"/>
          <w:sz w:val="20"/>
          <w:szCs w:val="20"/>
        </w:rPr>
        <w:t xml:space="preserve"> se </w:t>
      </w:r>
      <w:proofErr w:type="spellStart"/>
      <w:r w:rsidRPr="009B2BF2">
        <w:rPr>
          <w:rFonts w:asciiTheme="minorHAnsi" w:hAnsiTheme="minorHAnsi" w:cstheme="minorHAnsi"/>
          <w:sz w:val="20"/>
          <w:szCs w:val="20"/>
        </w:rPr>
        <w:t>zpracováním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osobních</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údajů</w:t>
      </w:r>
      <w:proofErr w:type="spellEnd"/>
      <w:r w:rsidRPr="009B2BF2">
        <w:rPr>
          <w:rFonts w:asciiTheme="minorHAnsi" w:hAnsiTheme="minorHAnsi" w:cstheme="minorHAnsi"/>
          <w:sz w:val="20"/>
          <w:szCs w:val="20"/>
        </w:rPr>
        <w:t xml:space="preserve"> a o </w:t>
      </w:r>
      <w:proofErr w:type="spellStart"/>
      <w:r w:rsidRPr="009B2BF2">
        <w:rPr>
          <w:rFonts w:asciiTheme="minorHAnsi" w:hAnsiTheme="minorHAnsi" w:cstheme="minorHAnsi"/>
          <w:sz w:val="20"/>
          <w:szCs w:val="20"/>
        </w:rPr>
        <w:t>volném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pohybu</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těchto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údajů</w:t>
      </w:r>
      <w:proofErr w:type="spellEnd"/>
      <w:r w:rsidRPr="009B2BF2">
        <w:rPr>
          <w:rFonts w:asciiTheme="minorHAnsi" w:hAnsiTheme="minorHAnsi" w:cstheme="minorHAnsi"/>
          <w:sz w:val="20"/>
          <w:szCs w:val="20"/>
        </w:rPr>
        <w:t xml:space="preserve"> a o </w:t>
      </w:r>
      <w:proofErr w:type="spellStart"/>
      <w:r w:rsidRPr="009B2BF2">
        <w:rPr>
          <w:rFonts w:asciiTheme="minorHAnsi" w:hAnsiTheme="minorHAnsi" w:cstheme="minorHAnsi"/>
          <w:sz w:val="20"/>
          <w:szCs w:val="20"/>
        </w:rPr>
        <w:t>zrušení</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směrnice</w:t>
      </w:r>
      <w:proofErr w:type="spellEnd"/>
      <w:r w:rsidRPr="009B2BF2">
        <w:rPr>
          <w:rFonts w:asciiTheme="minorHAnsi" w:hAnsiTheme="minorHAnsi" w:cstheme="minorHAnsi"/>
          <w:sz w:val="20"/>
          <w:szCs w:val="20"/>
        </w:rPr>
        <w:t xml:space="preserve"> 95/46/ES (</w:t>
      </w:r>
      <w:proofErr w:type="spellStart"/>
      <w:r w:rsidRPr="009B2BF2">
        <w:rPr>
          <w:rFonts w:asciiTheme="minorHAnsi" w:hAnsiTheme="minorHAnsi" w:cstheme="minorHAnsi"/>
          <w:sz w:val="20"/>
          <w:szCs w:val="20"/>
        </w:rPr>
        <w:t>Nařízení</w:t>
      </w:r>
      <w:proofErr w:type="spellEnd"/>
      <w:r w:rsidRPr="009B2BF2">
        <w:rPr>
          <w:rFonts w:asciiTheme="minorHAnsi" w:hAnsiTheme="minorHAnsi" w:cstheme="minorHAnsi"/>
          <w:sz w:val="20"/>
          <w:szCs w:val="20"/>
        </w:rPr>
        <w:t xml:space="preserve"> GDPR).</w:t>
      </w:r>
    </w:p>
    <w:p w14:paraId="1DD587F9" w14:textId="77777777" w:rsidR="009B2BF2" w:rsidRDefault="009B2BF2" w:rsidP="009B2BF2">
      <w:pPr>
        <w:pStyle w:val="Bezmezer"/>
        <w:jc w:val="both"/>
        <w:rPr>
          <w:rFonts w:asciiTheme="minorHAnsi" w:hAnsiTheme="minorHAnsi" w:cstheme="minorHAnsi"/>
          <w:b/>
          <w:bCs/>
          <w:sz w:val="20"/>
          <w:szCs w:val="20"/>
        </w:rPr>
      </w:pPr>
    </w:p>
    <w:p w14:paraId="03E2A159" w14:textId="3B5A9A12" w:rsidR="009B2BF2" w:rsidRPr="009B2BF2" w:rsidRDefault="009B2BF2" w:rsidP="009B2BF2">
      <w:pPr>
        <w:pStyle w:val="Bezmezer"/>
        <w:jc w:val="both"/>
        <w:rPr>
          <w:rFonts w:asciiTheme="minorHAnsi" w:hAnsiTheme="minorHAnsi" w:cstheme="minorHAnsi"/>
          <w:b/>
          <w:bCs/>
          <w:sz w:val="20"/>
          <w:szCs w:val="20"/>
        </w:rPr>
      </w:pPr>
      <w:proofErr w:type="spellStart"/>
      <w:r w:rsidRPr="009B2BF2">
        <w:rPr>
          <w:rFonts w:asciiTheme="minorHAnsi" w:hAnsiTheme="minorHAnsi" w:cstheme="minorHAnsi"/>
          <w:b/>
          <w:bCs/>
          <w:sz w:val="20"/>
          <w:szCs w:val="20"/>
        </w:rPr>
        <w:t>Práva</w:t>
      </w:r>
      <w:proofErr w:type="spellEnd"/>
      <w:r w:rsidRPr="009B2BF2">
        <w:rPr>
          <w:rFonts w:asciiTheme="minorHAnsi" w:hAnsiTheme="minorHAnsi" w:cstheme="minorHAnsi"/>
          <w:b/>
          <w:bCs/>
          <w:sz w:val="20"/>
          <w:szCs w:val="20"/>
        </w:rPr>
        <w:t xml:space="preserve"> </w:t>
      </w:r>
      <w:proofErr w:type="spellStart"/>
      <w:r w:rsidRPr="009B2BF2">
        <w:rPr>
          <w:rFonts w:asciiTheme="minorHAnsi" w:hAnsiTheme="minorHAnsi" w:cstheme="minorHAnsi"/>
          <w:b/>
          <w:bCs/>
          <w:sz w:val="20"/>
          <w:szCs w:val="20"/>
        </w:rPr>
        <w:t>klienta</w:t>
      </w:r>
      <w:proofErr w:type="spellEnd"/>
    </w:p>
    <w:p w14:paraId="28548888" w14:textId="3BA7B657" w:rsidR="009B2BF2" w:rsidRPr="009B2BF2" w:rsidRDefault="009B2BF2" w:rsidP="009B2BF2">
      <w:pPr>
        <w:pStyle w:val="Bezmezer"/>
        <w:jc w:val="both"/>
        <w:rPr>
          <w:rFonts w:asciiTheme="minorHAnsi" w:hAnsiTheme="minorHAnsi" w:cstheme="minorHAnsi"/>
          <w:sz w:val="20"/>
          <w:szCs w:val="20"/>
          <w:lang w:val="cs-CZ"/>
        </w:rPr>
      </w:pPr>
      <w:proofErr w:type="spellStart"/>
      <w:r w:rsidRPr="009B2BF2">
        <w:rPr>
          <w:rFonts w:asciiTheme="minorHAnsi" w:hAnsiTheme="minorHAnsi" w:cstheme="minorHAnsi"/>
          <w:sz w:val="20"/>
          <w:szCs w:val="20"/>
        </w:rPr>
        <w:t>Právo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na</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přístup</w:t>
      </w:r>
      <w:proofErr w:type="spellEnd"/>
      <w:r w:rsidRPr="009B2BF2">
        <w:rPr>
          <w:rFonts w:asciiTheme="minorHAnsi" w:hAnsiTheme="minorHAnsi" w:cstheme="minorHAnsi"/>
          <w:sz w:val="20"/>
          <w:szCs w:val="20"/>
        </w:rPr>
        <w:t xml:space="preserve"> k </w:t>
      </w:r>
      <w:proofErr w:type="spellStart"/>
      <w:r w:rsidRPr="009B2BF2">
        <w:rPr>
          <w:rFonts w:asciiTheme="minorHAnsi" w:hAnsiTheme="minorHAnsi" w:cstheme="minorHAnsi"/>
          <w:sz w:val="20"/>
          <w:szCs w:val="20"/>
        </w:rPr>
        <w:t>osobním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údajům</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znamená</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že</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klient</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má</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právo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od</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správce</w:t>
      </w:r>
      <w:proofErr w:type="spellEnd"/>
      <w:r w:rsidRPr="009B2BF2">
        <w:rPr>
          <w:rFonts w:asciiTheme="minorHAnsi" w:hAnsiTheme="minorHAnsi" w:cstheme="minorHAnsi"/>
          <w:sz w:val="20"/>
          <w:szCs w:val="20"/>
        </w:rPr>
        <w:t xml:space="preserve"> – </w:t>
      </w:r>
      <w:proofErr w:type="spellStart"/>
      <w:r w:rsidRPr="009B2BF2">
        <w:rPr>
          <w:rFonts w:asciiTheme="minorHAnsi" w:hAnsiTheme="minorHAnsi" w:cstheme="minorHAnsi"/>
          <w:sz w:val="20"/>
          <w:szCs w:val="20"/>
        </w:rPr>
        <w:t>advokáta</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získat</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informace</w:t>
      </w:r>
      <w:proofErr w:type="spellEnd"/>
      <w:r w:rsidRPr="009B2BF2">
        <w:rPr>
          <w:rFonts w:asciiTheme="minorHAnsi" w:hAnsiTheme="minorHAnsi" w:cstheme="minorHAnsi"/>
          <w:sz w:val="20"/>
          <w:szCs w:val="20"/>
        </w:rPr>
        <w:t xml:space="preserve"> o tom, </w:t>
      </w:r>
      <w:proofErr w:type="spellStart"/>
      <w:r w:rsidRPr="009B2BF2">
        <w:rPr>
          <w:rFonts w:asciiTheme="minorHAnsi" w:hAnsiTheme="minorHAnsi" w:cstheme="minorHAnsi"/>
          <w:sz w:val="20"/>
          <w:szCs w:val="20"/>
        </w:rPr>
        <w:t>zda</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zpracovává</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jeho</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osobní</w:t>
      </w:r>
      <w:proofErr w:type="spellEnd"/>
      <w:r w:rsidRPr="009B2BF2">
        <w:rPr>
          <w:rFonts w:asciiTheme="minorHAnsi" w:hAnsiTheme="minorHAnsi" w:cstheme="minorHAnsi"/>
          <w:sz w:val="20"/>
          <w:szCs w:val="20"/>
        </w:rPr>
        <w:t xml:space="preserve"> </w:t>
      </w:r>
      <w:proofErr w:type="spellStart"/>
      <w:r w:rsidRPr="009B2BF2">
        <w:rPr>
          <w:rFonts w:asciiTheme="minorHAnsi" w:hAnsiTheme="minorHAnsi" w:cstheme="minorHAnsi"/>
          <w:sz w:val="20"/>
          <w:szCs w:val="20"/>
        </w:rPr>
        <w:t>údaje</w:t>
      </w:r>
      <w:proofErr w:type="spellEnd"/>
      <w:r w:rsidRPr="009B2BF2">
        <w:rPr>
          <w:rFonts w:asciiTheme="minorHAnsi" w:hAnsiTheme="minorHAnsi" w:cstheme="minorHAnsi"/>
          <w:sz w:val="20"/>
          <w:szCs w:val="20"/>
        </w:rPr>
        <w:t xml:space="preserve">, a </w:t>
      </w:r>
      <w:r w:rsidRPr="009B2BF2">
        <w:rPr>
          <w:rFonts w:asciiTheme="minorHAnsi" w:hAnsiTheme="minorHAnsi" w:cstheme="minorHAnsi"/>
          <w:sz w:val="20"/>
          <w:szCs w:val="20"/>
          <w:lang w:val="cs-CZ"/>
        </w:rPr>
        <w:t>pokud ano, o jaké údaje se jedná a jakým způsobem jsou zpracovávány. Klient má také právo, aby správce-advokát bez zbytečného odkladu opravil na jeho žádost nepřesné osobní údaje, které se ho týkají. Neúplné osobní údaje má klient právo kdykoli doplnit.</w:t>
      </w:r>
    </w:p>
    <w:p w14:paraId="2C0AF4B5" w14:textId="77777777" w:rsidR="009B2BF2" w:rsidRPr="009B2BF2" w:rsidRDefault="009B2BF2" w:rsidP="009B2BF2">
      <w:pPr>
        <w:pStyle w:val="Bezmezer"/>
        <w:jc w:val="both"/>
        <w:rPr>
          <w:rFonts w:asciiTheme="minorHAnsi" w:hAnsiTheme="minorHAnsi" w:cstheme="minorHAnsi"/>
          <w:sz w:val="20"/>
          <w:szCs w:val="20"/>
        </w:rPr>
      </w:pPr>
    </w:p>
    <w:p w14:paraId="4E06A1E5"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b/>
          <w:sz w:val="20"/>
          <w:szCs w:val="20"/>
        </w:rPr>
        <w:t>Právo na výmaz</w:t>
      </w:r>
      <w:r w:rsidRPr="009B2BF2">
        <w:rPr>
          <w:rFonts w:asciiTheme="minorHAnsi" w:hAnsiTheme="minorHAnsi" w:cstheme="minorHAnsi"/>
          <w:sz w:val="20"/>
          <w:szCs w:val="20"/>
        </w:rPr>
        <w:t xml:space="preserve"> osobních údajů představuje jinými slovy vyjádřenou povinnost správce – advokáta zlikvidovat osobní údaje, které o klientovi zpracovává, pokud jsou splněny určité podmínky a klient o to požádá.</w:t>
      </w:r>
    </w:p>
    <w:p w14:paraId="6F7DBBE2"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sz w:val="20"/>
          <w:szCs w:val="20"/>
        </w:rPr>
        <w:t xml:space="preserve">Klient má </w:t>
      </w:r>
      <w:r w:rsidRPr="009B2BF2">
        <w:rPr>
          <w:rFonts w:asciiTheme="minorHAnsi" w:hAnsiTheme="minorHAnsi" w:cstheme="minorHAnsi"/>
          <w:b/>
          <w:sz w:val="20"/>
          <w:szCs w:val="20"/>
        </w:rPr>
        <w:t>právo, aby správce</w:t>
      </w:r>
      <w:r w:rsidRPr="009B2BF2">
        <w:rPr>
          <w:rFonts w:asciiTheme="minorHAnsi" w:hAnsiTheme="minorHAnsi" w:cstheme="minorHAnsi"/>
          <w:sz w:val="20"/>
          <w:szCs w:val="20"/>
        </w:rPr>
        <w:t xml:space="preserve"> – advokát v určitých případech </w:t>
      </w:r>
      <w:r w:rsidRPr="009B2BF2">
        <w:rPr>
          <w:rFonts w:asciiTheme="minorHAnsi" w:hAnsiTheme="minorHAnsi" w:cstheme="minorHAnsi"/>
          <w:b/>
          <w:sz w:val="20"/>
          <w:szCs w:val="20"/>
        </w:rPr>
        <w:t>omezil zpracování</w:t>
      </w:r>
      <w:r w:rsidRPr="009B2BF2">
        <w:rPr>
          <w:rFonts w:asciiTheme="minorHAnsi" w:hAnsiTheme="minorHAnsi" w:cstheme="minorHAnsi"/>
          <w:sz w:val="20"/>
          <w:szCs w:val="20"/>
        </w:rPr>
        <w:t xml:space="preserve"> jeho osobních údajů. Proti zpracování, které je založeno na oprávněných zájmech správce – advokáta, třetí strany nebo je nezbytné pro splnění úkolu prováděného ve veřejném zájmu nebo při výkonu veřejné moci, má klient </w:t>
      </w:r>
      <w:r w:rsidRPr="009B2BF2">
        <w:rPr>
          <w:rFonts w:asciiTheme="minorHAnsi" w:hAnsiTheme="minorHAnsi" w:cstheme="minorHAnsi"/>
          <w:b/>
          <w:sz w:val="20"/>
          <w:szCs w:val="20"/>
        </w:rPr>
        <w:t>právo</w:t>
      </w:r>
      <w:r w:rsidRPr="009B2BF2">
        <w:rPr>
          <w:rFonts w:asciiTheme="minorHAnsi" w:hAnsiTheme="minorHAnsi" w:cstheme="minorHAnsi"/>
          <w:sz w:val="20"/>
          <w:szCs w:val="20"/>
        </w:rPr>
        <w:t xml:space="preserve"> kdykoli </w:t>
      </w:r>
      <w:r w:rsidRPr="009B2BF2">
        <w:rPr>
          <w:rFonts w:asciiTheme="minorHAnsi" w:hAnsiTheme="minorHAnsi" w:cstheme="minorHAnsi"/>
          <w:b/>
          <w:sz w:val="20"/>
          <w:szCs w:val="20"/>
        </w:rPr>
        <w:t>vznést námitku</w:t>
      </w:r>
      <w:r w:rsidRPr="009B2BF2">
        <w:rPr>
          <w:rFonts w:asciiTheme="minorHAnsi" w:hAnsiTheme="minorHAnsi" w:cstheme="minorHAnsi"/>
          <w:sz w:val="20"/>
          <w:szCs w:val="20"/>
        </w:rPr>
        <w:t>.</w:t>
      </w:r>
    </w:p>
    <w:p w14:paraId="459DCA4F"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b/>
          <w:sz w:val="20"/>
          <w:szCs w:val="20"/>
        </w:rPr>
        <w:t>Právo na přenositelnost</w:t>
      </w:r>
      <w:r w:rsidRPr="009B2BF2">
        <w:rPr>
          <w:rFonts w:asciiTheme="minorHAnsi" w:hAnsiTheme="minorHAnsi" w:cstheme="minorHAnsi"/>
          <w:sz w:val="20"/>
          <w:szCs w:val="20"/>
        </w:rPr>
        <w:t xml:space="preserve"> údajů dává klientovi možnost získat osobní údaje, které správci poskytl, v běžném a strojově čitelném formátu. Tyto údaje může následně předat jinému správci, nebo pokud je to technicky možné, žádat, aby si je správci předali mezi sebou.</w:t>
      </w:r>
    </w:p>
    <w:p w14:paraId="51670041"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sz w:val="20"/>
          <w:szCs w:val="20"/>
        </w:rPr>
        <w:t>Právo kdykoli odvolat souhlas se zpracováním osobních údajů se neuplatní, jelikož osobní údaje klienta jsou zpracovávány z důvodu plnění smlouvy uzavřené s klientem, nikoli na základě souhlasu se zpracováním.</w:t>
      </w:r>
    </w:p>
    <w:p w14:paraId="7781A95B"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sz w:val="20"/>
          <w:szCs w:val="20"/>
        </w:rPr>
        <w:t xml:space="preserve">V případě, že bude klient jakkoli nespokojen se zpracováním svých osobních údajů prováděné správcem – advokátem, může podat stížnost přímo jemu, nebo </w:t>
      </w:r>
      <w:r w:rsidRPr="009B2BF2">
        <w:rPr>
          <w:rFonts w:asciiTheme="minorHAnsi" w:hAnsiTheme="minorHAnsi" w:cstheme="minorHAnsi"/>
          <w:b/>
          <w:sz w:val="20"/>
          <w:szCs w:val="20"/>
        </w:rPr>
        <w:t>se obrátit na Úřad pro ochranu osobních údajů.</w:t>
      </w:r>
    </w:p>
    <w:p w14:paraId="444B0FE7" w14:textId="77777777" w:rsidR="009B2BF2" w:rsidRPr="009B2BF2" w:rsidRDefault="009B2BF2" w:rsidP="009B2BF2">
      <w:pPr>
        <w:pStyle w:val="Bodytext3PRK"/>
        <w:ind w:left="0"/>
        <w:rPr>
          <w:rFonts w:asciiTheme="minorHAnsi" w:hAnsiTheme="minorHAnsi" w:cstheme="minorHAnsi"/>
          <w:sz w:val="20"/>
          <w:szCs w:val="20"/>
        </w:rPr>
      </w:pPr>
      <w:r w:rsidRPr="009B2BF2">
        <w:rPr>
          <w:rFonts w:asciiTheme="minorHAnsi" w:hAnsiTheme="minorHAnsi" w:cstheme="minorHAnsi"/>
          <w:sz w:val="20"/>
          <w:szCs w:val="20"/>
        </w:rPr>
        <w:t>Více informací o právech klienta je k dispozici na internetových stránkách Úřadu pro ochranu osobních údajů. (</w:t>
      </w:r>
      <w:hyperlink r:id="rId8" w:history="1">
        <w:r w:rsidRPr="009B2BF2">
          <w:rPr>
            <w:rStyle w:val="Hypertextovodkaz"/>
            <w:rFonts w:asciiTheme="minorHAnsi" w:hAnsiTheme="minorHAnsi" w:cstheme="minorHAnsi"/>
            <w:sz w:val="20"/>
            <w:szCs w:val="20"/>
          </w:rPr>
          <w:t>https://www.uoou.cz/6-prava-subjektu-udaj/d-27276</w:t>
        </w:r>
      </w:hyperlink>
      <w:r w:rsidRPr="009B2BF2">
        <w:rPr>
          <w:rFonts w:asciiTheme="minorHAnsi" w:hAnsiTheme="minorHAnsi" w:cstheme="minorHAnsi"/>
          <w:sz w:val="20"/>
          <w:szCs w:val="20"/>
        </w:rPr>
        <w:t>)</w:t>
      </w:r>
    </w:p>
    <w:p w14:paraId="79B06BE7" w14:textId="2FD6DFC4" w:rsidR="00B83ECB" w:rsidRPr="00A047A8" w:rsidRDefault="00B83ECB" w:rsidP="00A047A8">
      <w:pPr>
        <w:tabs>
          <w:tab w:val="center" w:pos="1701"/>
          <w:tab w:val="left" w:pos="5670"/>
          <w:tab w:val="center" w:pos="7230"/>
          <w:tab w:val="right" w:pos="9072"/>
        </w:tabs>
        <w:spacing w:line="276" w:lineRule="auto"/>
        <w:ind w:left="284" w:right="141"/>
        <w:jc w:val="both"/>
        <w:rPr>
          <w:rFonts w:asciiTheme="minorHAnsi" w:hAnsiTheme="minorHAnsi" w:cstheme="minorHAnsi"/>
          <w:sz w:val="20"/>
          <w:szCs w:val="20"/>
        </w:rPr>
      </w:pPr>
    </w:p>
    <w:sectPr w:rsidR="00B83ECB" w:rsidRPr="00A047A8" w:rsidSect="00A70A9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7" w:right="1417" w:bottom="1417" w:left="1417" w:header="709" w:footer="38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2A32" w14:textId="77777777" w:rsidR="00F94BFF" w:rsidRDefault="00F94BFF" w:rsidP="00014576">
      <w:r>
        <w:separator/>
      </w:r>
    </w:p>
  </w:endnote>
  <w:endnote w:type="continuationSeparator" w:id="0">
    <w:p w14:paraId="373DCD03" w14:textId="77777777" w:rsidR="00F94BFF" w:rsidRDefault="00F94BFF" w:rsidP="0001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TES FHT Standard">
    <w:altName w:val="Calibri"/>
    <w:charset w:val="EE"/>
    <w:family w:val="swiss"/>
    <w:pitch w:val="variable"/>
    <w:sig w:usb0="8000008F" w:usb1="10002042"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670F" w14:textId="77777777" w:rsidR="00A70A95" w:rsidRDefault="00A70A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908193"/>
      <w:docPartObj>
        <w:docPartGallery w:val="Page Numbers (Bottom of Page)"/>
        <w:docPartUnique/>
      </w:docPartObj>
    </w:sdtPr>
    <w:sdtEndPr>
      <w:rPr>
        <w:rFonts w:asciiTheme="minorHAnsi" w:hAnsiTheme="minorHAnsi"/>
        <w:sz w:val="16"/>
        <w:szCs w:val="16"/>
      </w:rPr>
    </w:sdtEndPr>
    <w:sdtContent>
      <w:p w14:paraId="5C2986FC" w14:textId="0B30F916" w:rsidR="00127F09" w:rsidRPr="00127F09" w:rsidRDefault="00127F09" w:rsidP="00127F09">
        <w:pPr>
          <w:pStyle w:val="Zpat"/>
          <w:tabs>
            <w:tab w:val="clear" w:pos="9072"/>
            <w:tab w:val="right" w:pos="10348"/>
          </w:tabs>
          <w:ind w:left="4824" w:firstLine="5382"/>
          <w:rPr>
            <w:rFonts w:asciiTheme="minorHAnsi" w:hAnsiTheme="minorHAnsi"/>
            <w:sz w:val="16"/>
            <w:szCs w:val="16"/>
          </w:rPr>
        </w:pPr>
        <w:r w:rsidRPr="00127F09">
          <w:rPr>
            <w:rFonts w:asciiTheme="minorHAnsi" w:hAnsiTheme="minorHAnsi"/>
            <w:color w:val="A6A6A6" w:themeColor="background1" w:themeShade="A6"/>
            <w:sz w:val="16"/>
            <w:szCs w:val="16"/>
          </w:rPr>
          <w:t>-</w:t>
        </w:r>
        <w:r w:rsidRPr="00127F09">
          <w:rPr>
            <w:rFonts w:asciiTheme="minorHAnsi" w:hAnsiTheme="minorHAnsi"/>
            <w:color w:val="A6A6A6" w:themeColor="background1" w:themeShade="A6"/>
            <w:sz w:val="16"/>
            <w:szCs w:val="16"/>
          </w:rPr>
          <w:fldChar w:fldCharType="begin"/>
        </w:r>
        <w:r w:rsidRPr="00127F09">
          <w:rPr>
            <w:rFonts w:asciiTheme="minorHAnsi" w:hAnsiTheme="minorHAnsi"/>
            <w:color w:val="A6A6A6" w:themeColor="background1" w:themeShade="A6"/>
            <w:sz w:val="16"/>
            <w:szCs w:val="16"/>
          </w:rPr>
          <w:instrText>PAGE   \* MERGEFORMAT</w:instrText>
        </w:r>
        <w:r w:rsidRPr="00127F09">
          <w:rPr>
            <w:rFonts w:asciiTheme="minorHAnsi" w:hAnsiTheme="minorHAnsi"/>
            <w:color w:val="A6A6A6" w:themeColor="background1" w:themeShade="A6"/>
            <w:sz w:val="16"/>
            <w:szCs w:val="16"/>
          </w:rPr>
          <w:fldChar w:fldCharType="separate"/>
        </w:r>
        <w:r w:rsidRPr="00127F09">
          <w:rPr>
            <w:rFonts w:asciiTheme="minorHAnsi" w:hAnsiTheme="minorHAnsi"/>
            <w:color w:val="A6A6A6" w:themeColor="background1" w:themeShade="A6"/>
            <w:sz w:val="16"/>
            <w:szCs w:val="16"/>
          </w:rPr>
          <w:t>2</w:t>
        </w:r>
        <w:r w:rsidRPr="00127F09">
          <w:rPr>
            <w:rFonts w:asciiTheme="minorHAnsi" w:hAnsiTheme="minorHAnsi"/>
            <w:color w:val="A6A6A6" w:themeColor="background1" w:themeShade="A6"/>
            <w:sz w:val="16"/>
            <w:szCs w:val="16"/>
          </w:rPr>
          <w:fldChar w:fldCharType="end"/>
        </w:r>
        <w:r w:rsidRPr="00127F09">
          <w:rPr>
            <w:rFonts w:asciiTheme="minorHAnsi" w:hAnsiTheme="minorHAnsi"/>
            <w:color w:val="A6A6A6" w:themeColor="background1" w:themeShade="A6"/>
            <w:sz w:val="16"/>
            <w:szCs w:val="16"/>
          </w:rPr>
          <w:t>-</w:t>
        </w:r>
      </w:p>
    </w:sdtContent>
  </w:sdt>
  <w:p w14:paraId="659D2D89" w14:textId="77777777" w:rsidR="00F74ED6" w:rsidRDefault="00F74ED6" w:rsidP="005771D8">
    <w:pPr>
      <w:pStyle w:val="Zkladntext"/>
      <w:spacing w:before="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0F5A" w14:textId="77777777" w:rsidR="00A70A95" w:rsidRDefault="00A70A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90A7" w14:textId="77777777" w:rsidR="00F94BFF" w:rsidRDefault="00F94BFF" w:rsidP="00014576">
      <w:r>
        <w:separator/>
      </w:r>
    </w:p>
  </w:footnote>
  <w:footnote w:type="continuationSeparator" w:id="0">
    <w:p w14:paraId="6D3FF3C9" w14:textId="77777777" w:rsidR="00F94BFF" w:rsidRDefault="00F94BFF" w:rsidP="0001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181B" w14:textId="77777777" w:rsidR="00A70A95" w:rsidRDefault="00A70A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9F60" w14:textId="01D1C51E" w:rsidR="00F74ED6" w:rsidRDefault="000E2370">
    <w:pPr>
      <w:pStyle w:val="Zhlav"/>
    </w:pPr>
    <w:r>
      <w:rPr>
        <w:noProof/>
      </w:rPr>
      <w:drawing>
        <wp:anchor distT="0" distB="0" distL="114300" distR="114300" simplePos="0" relativeHeight="251657728" behindDoc="1" locked="0" layoutInCell="1" allowOverlap="1" wp14:anchorId="75E58B4F" wp14:editId="7F1DA951">
          <wp:simplePos x="0" y="0"/>
          <wp:positionH relativeFrom="column">
            <wp:posOffset>-892175</wp:posOffset>
          </wp:positionH>
          <wp:positionV relativeFrom="paragraph">
            <wp:posOffset>-450215</wp:posOffset>
          </wp:positionV>
          <wp:extent cx="7560310" cy="10690225"/>
          <wp:effectExtent l="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3F11" w14:textId="77777777" w:rsidR="00A70A95" w:rsidRDefault="00A70A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DC"/>
    <w:multiLevelType w:val="hybridMultilevel"/>
    <w:tmpl w:val="F03CF630"/>
    <w:lvl w:ilvl="0" w:tplc="1E8071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075BA"/>
    <w:multiLevelType w:val="hybridMultilevel"/>
    <w:tmpl w:val="7E5E38FC"/>
    <w:lvl w:ilvl="0" w:tplc="BD32A236">
      <w:start w:val="5"/>
      <w:numFmt w:val="bullet"/>
      <w:lvlText w:val="-"/>
      <w:lvlJc w:val="left"/>
      <w:pPr>
        <w:ind w:left="720" w:hanging="360"/>
      </w:pPr>
      <w:rPr>
        <w:rFonts w:ascii="COMTES FHT Standard" w:eastAsia="COMTES FHT Standard" w:hAnsi="COMTES FHT Standard" w:cs="COMTES FHT Standar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605812"/>
    <w:multiLevelType w:val="hybridMultilevel"/>
    <w:tmpl w:val="F7787B1E"/>
    <w:lvl w:ilvl="0" w:tplc="1E8071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DE6CCA"/>
    <w:multiLevelType w:val="hybridMultilevel"/>
    <w:tmpl w:val="B70A7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75E02"/>
    <w:multiLevelType w:val="hybridMultilevel"/>
    <w:tmpl w:val="5C661A38"/>
    <w:lvl w:ilvl="0" w:tplc="1E8071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1F7F0B"/>
    <w:multiLevelType w:val="hybridMultilevel"/>
    <w:tmpl w:val="271CD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367559D6"/>
    <w:multiLevelType w:val="hybridMultilevel"/>
    <w:tmpl w:val="72CED154"/>
    <w:lvl w:ilvl="0" w:tplc="1E8071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3C3309"/>
    <w:multiLevelType w:val="hybridMultilevel"/>
    <w:tmpl w:val="665EA66E"/>
    <w:lvl w:ilvl="0" w:tplc="363ADEF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30E95"/>
    <w:multiLevelType w:val="hybridMultilevel"/>
    <w:tmpl w:val="451A5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755E95"/>
    <w:multiLevelType w:val="multilevel"/>
    <w:tmpl w:val="92E27346"/>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709" w:firstLine="0"/>
      </w:pPr>
      <w:rPr>
        <w:rFonts w:hint="default"/>
      </w:rPr>
    </w:lvl>
    <w:lvl w:ilvl="2">
      <w:start w:val="1"/>
      <w:numFmt w:val="bullet"/>
      <w:lvlText w:val=""/>
      <w:lvlJc w:val="left"/>
      <w:pPr>
        <w:ind w:left="1418" w:firstLine="0"/>
      </w:pPr>
      <w:rPr>
        <w:rFonts w:ascii="Symbol" w:hAnsi="Symbol"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203451097">
    <w:abstractNumId w:val="8"/>
  </w:num>
  <w:num w:numId="2" w16cid:durableId="1622304644">
    <w:abstractNumId w:val="9"/>
  </w:num>
  <w:num w:numId="3" w16cid:durableId="1285890482">
    <w:abstractNumId w:val="0"/>
  </w:num>
  <w:num w:numId="4" w16cid:durableId="210463300">
    <w:abstractNumId w:val="4"/>
  </w:num>
  <w:num w:numId="5" w16cid:durableId="1799182307">
    <w:abstractNumId w:val="3"/>
  </w:num>
  <w:num w:numId="6" w16cid:durableId="166481092">
    <w:abstractNumId w:val="2"/>
  </w:num>
  <w:num w:numId="7" w16cid:durableId="180317218">
    <w:abstractNumId w:val="7"/>
  </w:num>
  <w:num w:numId="8" w16cid:durableId="1517764451">
    <w:abstractNumId w:val="6"/>
  </w:num>
  <w:num w:numId="9" w16cid:durableId="1599825921">
    <w:abstractNumId w:val="10"/>
  </w:num>
  <w:num w:numId="10" w16cid:durableId="883911349">
    <w:abstractNumId w:val="5"/>
  </w:num>
  <w:num w:numId="11" w16cid:durableId="1473912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EC"/>
    <w:rsid w:val="00014576"/>
    <w:rsid w:val="00056A69"/>
    <w:rsid w:val="0008668F"/>
    <w:rsid w:val="000E2370"/>
    <w:rsid w:val="000E6AF0"/>
    <w:rsid w:val="00127F09"/>
    <w:rsid w:val="001D0827"/>
    <w:rsid w:val="001F2174"/>
    <w:rsid w:val="001F4E98"/>
    <w:rsid w:val="00234630"/>
    <w:rsid w:val="002B67EC"/>
    <w:rsid w:val="002C48E9"/>
    <w:rsid w:val="002E2D5A"/>
    <w:rsid w:val="002E489A"/>
    <w:rsid w:val="003C696A"/>
    <w:rsid w:val="003D45F0"/>
    <w:rsid w:val="004E464A"/>
    <w:rsid w:val="005771D8"/>
    <w:rsid w:val="00592064"/>
    <w:rsid w:val="005B4C11"/>
    <w:rsid w:val="005F36DA"/>
    <w:rsid w:val="006151D2"/>
    <w:rsid w:val="006747A5"/>
    <w:rsid w:val="006A0B8C"/>
    <w:rsid w:val="006A1482"/>
    <w:rsid w:val="006C3F46"/>
    <w:rsid w:val="00705A83"/>
    <w:rsid w:val="00720231"/>
    <w:rsid w:val="007221C1"/>
    <w:rsid w:val="007761FE"/>
    <w:rsid w:val="007E6170"/>
    <w:rsid w:val="00892AEC"/>
    <w:rsid w:val="00893D7B"/>
    <w:rsid w:val="008A3282"/>
    <w:rsid w:val="00916409"/>
    <w:rsid w:val="009B2BF2"/>
    <w:rsid w:val="009E676A"/>
    <w:rsid w:val="00A047A8"/>
    <w:rsid w:val="00A70A95"/>
    <w:rsid w:val="00A77ACA"/>
    <w:rsid w:val="00A876E7"/>
    <w:rsid w:val="00A9492A"/>
    <w:rsid w:val="00AE27BF"/>
    <w:rsid w:val="00AF4D97"/>
    <w:rsid w:val="00B009C4"/>
    <w:rsid w:val="00B67CCC"/>
    <w:rsid w:val="00B83ECB"/>
    <w:rsid w:val="00BA37C6"/>
    <w:rsid w:val="00BF7D1D"/>
    <w:rsid w:val="00C22654"/>
    <w:rsid w:val="00C73FEE"/>
    <w:rsid w:val="00C95FB9"/>
    <w:rsid w:val="00CC70EF"/>
    <w:rsid w:val="00D54953"/>
    <w:rsid w:val="00D721D4"/>
    <w:rsid w:val="00DC0AA2"/>
    <w:rsid w:val="00DF7039"/>
    <w:rsid w:val="00E650BC"/>
    <w:rsid w:val="00EC7A6D"/>
    <w:rsid w:val="00EF115D"/>
    <w:rsid w:val="00F06503"/>
    <w:rsid w:val="00F2040C"/>
    <w:rsid w:val="00F6079C"/>
    <w:rsid w:val="00F74ED6"/>
    <w:rsid w:val="00F77FF6"/>
    <w:rsid w:val="00F94BFF"/>
    <w:rsid w:val="00FC4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8CC9"/>
  <w15:chartTrackingRefBased/>
  <w15:docId w15:val="{6414F96B-B372-47AB-AB98-EA7E5715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7E6170"/>
    <w:pPr>
      <w:widowControl w:val="0"/>
      <w:autoSpaceDE w:val="0"/>
      <w:autoSpaceDN w:val="0"/>
    </w:pPr>
    <w:rPr>
      <w:rFonts w:ascii="COMTES FHT Standard" w:eastAsia="COMTES FHT Standard" w:hAnsi="COMTES FHT Standard" w:cs="COMTES FHT Standard"/>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7E61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7E6170"/>
    <w:rPr>
      <w:sz w:val="13"/>
      <w:szCs w:val="13"/>
    </w:rPr>
  </w:style>
  <w:style w:type="paragraph" w:styleId="Odstavecseseznamem">
    <w:name w:val="List Paragraph"/>
    <w:basedOn w:val="Normln"/>
    <w:uiPriority w:val="34"/>
    <w:qFormat/>
    <w:rsid w:val="007E6170"/>
  </w:style>
  <w:style w:type="paragraph" w:customStyle="1" w:styleId="TableParagraph">
    <w:name w:val="Table Paragraph"/>
    <w:basedOn w:val="Normln"/>
    <w:uiPriority w:val="1"/>
    <w:qFormat/>
    <w:rsid w:val="007E6170"/>
  </w:style>
  <w:style w:type="paragraph" w:styleId="Zhlav">
    <w:name w:val="header"/>
    <w:basedOn w:val="Normln"/>
    <w:link w:val="ZhlavChar"/>
    <w:uiPriority w:val="99"/>
    <w:unhideWhenUsed/>
    <w:rsid w:val="00014576"/>
    <w:pPr>
      <w:tabs>
        <w:tab w:val="center" w:pos="4536"/>
        <w:tab w:val="right" w:pos="9072"/>
      </w:tabs>
    </w:pPr>
  </w:style>
  <w:style w:type="character" w:customStyle="1" w:styleId="ZhlavChar">
    <w:name w:val="Záhlaví Char"/>
    <w:basedOn w:val="Standardnpsmoodstavce"/>
    <w:link w:val="Zhlav"/>
    <w:uiPriority w:val="99"/>
    <w:rsid w:val="00014576"/>
    <w:rPr>
      <w:rFonts w:ascii="COMTES FHT Standard" w:eastAsia="COMTES FHT Standard" w:hAnsi="COMTES FHT Standard" w:cs="COMTES FHT Standard"/>
    </w:rPr>
  </w:style>
  <w:style w:type="paragraph" w:styleId="Zpat">
    <w:name w:val="footer"/>
    <w:basedOn w:val="Normln"/>
    <w:link w:val="ZpatChar"/>
    <w:uiPriority w:val="99"/>
    <w:unhideWhenUsed/>
    <w:rsid w:val="00014576"/>
    <w:pPr>
      <w:tabs>
        <w:tab w:val="center" w:pos="4536"/>
        <w:tab w:val="right" w:pos="9072"/>
      </w:tabs>
    </w:pPr>
  </w:style>
  <w:style w:type="character" w:customStyle="1" w:styleId="ZpatChar">
    <w:name w:val="Zápatí Char"/>
    <w:basedOn w:val="Standardnpsmoodstavce"/>
    <w:link w:val="Zpat"/>
    <w:uiPriority w:val="99"/>
    <w:rsid w:val="00014576"/>
    <w:rPr>
      <w:rFonts w:ascii="COMTES FHT Standard" w:eastAsia="COMTES FHT Standard" w:hAnsi="COMTES FHT Standard" w:cs="COMTES FHT Standard"/>
    </w:rPr>
  </w:style>
  <w:style w:type="paragraph" w:styleId="Textbubliny">
    <w:name w:val="Balloon Text"/>
    <w:basedOn w:val="Normln"/>
    <w:link w:val="TextbublinyChar"/>
    <w:uiPriority w:val="99"/>
    <w:semiHidden/>
    <w:unhideWhenUsed/>
    <w:rsid w:val="00014576"/>
    <w:rPr>
      <w:rFonts w:ascii="Tahoma" w:hAnsi="Tahoma" w:cs="Tahoma"/>
      <w:sz w:val="16"/>
      <w:szCs w:val="16"/>
    </w:rPr>
  </w:style>
  <w:style w:type="character" w:customStyle="1" w:styleId="TextbublinyChar">
    <w:name w:val="Text bubliny Char"/>
    <w:basedOn w:val="Standardnpsmoodstavce"/>
    <w:link w:val="Textbubliny"/>
    <w:uiPriority w:val="99"/>
    <w:semiHidden/>
    <w:rsid w:val="00014576"/>
    <w:rPr>
      <w:rFonts w:ascii="Tahoma" w:eastAsia="COMTES FHT Standard" w:hAnsi="Tahoma" w:cs="Tahoma"/>
      <w:sz w:val="16"/>
      <w:szCs w:val="16"/>
    </w:rPr>
  </w:style>
  <w:style w:type="paragraph" w:styleId="Bezmezer">
    <w:name w:val="No Spacing"/>
    <w:aliases w:val="No Spacing (Czech Tourism)"/>
    <w:link w:val="BezmezerChar"/>
    <w:uiPriority w:val="1"/>
    <w:qFormat/>
    <w:rsid w:val="00A70A95"/>
    <w:pPr>
      <w:widowControl w:val="0"/>
      <w:autoSpaceDE w:val="0"/>
      <w:autoSpaceDN w:val="0"/>
    </w:pPr>
    <w:rPr>
      <w:rFonts w:ascii="COMTES FHT Standard" w:eastAsia="COMTES FHT Standard" w:hAnsi="COMTES FHT Standard" w:cs="COMTES FHT Standard"/>
      <w:sz w:val="22"/>
      <w:szCs w:val="22"/>
      <w:lang w:val="en-US" w:eastAsia="en-US"/>
    </w:rPr>
  </w:style>
  <w:style w:type="paragraph" w:styleId="Textpoznpodarou">
    <w:name w:val="footnote text"/>
    <w:basedOn w:val="Normln"/>
    <w:link w:val="TextpoznpodarouChar"/>
    <w:uiPriority w:val="99"/>
    <w:semiHidden/>
    <w:unhideWhenUsed/>
    <w:rsid w:val="00AF4D97"/>
    <w:pPr>
      <w:widowControl/>
      <w:autoSpaceDE/>
      <w:autoSpaceDN/>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F4D97"/>
    <w:rPr>
      <w:lang w:eastAsia="en-US"/>
    </w:rPr>
  </w:style>
  <w:style w:type="character" w:styleId="Znakapoznpodarou">
    <w:name w:val="footnote reference"/>
    <w:uiPriority w:val="99"/>
    <w:semiHidden/>
    <w:unhideWhenUsed/>
    <w:rsid w:val="00AF4D97"/>
    <w:rPr>
      <w:vertAlign w:val="superscript"/>
    </w:rPr>
  </w:style>
  <w:style w:type="character" w:customStyle="1" w:styleId="ZkladntextChar">
    <w:name w:val="Základní text Char"/>
    <w:basedOn w:val="Standardnpsmoodstavce"/>
    <w:link w:val="Zkladntext"/>
    <w:uiPriority w:val="1"/>
    <w:rsid w:val="006747A5"/>
    <w:rPr>
      <w:rFonts w:ascii="COMTES FHT Standard" w:eastAsia="COMTES FHT Standard" w:hAnsi="COMTES FHT Standard" w:cs="COMTES FHT Standard"/>
      <w:sz w:val="13"/>
      <w:szCs w:val="13"/>
      <w:lang w:val="en-US" w:eastAsia="en-US"/>
    </w:rPr>
  </w:style>
  <w:style w:type="character" w:customStyle="1" w:styleId="BezmezerChar">
    <w:name w:val="Bez mezer Char"/>
    <w:aliases w:val="No Spacing (Czech Tourism) Char"/>
    <w:link w:val="Bezmezer"/>
    <w:uiPriority w:val="1"/>
    <w:locked/>
    <w:rsid w:val="000E6AF0"/>
    <w:rPr>
      <w:rFonts w:ascii="COMTES FHT Standard" w:eastAsia="COMTES FHT Standard" w:hAnsi="COMTES FHT Standard" w:cs="COMTES FHT Standard"/>
      <w:sz w:val="22"/>
      <w:szCs w:val="22"/>
      <w:lang w:val="en-US" w:eastAsia="en-US"/>
    </w:rPr>
  </w:style>
  <w:style w:type="paragraph" w:customStyle="1" w:styleId="Bodytext5PRK">
    <w:name w:val="Body text 5 PRK"/>
    <w:basedOn w:val="Normln"/>
    <w:uiPriority w:val="6"/>
    <w:rsid w:val="009B2BF2"/>
    <w:pPr>
      <w:widowControl/>
      <w:numPr>
        <w:ilvl w:val="4"/>
        <w:numId w:val="8"/>
      </w:numPr>
      <w:autoSpaceDE/>
      <w:autoSpaceDN/>
      <w:spacing w:after="240"/>
      <w:jc w:val="both"/>
      <w:outlineLvl w:val="4"/>
    </w:pPr>
    <w:rPr>
      <w:rFonts w:ascii="Arial" w:eastAsia="Times New Roman" w:hAnsi="Arial" w:cs="Times New Roman"/>
      <w:szCs w:val="20"/>
      <w:lang w:eastAsia="cs-CZ"/>
    </w:rPr>
  </w:style>
  <w:style w:type="paragraph" w:customStyle="1" w:styleId="Bodytext4PRK">
    <w:name w:val="Body text 4 PRK"/>
    <w:basedOn w:val="Normln"/>
    <w:uiPriority w:val="6"/>
    <w:rsid w:val="009B2BF2"/>
    <w:pPr>
      <w:widowControl/>
      <w:numPr>
        <w:ilvl w:val="3"/>
        <w:numId w:val="8"/>
      </w:numPr>
      <w:autoSpaceDE/>
      <w:autoSpaceDN/>
      <w:spacing w:after="240"/>
      <w:jc w:val="both"/>
      <w:outlineLvl w:val="3"/>
    </w:pPr>
    <w:rPr>
      <w:rFonts w:ascii="Arial" w:eastAsia="Times New Roman" w:hAnsi="Arial" w:cs="Times New Roman"/>
      <w:lang w:eastAsia="cs-CZ"/>
    </w:rPr>
  </w:style>
  <w:style w:type="paragraph" w:customStyle="1" w:styleId="Bodytext1PRK">
    <w:name w:val="Body text 1 PRK"/>
    <w:basedOn w:val="Normln"/>
    <w:uiPriority w:val="5"/>
    <w:qFormat/>
    <w:rsid w:val="009B2BF2"/>
    <w:pPr>
      <w:widowControl/>
      <w:numPr>
        <w:numId w:val="8"/>
      </w:numPr>
      <w:autoSpaceDE/>
      <w:autoSpaceDN/>
      <w:spacing w:after="240"/>
      <w:jc w:val="both"/>
      <w:outlineLvl w:val="0"/>
    </w:pPr>
    <w:rPr>
      <w:rFonts w:ascii="Arial" w:eastAsia="Times New Roman" w:hAnsi="Arial" w:cs="Times New Roman"/>
      <w:lang w:eastAsia="cs-CZ"/>
    </w:rPr>
  </w:style>
  <w:style w:type="paragraph" w:customStyle="1" w:styleId="Bodytext2PRK">
    <w:name w:val="Body text 2 PRK"/>
    <w:basedOn w:val="Normln"/>
    <w:uiPriority w:val="6"/>
    <w:rsid w:val="009B2BF2"/>
    <w:pPr>
      <w:widowControl/>
      <w:numPr>
        <w:ilvl w:val="1"/>
        <w:numId w:val="8"/>
      </w:numPr>
      <w:autoSpaceDE/>
      <w:autoSpaceDN/>
      <w:spacing w:after="240"/>
      <w:jc w:val="both"/>
      <w:outlineLvl w:val="1"/>
    </w:pPr>
    <w:rPr>
      <w:rFonts w:ascii="Arial" w:eastAsia="Times New Roman" w:hAnsi="Arial" w:cs="Times New Roman"/>
      <w:lang w:eastAsia="cs-CZ"/>
    </w:rPr>
  </w:style>
  <w:style w:type="paragraph" w:customStyle="1" w:styleId="Bodytext3PRK">
    <w:name w:val="Body text 3 PRK"/>
    <w:basedOn w:val="Normln"/>
    <w:uiPriority w:val="6"/>
    <w:rsid w:val="009B2BF2"/>
    <w:pPr>
      <w:widowControl/>
      <w:numPr>
        <w:ilvl w:val="2"/>
        <w:numId w:val="8"/>
      </w:numPr>
      <w:autoSpaceDE/>
      <w:autoSpaceDN/>
      <w:spacing w:after="240"/>
      <w:jc w:val="both"/>
      <w:outlineLvl w:val="2"/>
    </w:pPr>
    <w:rPr>
      <w:rFonts w:ascii="Arial" w:eastAsia="Times New Roman" w:hAnsi="Arial" w:cs="Times New Roman"/>
      <w:lang w:eastAsia="cs-CZ"/>
    </w:rPr>
  </w:style>
  <w:style w:type="character" w:styleId="Hypertextovodkaz">
    <w:name w:val="Hyperlink"/>
    <w:uiPriority w:val="99"/>
    <w:semiHidden/>
    <w:rsid w:val="009B2BF2"/>
    <w:rPr>
      <w:caps w:val="0"/>
      <w:smallCaps w:val="0"/>
      <w:strike w:val="0"/>
      <w:dstrike w:val="0"/>
      <w:vanish w:val="0"/>
      <w:color w:val="0563C1" w:themeColor="hyperlink"/>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2991">
      <w:bodyDiv w:val="1"/>
      <w:marLeft w:val="0"/>
      <w:marRight w:val="0"/>
      <w:marTop w:val="0"/>
      <w:marBottom w:val="0"/>
      <w:divBdr>
        <w:top w:val="none" w:sz="0" w:space="0" w:color="auto"/>
        <w:left w:val="none" w:sz="0" w:space="0" w:color="auto"/>
        <w:bottom w:val="none" w:sz="0" w:space="0" w:color="auto"/>
        <w:right w:val="none" w:sz="0" w:space="0" w:color="auto"/>
      </w:divBdr>
    </w:div>
    <w:div w:id="126387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ou.cz/6-prava-subjektu-udaj/d-272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_FIRMY_2021\AK%20SVEJKOVSKY\dopisni%20papiry\DOPISNI_PAPIR_AK_Svejkovsk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FA7B3-8183-44D3-A247-9A89D8B7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DOPISNI_PAPIR_AK_Svejkovsky</Template>
  <TotalTime>0</TotalTime>
  <Pages>3</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DOPISNI_PAPIR_AK_Svejkovsky</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DOPISNI_PAPIR_AK_Svejkovsky</dc:title>
  <dc:subject/>
  <dc:creator>SVEJKOVSKÝ &amp; KABELKOVÁ</dc:creator>
  <cp:keywords>SVEJKOVSKÝ &amp; KABELKOVÁ</cp:keywords>
  <cp:lastModifiedBy>Jelínková Šárka</cp:lastModifiedBy>
  <cp:revision>2</cp:revision>
  <cp:lastPrinted>2023-09-11T14:20:00Z</cp:lastPrinted>
  <dcterms:created xsi:type="dcterms:W3CDTF">2023-09-25T06:00:00Z</dcterms:created>
  <dcterms:modified xsi:type="dcterms:W3CDTF">2023-09-25T06:00:00Z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CorelDRAW X5</vt:lpwstr>
  </property>
  <property fmtid="{D5CDD505-2E9C-101B-9397-08002B2CF9AE}" pid="4" name="LastSaved">
    <vt:filetime>2018-09-02T00:00:00Z</vt:filetime>
  </property>
</Properties>
</file>