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798148D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87AB8">
        <w:rPr>
          <w:b/>
          <w:sz w:val="28"/>
          <w:szCs w:val="28"/>
        </w:rPr>
        <w:t>1</w:t>
      </w:r>
    </w:p>
    <w:p w14:paraId="577EF80B" w14:textId="2222D7D6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437B10">
        <w:rPr>
          <w:bCs/>
          <w:sz w:val="20"/>
        </w:rPr>
        <w:t>27.8.2023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3D050EEB" w14:textId="77777777" w:rsidR="00E87AB8" w:rsidRPr="00E87AB8" w:rsidRDefault="00C0216C" w:rsidP="00E87AB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CD0B7B">
        <w:rPr>
          <w:b/>
        </w:rPr>
        <w:t>„</w:t>
      </w:r>
      <w:r w:rsidR="00E87AB8" w:rsidRPr="00E87AB8">
        <w:rPr>
          <w:rFonts w:cs="Arial"/>
          <w:b/>
          <w:bCs/>
        </w:rPr>
        <w:t>ReactEU-98-Cheb_Diagnostická a zdravotnická technika</w:t>
      </w:r>
    </w:p>
    <w:p w14:paraId="6A835AF2" w14:textId="0C2CE06E" w:rsidR="00081B4D" w:rsidRPr="004B32F1" w:rsidRDefault="00E87AB8" w:rsidP="00E87AB8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E87AB8">
        <w:rPr>
          <w:rFonts w:ascii="Arial,Bold" w:hAnsi="Arial,Bold" w:cs="Arial,Bold"/>
          <w:b/>
          <w:bCs/>
          <w:sz w:val="20"/>
        </w:rPr>
        <w:t>č</w:t>
      </w:r>
      <w:r w:rsidRPr="00E87AB8">
        <w:rPr>
          <w:rFonts w:cs="Arial"/>
          <w:b/>
          <w:bCs/>
          <w:sz w:val="20"/>
        </w:rPr>
        <w:t xml:space="preserve">ást </w:t>
      </w:r>
      <w:r w:rsidR="009D3A45" w:rsidRPr="009D3A45">
        <w:rPr>
          <w:rFonts w:cs="Arial"/>
          <w:b/>
          <w:bCs/>
          <w:sz w:val="20"/>
        </w:rPr>
        <w:t>2 – Odsávačka elektrická vč. mobilního stojanu</w:t>
      </w:r>
      <w:r w:rsidR="00C0216C"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24D0F0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D7B93" w:rsidRPr="006D7B93">
        <w:rPr>
          <w:color w:val="auto"/>
        </w:rPr>
        <w:t>XXXXXXXXXX</w:t>
      </w:r>
    </w:p>
    <w:p w14:paraId="47B44C0B" w14:textId="49B1113D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D7B93" w:rsidRPr="006D7B9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F941AD2" w:rsidR="00081B4D" w:rsidRPr="00D82385" w:rsidRDefault="002F25E1" w:rsidP="00450D9A">
      <w:pPr>
        <w:spacing w:after="120"/>
        <w:rPr>
          <w:b/>
        </w:rPr>
      </w:pPr>
      <w:r w:rsidRPr="002F25E1">
        <w:rPr>
          <w:rFonts w:cs="Arial"/>
          <w:b/>
          <w:sz w:val="28"/>
          <w:szCs w:val="28"/>
        </w:rPr>
        <w:t>LHL s.r.o.</w:t>
      </w:r>
    </w:p>
    <w:p w14:paraId="190BBE2D" w14:textId="65B3326E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2F25E1">
        <w:rPr>
          <w:color w:val="auto"/>
        </w:rPr>
        <w:t>Lipová 17/18, Ústí nad Labem 400 10</w:t>
      </w:r>
    </w:p>
    <w:p w14:paraId="728B84DC" w14:textId="0EE6E370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27301800</w:t>
      </w:r>
    </w:p>
    <w:p w14:paraId="6D74D4D2" w14:textId="3C49FCD7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CZ27301800</w:t>
      </w:r>
    </w:p>
    <w:p w14:paraId="36156185" w14:textId="7B87E2B4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6D7B93" w:rsidRPr="006D7B93">
        <w:rPr>
          <w:color w:val="auto"/>
        </w:rPr>
        <w:t>XXXXXXXXXX</w:t>
      </w:r>
    </w:p>
    <w:p w14:paraId="452B9C34" w14:textId="77777777" w:rsidR="006D7B93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D7B93" w:rsidRPr="006D7B93">
        <w:rPr>
          <w:color w:val="auto"/>
        </w:rPr>
        <w:t>XXXXXXXXXX</w:t>
      </w:r>
      <w:r w:rsidR="006D7B93" w:rsidRPr="002F25E1">
        <w:rPr>
          <w:color w:val="auto"/>
        </w:rPr>
        <w:t xml:space="preserve"> </w:t>
      </w:r>
    </w:p>
    <w:p w14:paraId="6E9C4908" w14:textId="19C567CB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Martin Liška, jednatel</w:t>
      </w:r>
    </w:p>
    <w:p w14:paraId="7CAABB1A" w14:textId="77777777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>společnost zapsaná v obchodním rejstříku vedeném Krajským soudem v Ústí nad Labem, oddíl C, vložka</w:t>
      </w:r>
    </w:p>
    <w:p w14:paraId="0E2A77D4" w14:textId="3CD8D6BF" w:rsidR="00081B4D" w:rsidRPr="00D82385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20B756CB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87AB8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E83BC0C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437B10">
        <w:rPr>
          <w:sz w:val="20"/>
        </w:rPr>
        <w:t xml:space="preserve">27.8.2023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„ReactEU-98-Cheb_</w:t>
      </w:r>
      <w:r w:rsidR="00E87AB8">
        <w:rPr>
          <w:b/>
          <w:sz w:val="20"/>
        </w:rPr>
        <w:t xml:space="preserve">Diagnostická a zdravotnická technika – část </w:t>
      </w:r>
      <w:r w:rsidR="00665525" w:rsidRPr="00665525">
        <w:rPr>
          <w:b/>
          <w:sz w:val="20"/>
        </w:rPr>
        <w:t>2 – Odsávačka elektrická vč. mobilního stojanu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0B15003" w:rsidR="005B3E9F" w:rsidRPr="00007950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007950" w:rsidRPr="00007950">
        <w:t>Ústí nad Labem</w:t>
      </w:r>
      <w:r w:rsidR="003B35DB" w:rsidRPr="00007950">
        <w:t xml:space="preserve">, </w:t>
      </w:r>
      <w:r w:rsidR="00171C77" w:rsidRPr="00007950">
        <w:t>dne dle data el. podpisu</w:t>
      </w:r>
    </w:p>
    <w:p w14:paraId="735C7790" w14:textId="77777777" w:rsidR="003D78E4" w:rsidRPr="00007950" w:rsidRDefault="003D78E4" w:rsidP="003B35DB">
      <w:pPr>
        <w:widowControl w:val="0"/>
        <w:jc w:val="both"/>
      </w:pPr>
    </w:p>
    <w:p w14:paraId="6C12ED5D" w14:textId="3905079D" w:rsidR="00687A77" w:rsidRPr="00007950" w:rsidRDefault="00687A77" w:rsidP="00687A77">
      <w:pPr>
        <w:widowControl w:val="0"/>
        <w:jc w:val="both"/>
      </w:pPr>
    </w:p>
    <w:p w14:paraId="1101E37C" w14:textId="1080D089" w:rsidR="00BB2DA3" w:rsidRPr="00007950" w:rsidRDefault="00BB2DA3" w:rsidP="00687A77">
      <w:pPr>
        <w:widowControl w:val="0"/>
        <w:jc w:val="both"/>
      </w:pPr>
    </w:p>
    <w:p w14:paraId="38CCCBFF" w14:textId="77777777" w:rsidR="00BB2DA3" w:rsidRPr="00007950" w:rsidRDefault="00BB2DA3" w:rsidP="00687A77">
      <w:pPr>
        <w:widowControl w:val="0"/>
        <w:jc w:val="both"/>
      </w:pPr>
    </w:p>
    <w:p w14:paraId="5E7D8F82" w14:textId="1AD4F3BA" w:rsidR="00687A77" w:rsidRPr="00007950" w:rsidRDefault="00C06424" w:rsidP="00687A77">
      <w:pPr>
        <w:widowControl w:val="0"/>
        <w:jc w:val="both"/>
      </w:pPr>
      <w:r w:rsidRPr="00007950">
        <w:t>Kupující</w:t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="00687A77" w:rsidRPr="00007950">
        <w:t>Prodávající</w:t>
      </w:r>
    </w:p>
    <w:p w14:paraId="3D63BF1B" w14:textId="77777777" w:rsidR="00404579" w:rsidRPr="00007950" w:rsidRDefault="00404579" w:rsidP="003B35DB">
      <w:pPr>
        <w:widowControl w:val="0"/>
        <w:jc w:val="both"/>
      </w:pPr>
    </w:p>
    <w:p w14:paraId="6AC2CCC5" w14:textId="77777777" w:rsidR="00404579" w:rsidRPr="00007950" w:rsidRDefault="00404579" w:rsidP="003B35DB">
      <w:pPr>
        <w:widowControl w:val="0"/>
        <w:jc w:val="both"/>
      </w:pPr>
    </w:p>
    <w:p w14:paraId="4E3697A7" w14:textId="77777777" w:rsidR="005B3E9F" w:rsidRPr="00007950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007950">
        <w:t>______________________</w:t>
      </w:r>
      <w:r w:rsidRPr="00007950">
        <w:tab/>
      </w:r>
      <w:r w:rsidR="00C06424" w:rsidRPr="00007950">
        <w:tab/>
      </w:r>
      <w:r w:rsidR="00C06424" w:rsidRPr="00007950">
        <w:tab/>
      </w:r>
      <w:r w:rsidR="00C06424" w:rsidRPr="00007950">
        <w:tab/>
      </w:r>
      <w:r w:rsidRPr="00007950">
        <w:t>________________________</w:t>
      </w:r>
    </w:p>
    <w:p w14:paraId="5FC10113" w14:textId="2009767C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007950">
        <w:t>Martin Liška</w:t>
      </w:r>
    </w:p>
    <w:p w14:paraId="0A5310CB" w14:textId="21D31B11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07950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E563" w14:textId="77777777" w:rsidR="00DB66CD" w:rsidRDefault="00DB66CD">
      <w:r>
        <w:separator/>
      </w:r>
    </w:p>
  </w:endnote>
  <w:endnote w:type="continuationSeparator" w:id="0">
    <w:p w14:paraId="6EB65C08" w14:textId="77777777" w:rsidR="00DB66CD" w:rsidRDefault="00DB66CD">
      <w:r>
        <w:continuationSeparator/>
      </w:r>
    </w:p>
  </w:endnote>
  <w:endnote w:type="continuationNotice" w:id="1">
    <w:p w14:paraId="3C4DB036" w14:textId="77777777" w:rsidR="00DB66CD" w:rsidRDefault="00DB6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DC55" w14:textId="77777777" w:rsidR="00DB66CD" w:rsidRDefault="00DB66CD">
      <w:r>
        <w:separator/>
      </w:r>
    </w:p>
  </w:footnote>
  <w:footnote w:type="continuationSeparator" w:id="0">
    <w:p w14:paraId="3FA871EA" w14:textId="77777777" w:rsidR="00DB66CD" w:rsidRDefault="00DB66CD">
      <w:r>
        <w:continuationSeparator/>
      </w:r>
    </w:p>
  </w:footnote>
  <w:footnote w:type="continuationNotice" w:id="1">
    <w:p w14:paraId="3E948AC8" w14:textId="77777777" w:rsidR="00DB66CD" w:rsidRDefault="00DB6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0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131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5E1"/>
    <w:rsid w:val="002F2C34"/>
    <w:rsid w:val="002F2CF5"/>
    <w:rsid w:val="002F704B"/>
    <w:rsid w:val="002F7A8D"/>
    <w:rsid w:val="00302CEB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8721C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B10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5525"/>
    <w:rsid w:val="00666EDC"/>
    <w:rsid w:val="006703FA"/>
    <w:rsid w:val="00676023"/>
    <w:rsid w:val="006765C1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D7B93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3A45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6CD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87AB8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18</cp:revision>
  <cp:lastPrinted>2023-09-12T09:18:00Z</cp:lastPrinted>
  <dcterms:created xsi:type="dcterms:W3CDTF">2023-09-11T06:41:00Z</dcterms:created>
  <dcterms:modified xsi:type="dcterms:W3CDTF">2023-09-13T12:08:00Z</dcterms:modified>
</cp:coreProperties>
</file>