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S/03296/OM/23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03296/OM/23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PPK-80a/84/23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Lafayettova 13, 77900 Olomouc</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585 238 842</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Petr Šaj  ředitel RP Olomoucko</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Vladislav Holec</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DA2A39" w:rsidRDefault="00BA4C51" w:rsidP="00BB63BC">
      <w:pPr>
        <w:spacing w:after="0" w:line="240" w:lineRule="auto"/>
        <w:rPr>
          <w:rFonts w:ascii="Arial" w:hAnsi="Arial" w:cs="Arial"/>
          <w:b/>
        </w:rPr>
      </w:pPr>
      <w:r w:rsidRPr="00DA2A39">
        <w:rPr>
          <w:rFonts w:ascii="Arial" w:hAnsi="Arial" w:cs="Arial"/>
          <w:b/>
        </w:rPr>
        <w:t>Jan Bábek</w:t>
      </w:r>
    </w:p>
    <w:p w14:paraId="70EEF6E2" w14:textId="77777777" w:rsidR="00BA4C51" w:rsidRPr="00DA2A39" w:rsidRDefault="00BA4C51" w:rsidP="00BB63BC">
      <w:pPr>
        <w:spacing w:after="0" w:line="240" w:lineRule="auto"/>
        <w:rPr>
          <w:rFonts w:ascii="Arial" w:hAnsi="Arial" w:cs="Arial"/>
        </w:rPr>
      </w:pPr>
      <w:r w:rsidRPr="00DA2A39">
        <w:rPr>
          <w:rFonts w:ascii="Arial" w:hAnsi="Arial" w:cs="Arial"/>
        </w:rPr>
        <w:t>IČO: 68646151</w:t>
      </w:r>
    </w:p>
    <w:p w14:paraId="1A822202" w14:textId="77777777" w:rsidR="00BA4C51" w:rsidRPr="00DA2A39" w:rsidRDefault="00B97286" w:rsidP="00BB63BC">
      <w:pPr>
        <w:spacing w:after="0" w:line="240" w:lineRule="auto"/>
        <w:rPr>
          <w:rFonts w:ascii="Arial" w:hAnsi="Arial" w:cs="Arial"/>
        </w:rPr>
      </w:pPr>
      <w:r w:rsidRPr="00DA2A39">
        <w:rPr>
          <w:rFonts w:ascii="Arial" w:hAnsi="Arial" w:cs="Arial"/>
        </w:rPr>
        <w:t>Adresa sídla</w:t>
      </w:r>
      <w:r w:rsidR="00BA4C51" w:rsidRPr="00DA2A39">
        <w:rPr>
          <w:rFonts w:ascii="Arial" w:hAnsi="Arial" w:cs="Arial"/>
        </w:rPr>
        <w:t>: Hraničné Petrovice  12, 78306 Hraničné Petrovice</w:t>
      </w:r>
    </w:p>
    <w:p w14:paraId="0D5F5B68" w14:textId="77777777" w:rsidR="00BA4C51" w:rsidRPr="00DA2A39" w:rsidRDefault="00BA4C51" w:rsidP="00BB63BC">
      <w:pPr>
        <w:spacing w:after="0" w:line="240" w:lineRule="auto"/>
        <w:rPr>
          <w:rFonts w:ascii="Arial" w:hAnsi="Arial" w:cs="Arial"/>
        </w:rPr>
      </w:pPr>
      <w:r w:rsidRPr="00DA2A39">
        <w:rPr>
          <w:rFonts w:ascii="Arial" w:hAnsi="Arial" w:cs="Arial"/>
        </w:rPr>
        <w:t>Zastoupená: Jan Bábek</w:t>
      </w:r>
    </w:p>
    <w:p w14:paraId="1E424C7F" w14:textId="34C68D93" w:rsidR="00BA4C51" w:rsidRPr="00DA2A39" w:rsidRDefault="00BA4C51" w:rsidP="00BB63BC">
      <w:pPr>
        <w:spacing w:after="0" w:line="240" w:lineRule="auto"/>
        <w:rPr>
          <w:rFonts w:ascii="Arial" w:hAnsi="Arial" w:cs="Arial"/>
        </w:rPr>
      </w:pPr>
      <w:r w:rsidRPr="00DA2A39">
        <w:rPr>
          <w:rFonts w:ascii="Arial" w:hAnsi="Arial" w:cs="Arial"/>
        </w:rPr>
        <w:t>Bankovní spojení:</w:t>
      </w:r>
      <w:r w:rsidR="00DA2A39" w:rsidRPr="00DA2A39">
        <w:rPr>
          <w:rFonts w:ascii="Arial" w:hAnsi="Arial" w:cs="Arial"/>
        </w:rPr>
        <w:t xml:space="preserve"> MONETA Money Bank, 220905573/0600</w:t>
      </w:r>
    </w:p>
    <w:p w14:paraId="707D61F3" w14:textId="77777777" w:rsidR="00BA4C51" w:rsidRPr="00DA2A39" w:rsidRDefault="00BA4C51" w:rsidP="00BB63BC">
      <w:pPr>
        <w:spacing w:after="0" w:line="240" w:lineRule="auto"/>
        <w:rPr>
          <w:rFonts w:ascii="Arial" w:hAnsi="Arial" w:cs="Arial"/>
        </w:rPr>
      </w:pPr>
      <w:r w:rsidRPr="00DA2A39">
        <w:rPr>
          <w:rFonts w:ascii="Arial" w:hAnsi="Arial" w:cs="Arial"/>
        </w:rPr>
        <w:t>Email: janbabek@centrum.cz</w:t>
      </w:r>
    </w:p>
    <w:p w14:paraId="1523A1DD" w14:textId="77777777" w:rsidR="00BA4C51" w:rsidRPr="00DA2A39" w:rsidRDefault="00BA4C51" w:rsidP="00BB63BC">
      <w:pPr>
        <w:spacing w:after="0" w:line="240" w:lineRule="auto"/>
        <w:rPr>
          <w:rFonts w:ascii="Arial" w:hAnsi="Arial" w:cs="Arial"/>
        </w:rPr>
      </w:pPr>
      <w:r w:rsidRPr="00DA2A39">
        <w:rPr>
          <w:rFonts w:ascii="Arial" w:hAnsi="Arial" w:cs="Arial"/>
        </w:rPr>
        <w:t>Telefon: 604 657 423</w:t>
      </w:r>
    </w:p>
    <w:p w14:paraId="4E9CD5A6" w14:textId="77777777" w:rsidR="00BB63BC" w:rsidRDefault="00BA4C51" w:rsidP="00E22D1A">
      <w:pPr>
        <w:spacing w:before="120" w:after="120"/>
        <w:rPr>
          <w:rFonts w:ascii="Arial" w:hAnsi="Arial" w:cs="Arial"/>
        </w:rPr>
      </w:pPr>
      <w:r w:rsidRPr="00DA2A39">
        <w:rPr>
          <w:rFonts w:ascii="Arial" w:hAnsi="Arial" w:cs="Arial"/>
        </w:rPr>
        <w:t>(dále jen „</w:t>
      </w:r>
      <w:r w:rsidRPr="00DA2A39">
        <w:rPr>
          <w:rFonts w:ascii="Arial" w:hAnsi="Arial" w:cs="Arial"/>
          <w:b/>
        </w:rPr>
        <w:t>zhotovitel</w:t>
      </w:r>
      <w:r w:rsidRPr="00DA2A39">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DAEF62C" w14:textId="747451E1" w:rsidR="00BA4C51" w:rsidRPr="00C264BF" w:rsidRDefault="00BA4C51" w:rsidP="00E65609">
      <w:pPr>
        <w:pStyle w:val="Nadpis2"/>
        <w:numPr>
          <w:ilvl w:val="0"/>
          <w:numId w:val="0"/>
        </w:numPr>
        <w:ind w:left="709"/>
      </w:pPr>
      <w:r w:rsidRPr="00C264BF">
        <w:t>Úprava stromů na torzo, bezpečnostní ořez korun biotopových stromů, kácení postupné s přetažením, kácení volné. Ponechání veškeré dřevní hmoty k zetlení na místě. Stromolezecké práce v těžce přístupném terénu nad prvky návštěvnické infrastruktury.</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Kácení stromů, 02 009 Speciální zásahy na stromech.</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PPK-80a/84/23.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DA2A39" w:rsidRDefault="00BA4C51" w:rsidP="00820E79">
      <w:pPr>
        <w:pStyle w:val="Nadpis2"/>
        <w:numPr>
          <w:ilvl w:val="0"/>
          <w:numId w:val="0"/>
        </w:numPr>
        <w:ind w:left="709"/>
        <w:rPr>
          <w:color w:val="000000" w:themeColor="text1"/>
        </w:rPr>
      </w:pPr>
      <w:r w:rsidRPr="00DA2A39">
        <w:rPr>
          <w:color w:val="000000" w:themeColor="text1"/>
        </w:rPr>
        <w:t>Cena bez DPH: 159 129,96 Kč</w:t>
      </w:r>
    </w:p>
    <w:p w14:paraId="1909710B" w14:textId="77777777" w:rsidR="00BA4C51" w:rsidRPr="00DA2A39" w:rsidRDefault="00BA4C51" w:rsidP="00820E79">
      <w:pPr>
        <w:pStyle w:val="Nadpis2"/>
        <w:numPr>
          <w:ilvl w:val="0"/>
          <w:numId w:val="0"/>
        </w:numPr>
        <w:ind w:left="709"/>
        <w:rPr>
          <w:color w:val="000000" w:themeColor="text1"/>
        </w:rPr>
      </w:pPr>
      <w:r w:rsidRPr="00DA2A39">
        <w:rPr>
          <w:color w:val="000000" w:themeColor="text1"/>
        </w:rPr>
        <w:t>DPH 21%: 33 417,29 Kč</w:t>
      </w:r>
    </w:p>
    <w:p w14:paraId="1A426FC4" w14:textId="77777777" w:rsidR="00BA4C51" w:rsidRPr="00DA2A39" w:rsidRDefault="00BA4C51" w:rsidP="00820E79">
      <w:pPr>
        <w:pStyle w:val="Nadpis2"/>
        <w:numPr>
          <w:ilvl w:val="0"/>
          <w:numId w:val="0"/>
        </w:numPr>
        <w:ind w:left="709"/>
        <w:rPr>
          <w:color w:val="000000" w:themeColor="text1"/>
        </w:rPr>
      </w:pPr>
      <w:r w:rsidRPr="00DA2A39">
        <w:rPr>
          <w:color w:val="000000" w:themeColor="text1"/>
        </w:rPr>
        <w:t>Cena včetně DPH: 192 547,25 Kč</w:t>
      </w:r>
    </w:p>
    <w:p w14:paraId="01C67199" w14:textId="77777777" w:rsidR="00BA4C51" w:rsidRPr="00777979" w:rsidRDefault="00BA4C51" w:rsidP="00820E79">
      <w:pPr>
        <w:pStyle w:val="Nadpis2"/>
        <w:numPr>
          <w:ilvl w:val="0"/>
          <w:numId w:val="0"/>
        </w:numPr>
        <w:ind w:left="709"/>
        <w:rPr>
          <w:color w:val="000000" w:themeColor="text1"/>
        </w:rPr>
      </w:pPr>
      <w:r w:rsidRPr="00DA2A39">
        <w:rPr>
          <w:color w:val="000000" w:themeColor="text1"/>
        </w:rPr>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79493E2"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216997">
        <w:t xml:space="preserve"> </w:t>
      </w:r>
      <w:r w:rsidRPr="00C264BF">
        <w:t>11. kalendářního roku) na základě předávacího protokolu (nebo na základě protokolu o kontrole dle čl. 6.2) na adresu: Lafayettova 13, 77900 Olomouc.</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0BAA136A" w:rsidR="00BA4C51" w:rsidRPr="00DA2A39" w:rsidRDefault="00BA4C51" w:rsidP="00820E79">
      <w:pPr>
        <w:pStyle w:val="Nadpis2"/>
      </w:pPr>
      <w:r w:rsidRPr="00C264BF">
        <w:t xml:space="preserve">Zhotovitel se zavazuje provést dílo a předat jej objednateli nejpozději do: </w:t>
      </w:r>
      <w:r w:rsidRPr="00DA2A39">
        <w:t>10.</w:t>
      </w:r>
      <w:r w:rsidR="00216997" w:rsidRPr="00DA2A39">
        <w:t xml:space="preserve"> </w:t>
      </w:r>
      <w:r w:rsidRPr="00DA2A39">
        <w:t>11.</w:t>
      </w:r>
      <w:r w:rsidR="00216997" w:rsidRPr="00DA2A39">
        <w:t xml:space="preserve"> </w:t>
      </w:r>
      <w:r w:rsidRPr="00DA2A39">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1B0B8126" w:rsidR="00BA4C51" w:rsidRPr="00C264BF" w:rsidRDefault="00BA4C51" w:rsidP="00820E79">
      <w:pPr>
        <w:pStyle w:val="Nadpis2"/>
      </w:pPr>
      <w:r w:rsidRPr="00C264BF">
        <w:t xml:space="preserve">Místem plnění je NPR Hůrka u Hranic a její OP, pozemky p. č. 2531/1, 2532, 641/2, 1930/1, </w:t>
      </w:r>
      <w:r w:rsidR="00216997">
        <w:t>1931 a 2504/13 v k. ú. Hranice.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4BD8387E" w14:textId="481628B1" w:rsidR="00BA4C51" w:rsidRPr="00131027" w:rsidRDefault="00BA4C51" w:rsidP="00B45F6B">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0FC0E71" w14:textId="582ACE6E" w:rsidR="00BA4C51" w:rsidRPr="00DA2A39" w:rsidRDefault="00BA4C51" w:rsidP="00E4083D">
      <w:pPr>
        <w:pStyle w:val="Nadpis2"/>
      </w:pPr>
      <w:r w:rsidRPr="00DA2A39">
        <w:t xml:space="preserve">Realizace díla zahrnuje mj. tyto činnosti: </w:t>
      </w:r>
      <w:r w:rsidR="007F2CAD" w:rsidRPr="00DA2A39">
        <w:t xml:space="preserve">vstup </w:t>
      </w:r>
      <w:r w:rsidR="00E4083D" w:rsidRPr="00DA2A39">
        <w:t xml:space="preserve">mimo cesty, kácení, bezpečnostnímu </w:t>
      </w:r>
      <w:r w:rsidR="007F2CAD" w:rsidRPr="00DA2A39">
        <w:t>ořezávání stromů</w:t>
      </w:r>
      <w:r w:rsidR="00E4083D" w:rsidRPr="00DA2A39">
        <w:t xml:space="preserve"> a úpravě stromů na torza, jakožto významného biotopu pro řadu ohrožených druhů, přičemž veškerá dřevní hmota zůstává v rezervaci</w:t>
      </w:r>
      <w:r w:rsidR="007F2CAD" w:rsidRPr="00DA2A39">
        <w:t xml:space="preserve">. </w:t>
      </w:r>
      <w:r w:rsidRPr="00DA2A39">
        <w:t>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w:t>
      </w:r>
      <w:r w:rsidR="00B45F6B" w:rsidRPr="00DA2A39">
        <w:t> </w:t>
      </w:r>
      <w:r w:rsidRPr="00DA2A39">
        <w:t>souladu s cíli ochrany zvláště chráněných území.</w:t>
      </w:r>
      <w:r w:rsidR="00E4083D" w:rsidRPr="00DA2A39">
        <w:t xml:space="preserve"> Jde o činnosti, které jsou v daných lokalitách v souladu se schváleným plánem péče, kdy lze těžbu v porostech s trvale nepřístupným odstraňováním dřevin připouštět jen za účelem těžby stromů hrozících pádem na užívané komunikace, značené trasy či stezky, objekty návštěvnické vybavenosti (bez odvozu dřeva)</w:t>
      </w:r>
      <w:r w:rsidR="00102F60" w:rsidRPr="00DA2A39">
        <w:t xml:space="preserve">, staré silné provozně nebezpečné stromy lze místo kácení řezem upravit na torza (živá či mrtvá) a to na základě Záznamu z kontroly stavu stromů v NPR Hůrka u Hranic ze dne 31. 5. 2023 provedeném dendrologem (RNDr.  Vágnerová, 2. 6. 2023). </w:t>
      </w:r>
      <w:r w:rsidRPr="00DA2A39">
        <w:t xml:space="preserve">Na provádění činností zhotovitelem se tak při dodržení podmínek stanovených v této smlouvě v souladu s § 90 </w:t>
      </w:r>
      <w:r w:rsidR="007F2CAD" w:rsidRPr="00DA2A39">
        <w:t>a</w:t>
      </w:r>
      <w:r w:rsidRPr="00DA2A39">
        <w:t xml:space="preserve"> ve spojení s § 78 odst</w:t>
      </w:r>
      <w:r w:rsidRPr="00DA2A39">
        <w:rPr>
          <w:color w:val="000000" w:themeColor="text1"/>
        </w:rPr>
        <w:t xml:space="preserve">. </w:t>
      </w:r>
      <w:r w:rsidR="007F2CAD" w:rsidRPr="00DA2A39">
        <w:rPr>
          <w:color w:val="000000" w:themeColor="text1"/>
        </w:rPr>
        <w:t xml:space="preserve">11 </w:t>
      </w:r>
      <w:r w:rsidRPr="00DA2A39">
        <w:t xml:space="preserve">zákona č. 114/1992 Sb., o ochraně přírody a krajiny, v platném znění (dále jen „ZOPK“), nevztahují zákazy a omezení dle </w:t>
      </w:r>
      <w:r w:rsidR="00E4083D" w:rsidRPr="00DA2A39">
        <w:t>§ 29,</w:t>
      </w:r>
      <w:r w:rsidRPr="00DA2A39">
        <w:t xml:space="preserve"> </w:t>
      </w:r>
      <w:r w:rsidR="007F2CAD" w:rsidRPr="00DA2A39">
        <w:t>§ 37</w:t>
      </w:r>
      <w:r w:rsidR="00E4083D" w:rsidRPr="00DA2A39">
        <w:t xml:space="preserve"> a </w:t>
      </w:r>
      <w:r w:rsidR="00E4083D" w:rsidRPr="00DA2A39">
        <w:rPr>
          <w:color w:val="000000" w:themeColor="text1"/>
        </w:rPr>
        <w:t>§ 44 odst. 3</w:t>
      </w:r>
      <w:r w:rsidR="00E4083D" w:rsidRPr="00DA2A39">
        <w:rPr>
          <w:i/>
          <w:color w:val="000000" w:themeColor="text1"/>
        </w:rPr>
        <w:t xml:space="preserve"> </w:t>
      </w:r>
      <w:r w:rsidRPr="00DA2A39">
        <w:t>ZOPK.</w:t>
      </w:r>
    </w:p>
    <w:p w14:paraId="2D41A7AD" w14:textId="44FD402A" w:rsidR="00BA4C51" w:rsidRPr="00DA2A39" w:rsidRDefault="00BA4C51" w:rsidP="00820E79">
      <w:pPr>
        <w:pStyle w:val="Nadpis2"/>
      </w:pPr>
      <w:r w:rsidRPr="00DA2A39">
        <w:t>K zajištění ochrany zájmů chráněných v ZOPK objednatel stanovuje zhotoviteli t</w:t>
      </w:r>
      <w:r w:rsidR="000A3555" w:rsidRPr="00DA2A39">
        <w:t>yto</w:t>
      </w:r>
      <w:r w:rsidRPr="00DA2A39">
        <w:t xml:space="preserve"> podmínk</w:t>
      </w:r>
      <w:r w:rsidR="000A3555" w:rsidRPr="00DA2A39">
        <w:t>y</w:t>
      </w:r>
      <w:r w:rsidRPr="00DA2A39">
        <w:t xml:space="preserve"> pro realizaci činností:</w:t>
      </w:r>
    </w:p>
    <w:p w14:paraId="5837A593" w14:textId="2DED2700" w:rsidR="000A3555" w:rsidRPr="00DA2A39" w:rsidRDefault="000A3555" w:rsidP="00B5182A">
      <w:pPr>
        <w:pStyle w:val="Nadpis2"/>
        <w:numPr>
          <w:ilvl w:val="0"/>
          <w:numId w:val="0"/>
        </w:numPr>
        <w:ind w:left="709"/>
      </w:pPr>
      <w:r w:rsidRPr="00DA2A39">
        <w:t>Veškeré činnosti budou pr</w:t>
      </w:r>
      <w:r w:rsidR="00BA48FB">
        <w:t>ováděny způsoby (technologiemi) minimalizující</w:t>
      </w:r>
      <w:r w:rsidRPr="00DA2A39">
        <w:t xml:space="preserve">mi poškození okolních dřevin. </w:t>
      </w:r>
    </w:p>
    <w:p w14:paraId="12B8D598" w14:textId="6395373B" w:rsidR="000A3555" w:rsidRDefault="000A3555" w:rsidP="00B5182A">
      <w:pPr>
        <w:pStyle w:val="Nadpis2"/>
        <w:numPr>
          <w:ilvl w:val="0"/>
          <w:numId w:val="0"/>
        </w:numPr>
        <w:ind w:left="709"/>
      </w:pPr>
      <w:r w:rsidRPr="00DA2A39">
        <w:t>Přítomnost živočichů (obratlovců i bezobratlých) zjištěná při stromolezeckých pracích v korunách ořezávaných stromů bude bezprostředně hlášena AOPK ČR (tel. 607 901 727). Situace pak bude řešena operativně na místě.</w:t>
      </w:r>
    </w:p>
    <w:p w14:paraId="534A40AD" w14:textId="22B1B5D1" w:rsidR="00BA4C51" w:rsidRPr="000A3555" w:rsidRDefault="000A3555" w:rsidP="000A3555">
      <w:r>
        <w:tab/>
        <w:t xml:space="preserve"> </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lastRenderedPageBreak/>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lastRenderedPageBreak/>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29672B73" w:rsidR="00BA4C51" w:rsidRPr="00C264BF" w:rsidRDefault="00BA4C51" w:rsidP="00B5182A">
      <w:pPr>
        <w:pStyle w:val="Nadpis2"/>
        <w:numPr>
          <w:ilvl w:val="0"/>
          <w:numId w:val="0"/>
        </w:numPr>
        <w:ind w:left="709"/>
      </w:pPr>
      <w:r w:rsidRPr="00C264BF">
        <w:t>Příloha č. 1 – Rozpočet a specifikace díla PPK-80a/84/23.</w:t>
      </w:r>
      <w:r w:rsidRPr="00C264BF">
        <w:tab/>
      </w:r>
      <w:r w:rsidR="00777979">
        <w:t xml:space="preserve"> </w:t>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93CA8B9" w:rsidR="00890973" w:rsidRDefault="007B493E" w:rsidP="00890973">
            <w:pPr>
              <w:jc w:val="center"/>
              <w:rPr>
                <w:rFonts w:ascii="Arial" w:hAnsi="Arial" w:cs="Arial"/>
              </w:rPr>
            </w:pPr>
            <w:r>
              <w:rPr>
                <w:rFonts w:ascii="Arial" w:hAnsi="Arial" w:cs="Arial"/>
              </w:rPr>
              <w:t>xxx</w:t>
            </w:r>
            <w:bookmarkStart w:id="0" w:name="_GoBack"/>
            <w:bookmarkEnd w:id="0"/>
          </w:p>
        </w:tc>
        <w:tc>
          <w:tcPr>
            <w:tcW w:w="4633" w:type="dxa"/>
            <w:gridSpan w:val="2"/>
            <w:vAlign w:val="bottom"/>
          </w:tcPr>
          <w:p w14:paraId="2300E89C" w14:textId="702C29EF" w:rsidR="00890973" w:rsidRDefault="007B493E" w:rsidP="00890973">
            <w:pPr>
              <w:jc w:val="center"/>
              <w:rPr>
                <w:rFonts w:ascii="Arial" w:hAnsi="Arial" w:cs="Arial"/>
              </w:rPr>
            </w:pPr>
            <w:r>
              <w:rPr>
                <w:rFonts w:ascii="Arial" w:hAnsi="Arial" w:cs="Arial"/>
              </w:rPr>
              <w:t>xxx</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A3555"/>
    <w:rsid w:val="00102F60"/>
    <w:rsid w:val="00122140"/>
    <w:rsid w:val="00131027"/>
    <w:rsid w:val="00150D52"/>
    <w:rsid w:val="00201716"/>
    <w:rsid w:val="00216997"/>
    <w:rsid w:val="00232FCF"/>
    <w:rsid w:val="002537FA"/>
    <w:rsid w:val="00305126"/>
    <w:rsid w:val="0037433A"/>
    <w:rsid w:val="006424FA"/>
    <w:rsid w:val="00656982"/>
    <w:rsid w:val="0066635D"/>
    <w:rsid w:val="006F3682"/>
    <w:rsid w:val="00777979"/>
    <w:rsid w:val="00792807"/>
    <w:rsid w:val="007B493E"/>
    <w:rsid w:val="007B65FA"/>
    <w:rsid w:val="007F2CAD"/>
    <w:rsid w:val="00820E79"/>
    <w:rsid w:val="00890973"/>
    <w:rsid w:val="009F14EA"/>
    <w:rsid w:val="00A14B20"/>
    <w:rsid w:val="00B413BA"/>
    <w:rsid w:val="00B45F6B"/>
    <w:rsid w:val="00B5182A"/>
    <w:rsid w:val="00B72831"/>
    <w:rsid w:val="00B97286"/>
    <w:rsid w:val="00BA48FB"/>
    <w:rsid w:val="00BA4C51"/>
    <w:rsid w:val="00BB375C"/>
    <w:rsid w:val="00BB63BC"/>
    <w:rsid w:val="00BE376E"/>
    <w:rsid w:val="00BF571E"/>
    <w:rsid w:val="00C264BF"/>
    <w:rsid w:val="00C61950"/>
    <w:rsid w:val="00CF6728"/>
    <w:rsid w:val="00D2537F"/>
    <w:rsid w:val="00DA2A39"/>
    <w:rsid w:val="00E15EB7"/>
    <w:rsid w:val="00E22D1A"/>
    <w:rsid w:val="00E4083D"/>
    <w:rsid w:val="00E62AC6"/>
    <w:rsid w:val="00E65609"/>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1929</Words>
  <Characters>11382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cp:lastPrinted>2023-09-23T14:05:00Z</cp:lastPrinted>
  <dcterms:created xsi:type="dcterms:W3CDTF">2023-09-23T08:59:00Z</dcterms:created>
  <dcterms:modified xsi:type="dcterms:W3CDTF">2023-10-09T12:26:00Z</dcterms:modified>
</cp:coreProperties>
</file>