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1FC24" w14:textId="77777777" w:rsidR="00365493" w:rsidRDefault="00365493" w:rsidP="001F124E">
      <w:pPr>
        <w:rPr>
          <w:rFonts w:ascii="Arial" w:hAnsi="Arial" w:cs="Arial"/>
          <w:color w:val="000000"/>
          <w:sz w:val="20"/>
          <w:szCs w:val="20"/>
        </w:rPr>
      </w:pPr>
    </w:p>
    <w:p w14:paraId="74DF6399" w14:textId="532261D1" w:rsidR="00D11062" w:rsidRPr="00D11062" w:rsidRDefault="00D11062" w:rsidP="00D11062">
      <w:pPr>
        <w:ind w:left="11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sz w:val="28"/>
          <w:szCs w:val="28"/>
          <w:lang w:eastAsia="cs-CZ"/>
          <w14:ligatures w14:val="none"/>
        </w:rPr>
        <w:t xml:space="preserve">Dílčí objednávka na měsíc </w:t>
      </w:r>
      <w:r w:rsidR="00AA5C05">
        <w:rPr>
          <w:rFonts w:ascii="Arial" w:eastAsia="Times New Roman" w:hAnsi="Arial" w:cs="Arial"/>
          <w:b/>
          <w:bCs/>
          <w:sz w:val="28"/>
          <w:szCs w:val="28"/>
          <w:lang w:eastAsia="cs-CZ"/>
          <w14:ligatures w14:val="none"/>
        </w:rPr>
        <w:t>říjen</w:t>
      </w:r>
      <w:r w:rsidRPr="00D11062">
        <w:rPr>
          <w:rFonts w:ascii="Arial" w:eastAsia="Times New Roman" w:hAnsi="Arial" w:cs="Arial"/>
          <w:b/>
          <w:bCs/>
          <w:sz w:val="28"/>
          <w:szCs w:val="28"/>
          <w:lang w:eastAsia="cs-CZ"/>
          <w14:ligatures w14:val="none"/>
        </w:rPr>
        <w:t xml:space="preserve"> 2023 </w:t>
      </w:r>
      <w:r w:rsidRPr="00D11062">
        <w:rPr>
          <w:rFonts w:ascii="Arial" w:eastAsia="Times New Roman" w:hAnsi="Arial" w:cs="Arial"/>
          <w:sz w:val="28"/>
          <w:szCs w:val="28"/>
          <w:lang w:eastAsia="cs-CZ"/>
          <w14:ligatures w14:val="none"/>
        </w:rPr>
        <w:t> </w:t>
      </w:r>
    </w:p>
    <w:p w14:paraId="38FCE83B" w14:textId="77777777" w:rsidR="00D11062" w:rsidRPr="00D11062" w:rsidRDefault="00D11062" w:rsidP="00D11062">
      <w:pPr>
        <w:ind w:left="112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dle Smlouvy o poradenské činnosti ze dne 25. 8. 2022 (dále jako „Smlouva“) </w:t>
      </w:r>
    </w:p>
    <w:p w14:paraId="5965FED1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38ED7A88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09828EBF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>RBP, zdravotní pojišťovna</w:t>
      </w: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70AAF8F8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se sídlem Michálkovická 967/108, Slezská Ostrava, 710 00 Ostrava </w:t>
      </w:r>
    </w:p>
    <w:p w14:paraId="6A1E3C26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zapsaná do obchodního rejstříku vedeného Krajským soudem v Ostravě, </w:t>
      </w:r>
      <w:proofErr w:type="spellStart"/>
      <w:r w:rsidRPr="00D11062">
        <w:rPr>
          <w:rFonts w:ascii="Arial" w:eastAsia="Times New Roman" w:hAnsi="Arial" w:cs="Arial"/>
          <w:lang w:eastAsia="cs-CZ"/>
          <w14:ligatures w14:val="none"/>
        </w:rPr>
        <w:t>sp</w:t>
      </w:r>
      <w:proofErr w:type="spellEnd"/>
      <w:r w:rsidRPr="00D11062">
        <w:rPr>
          <w:rFonts w:ascii="Arial" w:eastAsia="Times New Roman" w:hAnsi="Arial" w:cs="Arial"/>
          <w:lang w:eastAsia="cs-CZ"/>
          <w14:ligatures w14:val="none"/>
        </w:rPr>
        <w:t>. zn. A XIV 554 </w:t>
      </w:r>
    </w:p>
    <w:p w14:paraId="24F679F6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zastoupená Ing. Antonínem Klimšou, MBA </w:t>
      </w:r>
    </w:p>
    <w:p w14:paraId="1EB1AB62" w14:textId="77777777" w:rsidR="00D11062" w:rsidRPr="00D11062" w:rsidRDefault="00D11062" w:rsidP="00D11062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IČ: 47673036 </w:t>
      </w:r>
    </w:p>
    <w:p w14:paraId="2108A05A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DIČ: CZ47673036 </w:t>
      </w:r>
    </w:p>
    <w:p w14:paraId="62FC56B0" w14:textId="77777777" w:rsidR="00D11062" w:rsidRPr="00D11062" w:rsidRDefault="00D11062" w:rsidP="00D11062">
      <w:pPr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>určuje</w:t>
      </w:r>
      <w:r w:rsidRPr="00D11062">
        <w:rPr>
          <w:rFonts w:ascii="Arial" w:eastAsia="Times New Roman" w:hAnsi="Arial" w:cs="Arial"/>
          <w:lang w:eastAsia="cs-CZ"/>
          <w14:ligatures w14:val="none"/>
        </w:rPr>
        <w:t>  </w:t>
      </w:r>
    </w:p>
    <w:p w14:paraId="05968E69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 xml:space="preserve">Grant </w:t>
      </w:r>
      <w:proofErr w:type="spellStart"/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>Thornton</w:t>
      </w:r>
      <w:proofErr w:type="spellEnd"/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 xml:space="preserve"> Advisory s. r. o.</w:t>
      </w: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7BE1F7E8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se sídlem Pujmanové 1753/</w:t>
      </w:r>
      <w:proofErr w:type="gramStart"/>
      <w:r w:rsidRPr="00D11062">
        <w:rPr>
          <w:rFonts w:ascii="Arial" w:eastAsia="Times New Roman" w:hAnsi="Arial" w:cs="Arial"/>
          <w:lang w:eastAsia="cs-CZ"/>
          <w14:ligatures w14:val="none"/>
        </w:rPr>
        <w:t>10a</w:t>
      </w:r>
      <w:proofErr w:type="gramEnd"/>
      <w:r w:rsidRPr="00D11062">
        <w:rPr>
          <w:rFonts w:ascii="Arial" w:eastAsia="Times New Roman" w:hAnsi="Arial" w:cs="Arial"/>
          <w:lang w:eastAsia="cs-CZ"/>
          <w14:ligatures w14:val="none"/>
        </w:rPr>
        <w:t>, Nusle, 140 00 Praha 4 </w:t>
      </w:r>
    </w:p>
    <w:p w14:paraId="26F06E1A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zapsaná do obchodního rejstříku vedeného Městským soudem v Praze, </w:t>
      </w:r>
      <w:proofErr w:type="spellStart"/>
      <w:r w:rsidRPr="00D11062">
        <w:rPr>
          <w:rFonts w:ascii="Arial" w:eastAsia="Times New Roman" w:hAnsi="Arial" w:cs="Arial"/>
          <w:lang w:eastAsia="cs-CZ"/>
          <w14:ligatures w14:val="none"/>
        </w:rPr>
        <w:t>sp</w:t>
      </w:r>
      <w:proofErr w:type="spellEnd"/>
      <w:r w:rsidRPr="00D11062">
        <w:rPr>
          <w:rFonts w:ascii="Arial" w:eastAsia="Times New Roman" w:hAnsi="Arial" w:cs="Arial"/>
          <w:lang w:eastAsia="cs-CZ"/>
          <w14:ligatures w14:val="none"/>
        </w:rPr>
        <w:t>. zn. C 317580 </w:t>
      </w:r>
    </w:p>
    <w:p w14:paraId="70BCA7CB" w14:textId="1FADD4E9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zastoupená </w:t>
      </w:r>
      <w:proofErr w:type="spellStart"/>
      <w:r w:rsidR="00A302C4" w:rsidRPr="00A302C4">
        <w:rPr>
          <w:rFonts w:ascii="Arial" w:eastAsia="Times New Roman" w:hAnsi="Arial" w:cs="Arial"/>
          <w:highlight w:val="black"/>
          <w:lang w:eastAsia="cs-CZ"/>
          <w14:ligatures w14:val="none"/>
        </w:rPr>
        <w:t>xxxxxxxx</w:t>
      </w:r>
      <w:proofErr w:type="spellEnd"/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107E1A79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IČ: 08358991 </w:t>
      </w:r>
    </w:p>
    <w:p w14:paraId="50CA5405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DIČ: CZ08358991 </w:t>
      </w:r>
    </w:p>
    <w:p w14:paraId="7D062944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 </w:t>
      </w:r>
    </w:p>
    <w:p w14:paraId="706A13A8" w14:textId="27F62FAD" w:rsid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dle článku II. odst. 1. Smlouvy o poradenské činnosti ze dne 25.8.2022 takto: </w:t>
      </w:r>
    </w:p>
    <w:p w14:paraId="340AD19B" w14:textId="77777777" w:rsidR="00310BD1" w:rsidRDefault="00310BD1" w:rsidP="00310BD1">
      <w:pPr>
        <w:rPr>
          <w:rFonts w:ascii="Arial" w:hAnsi="Arial" w:cs="Arial"/>
          <w:color w:val="000000"/>
          <w:sz w:val="20"/>
          <w:szCs w:val="20"/>
        </w:rPr>
      </w:pPr>
    </w:p>
    <w:p w14:paraId="1719A133" w14:textId="77777777" w:rsidR="00310BD1" w:rsidRPr="00C8709E" w:rsidRDefault="00310BD1" w:rsidP="00310BD1">
      <w:pPr>
        <w:pStyle w:val="xmsonormal"/>
        <w:numPr>
          <w:ilvl w:val="0"/>
          <w:numId w:val="2"/>
        </w:numPr>
        <w:rPr>
          <w:rFonts w:eastAsia="Times New Roman"/>
          <w:i/>
          <w:iCs/>
          <w:u w:val="single"/>
        </w:rPr>
      </w:pPr>
      <w:r w:rsidRPr="00C8709E">
        <w:rPr>
          <w:rFonts w:eastAsia="Times New Roman"/>
          <w:i/>
          <w:iCs/>
          <w:u w:val="single"/>
        </w:rPr>
        <w:t>Programové řízení Programu Modernizace CIS</w:t>
      </w:r>
      <w:r w:rsidRPr="00C8709E">
        <w:rPr>
          <w:rFonts w:eastAsia="Times New Roman"/>
          <w:i/>
          <w:iCs/>
          <w:color w:val="000000"/>
          <w:u w:val="single"/>
        </w:rPr>
        <w:t xml:space="preserve"> – 8 hod</w:t>
      </w:r>
    </w:p>
    <w:p w14:paraId="4D49DB5F" w14:textId="77777777" w:rsidR="00310BD1" w:rsidRPr="00C8709E" w:rsidRDefault="00310BD1" w:rsidP="00310BD1">
      <w:pPr>
        <w:pStyle w:val="xmsonormal"/>
        <w:numPr>
          <w:ilvl w:val="1"/>
          <w:numId w:val="2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C8709E">
        <w:rPr>
          <w:rFonts w:ascii="Arial" w:eastAsia="Times New Roman" w:hAnsi="Arial" w:cs="Arial"/>
          <w:i/>
          <w:iCs/>
          <w:color w:val="000000"/>
          <w:sz w:val="20"/>
          <w:szCs w:val="20"/>
        </w:rPr>
        <w:t>Příprava a aktualizace harmonogramu programu</w:t>
      </w:r>
    </w:p>
    <w:p w14:paraId="2571AE0B" w14:textId="77777777" w:rsidR="00310BD1" w:rsidRPr="00C8709E" w:rsidRDefault="00310BD1" w:rsidP="00310BD1">
      <w:pPr>
        <w:pStyle w:val="xmsonormal"/>
        <w:numPr>
          <w:ilvl w:val="1"/>
          <w:numId w:val="2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C8709E">
        <w:rPr>
          <w:rFonts w:ascii="Arial" w:eastAsia="Times New Roman" w:hAnsi="Arial" w:cs="Arial"/>
          <w:i/>
          <w:iCs/>
          <w:color w:val="000000"/>
          <w:sz w:val="20"/>
          <w:szCs w:val="20"/>
        </w:rPr>
        <w:t>Aktualizace a tvorba registrů rizik, úkolů a otevřených bodů</w:t>
      </w:r>
    </w:p>
    <w:p w14:paraId="152EB05E" w14:textId="77777777" w:rsidR="00310BD1" w:rsidRPr="00C8709E" w:rsidRDefault="00310BD1" w:rsidP="00310BD1">
      <w:pPr>
        <w:pStyle w:val="xmsonormal"/>
        <w:numPr>
          <w:ilvl w:val="1"/>
          <w:numId w:val="2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C8709E">
        <w:rPr>
          <w:rFonts w:ascii="Arial" w:eastAsia="Times New Roman" w:hAnsi="Arial" w:cs="Arial"/>
          <w:i/>
          <w:iCs/>
          <w:color w:val="000000"/>
          <w:sz w:val="20"/>
          <w:szCs w:val="20"/>
        </w:rPr>
        <w:t>Pravidelný reporting</w:t>
      </w:r>
    </w:p>
    <w:p w14:paraId="3B30CDDB" w14:textId="77777777" w:rsidR="00310BD1" w:rsidRPr="00C8709E" w:rsidRDefault="00310BD1" w:rsidP="00310BD1">
      <w:pPr>
        <w:pStyle w:val="xmsonormal"/>
        <w:numPr>
          <w:ilvl w:val="1"/>
          <w:numId w:val="2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C8709E">
        <w:rPr>
          <w:rFonts w:ascii="Arial" w:eastAsia="Times New Roman" w:hAnsi="Arial" w:cs="Arial"/>
          <w:i/>
          <w:iCs/>
          <w:color w:val="000000"/>
          <w:sz w:val="20"/>
          <w:szCs w:val="20"/>
        </w:rPr>
        <w:t>Řízení programu</w:t>
      </w:r>
    </w:p>
    <w:p w14:paraId="5A561DE1" w14:textId="77777777" w:rsidR="00310BD1" w:rsidRPr="00C8709E" w:rsidRDefault="00310BD1" w:rsidP="00310BD1">
      <w:pPr>
        <w:pStyle w:val="xmsonormal"/>
      </w:pPr>
    </w:p>
    <w:p w14:paraId="34C519FB" w14:textId="77777777" w:rsidR="00310BD1" w:rsidRPr="00C8709E" w:rsidRDefault="00310BD1" w:rsidP="00310BD1">
      <w:pPr>
        <w:pStyle w:val="xmsonormal"/>
        <w:numPr>
          <w:ilvl w:val="0"/>
          <w:numId w:val="2"/>
        </w:numPr>
        <w:rPr>
          <w:rFonts w:eastAsia="Times New Roman"/>
          <w:i/>
          <w:iCs/>
          <w:u w:val="single"/>
        </w:rPr>
      </w:pPr>
      <w:r w:rsidRPr="00C8709E">
        <w:rPr>
          <w:rFonts w:eastAsia="Times New Roman"/>
          <w:i/>
          <w:iCs/>
          <w:color w:val="000000"/>
          <w:u w:val="single"/>
        </w:rPr>
        <w:t>Veřejná zakázka – soutěžní dialog</w:t>
      </w:r>
      <w:r w:rsidRPr="00C8709E">
        <w:rPr>
          <w:rFonts w:eastAsia="Times New Roman"/>
          <w:i/>
          <w:iCs/>
          <w:u w:val="single"/>
        </w:rPr>
        <w:t xml:space="preserve"> – maximálně </w:t>
      </w:r>
      <w:r w:rsidRPr="00C8709E">
        <w:rPr>
          <w:rFonts w:eastAsia="Times New Roman"/>
          <w:i/>
          <w:iCs/>
          <w:color w:val="000000"/>
          <w:u w:val="single"/>
        </w:rPr>
        <w:t>40</w:t>
      </w:r>
      <w:r w:rsidRPr="00C8709E">
        <w:rPr>
          <w:rFonts w:eastAsia="Times New Roman"/>
          <w:i/>
          <w:iCs/>
          <w:u w:val="single"/>
        </w:rPr>
        <w:t xml:space="preserve"> hod</w:t>
      </w:r>
    </w:p>
    <w:p w14:paraId="0882727A" w14:textId="77777777" w:rsidR="00310BD1" w:rsidRPr="00C8709E" w:rsidRDefault="00310BD1" w:rsidP="00310BD1">
      <w:pPr>
        <w:pStyle w:val="xmsonormal"/>
        <w:numPr>
          <w:ilvl w:val="1"/>
          <w:numId w:val="2"/>
        </w:numPr>
        <w:rPr>
          <w:rFonts w:ascii="Arial" w:eastAsia="Times New Roman" w:hAnsi="Arial" w:cs="Arial"/>
          <w:i/>
          <w:iCs/>
          <w:color w:val="000000"/>
          <w:sz w:val="20"/>
          <w:szCs w:val="20"/>
        </w:rPr>
      </w:pPr>
      <w:r w:rsidRPr="00C8709E">
        <w:rPr>
          <w:rFonts w:ascii="Arial" w:eastAsia="Times New Roman" w:hAnsi="Arial" w:cs="Arial"/>
          <w:i/>
          <w:iCs/>
          <w:color w:val="000000"/>
          <w:sz w:val="20"/>
          <w:szCs w:val="20"/>
        </w:rPr>
        <w:t>Administrativa a součinnost v průběhu vyhlášení veřejné zakázky</w:t>
      </w:r>
    </w:p>
    <w:p w14:paraId="0F6E5FF4" w14:textId="77777777" w:rsidR="00310BD1" w:rsidRPr="00C8709E" w:rsidRDefault="00310BD1" w:rsidP="00310BD1">
      <w:pPr>
        <w:pStyle w:val="xmsonormal"/>
        <w:rPr>
          <w:rFonts w:ascii="Arial" w:hAnsi="Arial" w:cs="Arial"/>
          <w:i/>
          <w:iCs/>
          <w:color w:val="000000"/>
          <w:sz w:val="20"/>
          <w:szCs w:val="20"/>
        </w:rPr>
      </w:pPr>
    </w:p>
    <w:p w14:paraId="4D193CC0" w14:textId="7E05BEE0" w:rsidR="00D11062" w:rsidRPr="00D11062" w:rsidRDefault="00D11062" w:rsidP="00D11062">
      <w:pPr>
        <w:rPr>
          <w:rFonts w:ascii="Arial" w:hAnsi="Arial" w:cs="Arial"/>
          <w:lang w:eastAsia="cs-CZ"/>
          <w14:ligatures w14:val="none"/>
        </w:rPr>
      </w:pPr>
      <w:r w:rsidRPr="00D11062">
        <w:rPr>
          <w:rFonts w:ascii="Arial" w:hAnsi="Arial" w:cs="Arial"/>
          <w:lang w:eastAsia="cs-CZ"/>
          <w14:ligatures w14:val="none"/>
        </w:rPr>
        <w:t xml:space="preserve">  </w:t>
      </w:r>
    </w:p>
    <w:p w14:paraId="5C3C7C5F" w14:textId="1E8DB593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Služby budou poskytovány od 1.</w:t>
      </w:r>
      <w:r w:rsidR="00411F39">
        <w:rPr>
          <w:rFonts w:ascii="Arial" w:eastAsia="Times New Roman" w:hAnsi="Arial" w:cs="Arial"/>
          <w:lang w:eastAsia="cs-CZ"/>
          <w14:ligatures w14:val="none"/>
        </w:rPr>
        <w:t>10.</w:t>
      </w:r>
      <w:r w:rsidRPr="00D11062">
        <w:rPr>
          <w:rFonts w:ascii="Arial" w:eastAsia="Times New Roman" w:hAnsi="Arial" w:cs="Arial"/>
          <w:lang w:eastAsia="cs-CZ"/>
          <w14:ligatures w14:val="none"/>
        </w:rPr>
        <w:t>2023 do 3</w:t>
      </w:r>
      <w:r w:rsidR="00411F39">
        <w:rPr>
          <w:rFonts w:ascii="Arial" w:eastAsia="Times New Roman" w:hAnsi="Arial" w:cs="Arial"/>
          <w:lang w:eastAsia="cs-CZ"/>
          <w14:ligatures w14:val="none"/>
        </w:rPr>
        <w:t>1</w:t>
      </w:r>
      <w:r w:rsidRPr="00D11062">
        <w:rPr>
          <w:rFonts w:ascii="Arial" w:eastAsia="Times New Roman" w:hAnsi="Arial" w:cs="Arial"/>
          <w:lang w:eastAsia="cs-CZ"/>
          <w14:ligatures w14:val="none"/>
        </w:rPr>
        <w:t>.</w:t>
      </w:r>
      <w:r w:rsidR="00411F39">
        <w:rPr>
          <w:rFonts w:ascii="Arial" w:eastAsia="Times New Roman" w:hAnsi="Arial" w:cs="Arial"/>
          <w:lang w:eastAsia="cs-CZ"/>
          <w14:ligatures w14:val="none"/>
        </w:rPr>
        <w:t>10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. 2023 v předpokládaném rozsahu </w:t>
      </w:r>
      <w:r w:rsidR="00BB1AAA">
        <w:rPr>
          <w:rFonts w:ascii="Arial" w:eastAsia="Times New Roman" w:hAnsi="Arial" w:cs="Arial"/>
          <w:lang w:eastAsia="cs-CZ"/>
          <w14:ligatures w14:val="none"/>
        </w:rPr>
        <w:t>48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 hodin (z toho cca </w:t>
      </w:r>
      <w:r w:rsidR="00BB1AAA">
        <w:rPr>
          <w:rFonts w:ascii="Arial" w:eastAsia="Times New Roman" w:hAnsi="Arial" w:cs="Arial"/>
          <w:lang w:eastAsia="cs-CZ"/>
          <w14:ligatures w14:val="none"/>
        </w:rPr>
        <w:t>8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 hodin v sazbě 2 500 Kč a </w:t>
      </w:r>
      <w:r w:rsidR="00BB1AAA">
        <w:rPr>
          <w:rFonts w:ascii="Arial" w:eastAsia="Times New Roman" w:hAnsi="Arial" w:cs="Arial"/>
          <w:lang w:eastAsia="cs-CZ"/>
          <w14:ligatures w14:val="none"/>
        </w:rPr>
        <w:t>maximálně 40</w:t>
      </w:r>
      <w:r w:rsidR="007D6BA2">
        <w:rPr>
          <w:rFonts w:ascii="Arial" w:eastAsia="Times New Roman" w:hAnsi="Arial" w:cs="Arial"/>
          <w:lang w:eastAsia="cs-CZ"/>
          <w14:ligatures w14:val="none"/>
        </w:rPr>
        <w:t xml:space="preserve"> 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hodin v sazbě 1 900 Kč). Celkem odhad nákladů činí </w:t>
      </w:r>
      <w:r w:rsidR="007D6BA2">
        <w:rPr>
          <w:rFonts w:ascii="Arial" w:eastAsia="Times New Roman" w:hAnsi="Arial" w:cs="Arial"/>
          <w:lang w:eastAsia="cs-CZ"/>
          <w14:ligatures w14:val="none"/>
        </w:rPr>
        <w:t>96 000</w:t>
      </w: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 Kč bez DPH. </w:t>
      </w:r>
    </w:p>
    <w:p w14:paraId="177C3490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Jedná se o maximální výši čerpání hodin. Veškerá konkrétní činnost může být prováděna pouze na základě vyžádání ze strany RBP, zdravotní pojišťovny s upřesněním dané činnosti a plánovaného počtu hodin. Nebude-li činnost vyžádána, nebude ve výkazu činností akceptována. </w:t>
      </w:r>
    </w:p>
    <w:p w14:paraId="12F928F2" w14:textId="77777777" w:rsidR="00D11062" w:rsidRPr="00D11062" w:rsidRDefault="00D11062" w:rsidP="00D11062">
      <w:pPr>
        <w:ind w:left="72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cs-CZ"/>
          <w14:ligatures w14:val="none"/>
        </w:rPr>
      </w:pPr>
      <w:r w:rsidRPr="00D11062">
        <w:rPr>
          <w:rFonts w:ascii="Arial" w:eastAsia="Times New Roman" w:hAnsi="Arial" w:cs="Arial"/>
          <w:sz w:val="24"/>
          <w:szCs w:val="24"/>
          <w:lang w:eastAsia="cs-CZ"/>
          <w14:ligatures w14:val="none"/>
        </w:rPr>
        <w:t> </w:t>
      </w:r>
    </w:p>
    <w:p w14:paraId="7BA47AF7" w14:textId="33772475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 xml:space="preserve">V Ostravě </w:t>
      </w:r>
      <w:r w:rsidR="00430BF5">
        <w:rPr>
          <w:rFonts w:ascii="Arial" w:eastAsia="Times New Roman" w:hAnsi="Arial" w:cs="Arial"/>
          <w:lang w:eastAsia="cs-CZ"/>
          <w14:ligatures w14:val="none"/>
        </w:rPr>
        <w:t>29.9.</w:t>
      </w:r>
      <w:r w:rsidR="00E321F7">
        <w:rPr>
          <w:rFonts w:ascii="Arial" w:eastAsia="Times New Roman" w:hAnsi="Arial" w:cs="Arial"/>
          <w:lang w:eastAsia="cs-CZ"/>
          <w14:ligatures w14:val="none"/>
        </w:rPr>
        <w:t>2023</w:t>
      </w: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700E58A1" w14:textId="77777777" w:rsidR="00D11062" w:rsidRPr="00D11062" w:rsidRDefault="00D11062" w:rsidP="00D11062">
      <w:pPr>
        <w:textAlignment w:val="baseline"/>
        <w:rPr>
          <w:rFonts w:ascii="Segoe UI" w:eastAsia="Times New Roman" w:hAnsi="Segoe UI" w:cs="Segoe UI"/>
          <w:i/>
          <w:iCs/>
          <w:color w:val="2E74B5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b/>
          <w:bCs/>
          <w:lang w:eastAsia="cs-CZ"/>
          <w14:ligatures w14:val="none"/>
        </w:rPr>
        <w:t>RBP, zdravotní pojišťovna </w:t>
      </w:r>
      <w:r w:rsidRPr="00D11062">
        <w:rPr>
          <w:rFonts w:ascii="Arial" w:eastAsia="Times New Roman" w:hAnsi="Arial" w:cs="Arial"/>
          <w:i/>
          <w:iCs/>
          <w:lang w:eastAsia="cs-CZ"/>
          <w14:ligatures w14:val="none"/>
        </w:rPr>
        <w:t> </w:t>
      </w:r>
    </w:p>
    <w:p w14:paraId="716AFEEA" w14:textId="77777777" w:rsidR="00D11062" w:rsidRP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</w:p>
    <w:p w14:paraId="30C23C89" w14:textId="77777777" w:rsidR="00D11062" w:rsidRP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26993268" w14:textId="77777777" w:rsidR="00D11062" w:rsidRPr="00D11062" w:rsidRDefault="00D11062" w:rsidP="00D11062">
      <w:pPr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</w:p>
    <w:p w14:paraId="5E2F8311" w14:textId="77777777" w:rsidR="00D11062" w:rsidRP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</w:p>
    <w:p w14:paraId="5FC4015C" w14:textId="77777777" w:rsidR="00D11062" w:rsidRDefault="00D11062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6B8247E6" w14:textId="77777777" w:rsidR="002F36B6" w:rsidRPr="00D11062" w:rsidRDefault="002F36B6" w:rsidP="00D11062">
      <w:pPr>
        <w:jc w:val="both"/>
        <w:textAlignment w:val="baseline"/>
        <w:rPr>
          <w:rFonts w:ascii="Arial" w:eastAsia="Times New Roman" w:hAnsi="Arial" w:cs="Arial"/>
          <w:lang w:eastAsia="cs-CZ"/>
          <w14:ligatures w14:val="none"/>
        </w:rPr>
      </w:pPr>
    </w:p>
    <w:p w14:paraId="7D750C9F" w14:textId="77777777" w:rsidR="00D11062" w:rsidRPr="00D11062" w:rsidRDefault="00D11062" w:rsidP="00D11062">
      <w:pPr>
        <w:ind w:firstLine="4395"/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sz w:val="12"/>
          <w:szCs w:val="12"/>
          <w:lang w:eastAsia="cs-CZ"/>
          <w14:ligatures w14:val="none"/>
        </w:rPr>
        <w:t> </w:t>
      </w:r>
    </w:p>
    <w:p w14:paraId="0E7226AD" w14:textId="77777777" w:rsidR="00D11062" w:rsidRPr="00D11062" w:rsidRDefault="00D11062" w:rsidP="00D11062">
      <w:pPr>
        <w:textAlignment w:val="baseline"/>
        <w:rPr>
          <w:rFonts w:ascii="Segoe UI" w:eastAsia="Times New Roman" w:hAnsi="Segoe UI" w:cs="Segoe UI"/>
          <w:sz w:val="18"/>
          <w:szCs w:val="18"/>
          <w:lang w:eastAsia="cs-CZ"/>
          <w14:ligatures w14:val="none"/>
        </w:rPr>
      </w:pPr>
      <w:r w:rsidRPr="00D11062">
        <w:rPr>
          <w:rFonts w:ascii="Arial" w:eastAsia="Times New Roman" w:hAnsi="Arial" w:cs="Arial"/>
          <w:lang w:val="en-GB" w:eastAsia="cs-CZ"/>
          <w14:ligatures w14:val="none"/>
        </w:rPr>
        <w:t>Ing. Antonín Klimša, MBA</w:t>
      </w: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p w14:paraId="5C247771" w14:textId="27D1FA69" w:rsidR="00365493" w:rsidRPr="00317AC3" w:rsidRDefault="00D11062" w:rsidP="00317AC3">
      <w:pPr>
        <w:textAlignment w:val="baseline"/>
        <w:rPr>
          <w:rFonts w:ascii="Arial" w:eastAsia="Times New Roman" w:hAnsi="Arial" w:cs="Arial"/>
          <w:lang w:eastAsia="cs-CZ"/>
          <w14:ligatures w14:val="none"/>
        </w:rPr>
      </w:pPr>
      <w:proofErr w:type="spellStart"/>
      <w:r w:rsidRPr="00D11062">
        <w:rPr>
          <w:rFonts w:ascii="Arial" w:eastAsia="Times New Roman" w:hAnsi="Arial" w:cs="Arial"/>
          <w:lang w:val="en-GB" w:eastAsia="cs-CZ"/>
          <w14:ligatures w14:val="none"/>
        </w:rPr>
        <w:t>Výkonný</w:t>
      </w:r>
      <w:proofErr w:type="spellEnd"/>
      <w:r w:rsidRPr="00D11062">
        <w:rPr>
          <w:rFonts w:ascii="Arial" w:eastAsia="Times New Roman" w:hAnsi="Arial" w:cs="Arial"/>
          <w:lang w:val="en-GB" w:eastAsia="cs-CZ"/>
          <w14:ligatures w14:val="none"/>
        </w:rPr>
        <w:t xml:space="preserve"> </w:t>
      </w:r>
      <w:proofErr w:type="spellStart"/>
      <w:r w:rsidRPr="00D11062">
        <w:rPr>
          <w:rFonts w:ascii="Arial" w:eastAsia="Times New Roman" w:hAnsi="Arial" w:cs="Arial"/>
          <w:lang w:val="en-GB" w:eastAsia="cs-CZ"/>
          <w14:ligatures w14:val="none"/>
        </w:rPr>
        <w:t>ředitel</w:t>
      </w:r>
      <w:proofErr w:type="spellEnd"/>
      <w:r w:rsidRPr="00D11062">
        <w:rPr>
          <w:rFonts w:ascii="Arial" w:eastAsia="Times New Roman" w:hAnsi="Arial" w:cs="Arial"/>
          <w:lang w:val="en-GB" w:eastAsia="cs-CZ"/>
          <w14:ligatures w14:val="none"/>
        </w:rPr>
        <w:t> </w:t>
      </w:r>
      <w:r w:rsidRPr="00D11062">
        <w:rPr>
          <w:rFonts w:ascii="Arial" w:eastAsia="Times New Roman" w:hAnsi="Arial" w:cs="Arial"/>
          <w:lang w:eastAsia="cs-CZ"/>
          <w14:ligatures w14:val="none"/>
        </w:rPr>
        <w:t> </w:t>
      </w:r>
    </w:p>
    <w:sectPr w:rsidR="00365493" w:rsidRPr="00317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67324D"/>
    <w:multiLevelType w:val="hybridMultilevel"/>
    <w:tmpl w:val="78860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5902671">
    <w:abstractNumId w:val="0"/>
  </w:num>
  <w:num w:numId="2" w16cid:durableId="1719892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24E"/>
    <w:rsid w:val="001F124E"/>
    <w:rsid w:val="002F36B6"/>
    <w:rsid w:val="00310BD1"/>
    <w:rsid w:val="00317AC3"/>
    <w:rsid w:val="00365493"/>
    <w:rsid w:val="00411F39"/>
    <w:rsid w:val="00430BF5"/>
    <w:rsid w:val="00433254"/>
    <w:rsid w:val="005547DA"/>
    <w:rsid w:val="00567C52"/>
    <w:rsid w:val="00691D57"/>
    <w:rsid w:val="00791BA1"/>
    <w:rsid w:val="007D6BA2"/>
    <w:rsid w:val="009C7AEB"/>
    <w:rsid w:val="00A302C4"/>
    <w:rsid w:val="00A43CD0"/>
    <w:rsid w:val="00AA3530"/>
    <w:rsid w:val="00AA5C05"/>
    <w:rsid w:val="00BB1AAA"/>
    <w:rsid w:val="00C8709E"/>
    <w:rsid w:val="00D11062"/>
    <w:rsid w:val="00D23ACC"/>
    <w:rsid w:val="00D977A7"/>
    <w:rsid w:val="00E321F7"/>
    <w:rsid w:val="00E3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85FB7"/>
  <w15:chartTrackingRefBased/>
  <w15:docId w15:val="{64FE0735-2BEF-4381-8A2C-1D700C9A7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124E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1F124E"/>
    <w:rPr>
      <w:lang w:eastAsia="cs-CZ"/>
      <w14:ligatures w14:val="none"/>
    </w:rPr>
  </w:style>
  <w:style w:type="paragraph" w:customStyle="1" w:styleId="Default">
    <w:name w:val="Default"/>
    <w:basedOn w:val="Normln"/>
    <w:rsid w:val="001F124E"/>
    <w:pPr>
      <w:autoSpaceDE w:val="0"/>
      <w:autoSpaceDN w:val="0"/>
    </w:pPr>
    <w:rPr>
      <w:rFonts w:ascii="Arial" w:hAnsi="Arial" w:cs="Arial"/>
      <w:color w:val="00000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Dedek Petr</dc:creator>
  <cp:keywords/>
  <dc:description/>
  <cp:lastModifiedBy>Mikula Pavel</cp:lastModifiedBy>
  <cp:revision>6</cp:revision>
  <dcterms:created xsi:type="dcterms:W3CDTF">2023-09-29T06:49:00Z</dcterms:created>
  <dcterms:modified xsi:type="dcterms:W3CDTF">2023-10-09T06:40:00Z</dcterms:modified>
</cp:coreProperties>
</file>