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7221200084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ČEZ,</w:t>
      </w:r>
      <w:r>
        <w:rPr>
          <w:spacing w:val="-4"/>
        </w:rPr>
        <w:t> </w:t>
      </w:r>
      <w:r>
        <w:rPr/>
        <w:t>a.</w:t>
      </w:r>
      <w:r>
        <w:rPr>
          <w:spacing w:val="-3"/>
        </w:rPr>
        <w:t> </w:t>
      </w:r>
      <w:r>
        <w:rPr>
          <w:spacing w:val="-5"/>
        </w:rPr>
        <w:t>s.</w:t>
      </w:r>
    </w:p>
    <w:p>
      <w:pPr>
        <w:pStyle w:val="BodyText"/>
        <w:ind w:left="102" w:right="2333"/>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Městským</w:t>
      </w:r>
      <w:r>
        <w:rPr>
          <w:spacing w:val="-6"/>
        </w:rPr>
        <w:t> </w:t>
      </w:r>
      <w:r>
        <w:rPr/>
        <w:t>soudem v Praze, oddíl B, vložka 1581</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140</w:t>
      </w:r>
      <w:r>
        <w:rPr>
          <w:spacing w:val="-6"/>
        </w:rPr>
        <w:t> </w:t>
      </w:r>
      <w:r>
        <w:rPr/>
        <w:t>53</w:t>
      </w:r>
      <w:r>
        <w:rPr>
          <w:spacing w:val="-6"/>
        </w:rPr>
        <w:t> </w:t>
      </w:r>
      <w:r>
        <w:rPr/>
        <w:t>Praha</w:t>
      </w:r>
      <w:r>
        <w:rPr>
          <w:spacing w:val="-6"/>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45274649</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i</w:t>
      </w:r>
      <w:r>
        <w:rPr>
          <w:spacing w:val="-2"/>
        </w:rPr>
        <w:t> </w:t>
      </w:r>
      <w:r>
        <w:rPr/>
        <w:t>ř</w:t>
      </w:r>
      <w:r>
        <w:rPr>
          <w:spacing w:val="-2"/>
        </w:rPr>
        <w:t> </w:t>
      </w:r>
      <w:r>
        <w:rPr/>
        <w:t>í</w:t>
      </w:r>
      <w:r>
        <w:rPr>
          <w:spacing w:val="-1"/>
        </w:rPr>
        <w:t> </w:t>
      </w:r>
      <w:r>
        <w:rPr/>
        <w:t>k</w:t>
      </w:r>
      <w:r>
        <w:rPr>
          <w:spacing w:val="-1"/>
        </w:rPr>
        <w:t> </w:t>
      </w:r>
      <w:r>
        <w:rPr/>
        <w:t>o</w:t>
      </w:r>
      <w:r>
        <w:rPr>
          <w:spacing w:val="-2"/>
        </w:rPr>
        <w:t> </w:t>
      </w:r>
      <w:r>
        <w:rPr/>
        <w:t>v</w:t>
      </w:r>
      <w:r>
        <w:rPr>
          <w:spacing w:val="-1"/>
        </w:rPr>
        <w:t> </w:t>
      </w:r>
      <w:r>
        <w:rPr/>
        <w:t>o</w:t>
      </w:r>
      <w:r>
        <w:rPr>
          <w:spacing w:val="-2"/>
        </w:rPr>
        <w:t> </w:t>
      </w:r>
      <w:r>
        <w:rPr/>
        <w:t>u,</w:t>
      </w:r>
      <w:r>
        <w:rPr>
          <w:spacing w:val="-2"/>
        </w:rPr>
        <w:t> </w:t>
      </w:r>
      <w:r>
        <w:rPr/>
        <w:t>dle</w:t>
      </w:r>
      <w:r>
        <w:rPr>
          <w:spacing w:val="-3"/>
        </w:rPr>
        <w:t> </w:t>
      </w:r>
      <w:r>
        <w:rPr/>
        <w:t>plné</w:t>
      </w:r>
      <w:r>
        <w:rPr>
          <w:spacing w:val="-3"/>
        </w:rPr>
        <w:t> </w:t>
      </w:r>
      <w:r>
        <w:rPr/>
        <w:t>moci</w:t>
      </w:r>
      <w:r>
        <w:rPr>
          <w:spacing w:val="-3"/>
        </w:rPr>
        <w:t> </w:t>
      </w:r>
      <w:r>
        <w:rPr/>
        <w:t>ze</w:t>
      </w:r>
      <w:r>
        <w:rPr>
          <w:spacing w:val="-2"/>
        </w:rPr>
        <w:t> </w:t>
      </w:r>
      <w:r>
        <w:rPr/>
        <w:t>dne</w:t>
      </w:r>
      <w:r>
        <w:rPr>
          <w:spacing w:val="-3"/>
        </w:rPr>
        <w:t> </w:t>
      </w:r>
      <w:r>
        <w:rPr/>
        <w:t>20.</w:t>
      </w:r>
      <w:r>
        <w:rPr>
          <w:spacing w:val="-3"/>
        </w:rPr>
        <w:t> </w:t>
      </w:r>
      <w:r>
        <w:rPr/>
        <w:t>5.</w:t>
      </w:r>
      <w:r>
        <w:rPr>
          <w:spacing w:val="-3"/>
        </w:rPr>
        <w:t> </w:t>
      </w:r>
      <w:r>
        <w:rPr>
          <w:spacing w:val="-4"/>
        </w:rPr>
        <w:t>2021</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71504011/0100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spacing w:before="1"/>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7221200084 o poskytnutí finančních prostředků ze Státního fondu životního prostředí ČR ze dne 11.04.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10"/>
        </w:rPr>
        <w:t> </w:t>
      </w:r>
      <w:r>
        <w:rPr/>
        <w:t>Chabařovice</w:t>
      </w:r>
      <w:r>
        <w:rPr>
          <w:spacing w:val="-9"/>
        </w:rPr>
        <w:t> </w:t>
      </w:r>
      <w:r>
        <w:rPr>
          <w:spacing w:val="-5"/>
        </w:rPr>
        <w:t>II“</w:t>
      </w:r>
    </w:p>
    <w:p>
      <w:pPr>
        <w:spacing w:after="0"/>
        <w:jc w:val="left"/>
        <w:sectPr>
          <w:type w:val="continuous"/>
          <w:pgSz w:w="12240" w:h="15840"/>
          <w:pgMar w:header="708" w:footer="771" w:top="2040" w:bottom="960" w:left="1600" w:right="1020"/>
          <w:cols w:num="2" w:equalWidth="0">
            <w:col w:w="3609" w:space="129"/>
            <w:col w:w="5882"/>
          </w:cols>
        </w:sectPr>
      </w:pP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1"/>
          <w:sz w:val="20"/>
        </w:rPr>
        <w:t> </w:t>
      </w:r>
      <w:r>
        <w:rPr>
          <w:sz w:val="20"/>
        </w:rPr>
        <w:t>ve</w:t>
      </w:r>
      <w:r>
        <w:rPr>
          <w:spacing w:val="-3"/>
          <w:sz w:val="20"/>
        </w:rPr>
        <w:t> </w:t>
      </w:r>
      <w:r>
        <w:rPr>
          <w:sz w:val="20"/>
        </w:rPr>
        <w:t>výši</w:t>
      </w:r>
      <w:r>
        <w:rPr>
          <w:spacing w:val="-1"/>
          <w:sz w:val="20"/>
        </w:rPr>
        <w:t> </w:t>
      </w:r>
      <w:r>
        <w:rPr>
          <w:b/>
          <w:sz w:val="20"/>
        </w:rPr>
        <w:t>17</w:t>
      </w:r>
      <w:r>
        <w:rPr>
          <w:b/>
          <w:spacing w:val="-2"/>
          <w:sz w:val="20"/>
        </w:rPr>
        <w:t> </w:t>
      </w:r>
      <w:r>
        <w:rPr>
          <w:b/>
          <w:sz w:val="20"/>
        </w:rPr>
        <w:t>499</w:t>
      </w:r>
      <w:r>
        <w:rPr>
          <w:b/>
          <w:spacing w:val="-1"/>
          <w:sz w:val="20"/>
        </w:rPr>
        <w:t> </w:t>
      </w:r>
      <w:r>
        <w:rPr>
          <w:b/>
          <w:sz w:val="20"/>
        </w:rPr>
        <w:t>553,50</w:t>
      </w:r>
      <w:r>
        <w:rPr>
          <w:b/>
          <w:spacing w:val="-1"/>
          <w:sz w:val="20"/>
        </w:rPr>
        <w:t> </w:t>
      </w:r>
      <w:r>
        <w:rPr>
          <w:b/>
          <w:sz w:val="20"/>
        </w:rPr>
        <w:t>Kč</w:t>
      </w:r>
      <w:r>
        <w:rPr>
          <w:b/>
          <w:spacing w:val="-2"/>
          <w:sz w:val="20"/>
        </w:rPr>
        <w:t> </w:t>
      </w:r>
      <w:r>
        <w:rPr>
          <w:sz w:val="20"/>
        </w:rPr>
        <w:t>(slovy:</w:t>
      </w:r>
      <w:r>
        <w:rPr>
          <w:spacing w:val="-2"/>
          <w:sz w:val="20"/>
        </w:rPr>
        <w:t> </w:t>
      </w:r>
      <w:r>
        <w:rPr>
          <w:sz w:val="20"/>
        </w:rPr>
        <w:t>sedmnáct</w:t>
      </w:r>
      <w:r>
        <w:rPr>
          <w:spacing w:val="-3"/>
          <w:sz w:val="20"/>
        </w:rPr>
        <w:t> </w:t>
      </w:r>
      <w:r>
        <w:rPr>
          <w:sz w:val="20"/>
        </w:rPr>
        <w:t>milionů</w:t>
      </w:r>
      <w:r>
        <w:rPr>
          <w:spacing w:val="-2"/>
          <w:sz w:val="20"/>
        </w:rPr>
        <w:t> </w:t>
      </w:r>
      <w:r>
        <w:rPr>
          <w:sz w:val="20"/>
        </w:rPr>
        <w:t>čtyři sta</w:t>
      </w:r>
      <w:r>
        <w:rPr>
          <w:spacing w:val="-3"/>
          <w:sz w:val="20"/>
        </w:rPr>
        <w:t> </w:t>
      </w:r>
      <w:r>
        <w:rPr>
          <w:sz w:val="20"/>
        </w:rPr>
        <w:t>devadesát</w:t>
      </w:r>
      <w:r>
        <w:rPr>
          <w:spacing w:val="-3"/>
          <w:sz w:val="20"/>
        </w:rPr>
        <w:t> </w:t>
      </w:r>
      <w:r>
        <w:rPr>
          <w:sz w:val="20"/>
        </w:rPr>
        <w:t>devět</w:t>
      </w:r>
      <w:r>
        <w:rPr>
          <w:spacing w:val="-3"/>
          <w:sz w:val="20"/>
        </w:rPr>
        <w:t> </w:t>
      </w:r>
      <w:r>
        <w:rPr>
          <w:sz w:val="20"/>
        </w:rPr>
        <w:t>tisíc</w:t>
      </w:r>
      <w:r>
        <w:rPr>
          <w:spacing w:val="-3"/>
          <w:sz w:val="20"/>
        </w:rPr>
        <w:t> </w:t>
      </w:r>
      <w:r>
        <w:rPr>
          <w:sz w:val="20"/>
        </w:rPr>
        <w:t>pět set padesát tři korun českých a padesát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57 313 612,00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4"/>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8"/>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0"/>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w:t>
      </w:r>
      <w:r>
        <w:rPr>
          <w:spacing w:val="27"/>
          <w:sz w:val="20"/>
        </w:rPr>
        <w:t> </w:t>
      </w:r>
      <w:r>
        <w:rPr>
          <w:sz w:val="20"/>
        </w:rPr>
        <w:t>účel</w:t>
      </w:r>
      <w:r>
        <w:rPr>
          <w:spacing w:val="27"/>
          <w:sz w:val="20"/>
        </w:rPr>
        <w:t> </w:t>
      </w:r>
      <w:r>
        <w:rPr>
          <w:sz w:val="20"/>
        </w:rPr>
        <w:t>akce</w:t>
      </w:r>
      <w:r>
        <w:rPr>
          <w:spacing w:val="27"/>
          <w:sz w:val="20"/>
        </w:rPr>
        <w:t> </w:t>
      </w:r>
      <w:r>
        <w:rPr>
          <w:sz w:val="20"/>
        </w:rPr>
        <w:t>„FVE</w:t>
      </w:r>
      <w:r>
        <w:rPr>
          <w:spacing w:val="27"/>
          <w:sz w:val="20"/>
        </w:rPr>
        <w:t> </w:t>
      </w:r>
      <w:r>
        <w:rPr>
          <w:sz w:val="20"/>
        </w:rPr>
        <w:t>Chabařovice</w:t>
      </w:r>
      <w:r>
        <w:rPr>
          <w:spacing w:val="27"/>
          <w:sz w:val="20"/>
        </w:rPr>
        <w:t> </w:t>
      </w:r>
      <w:r>
        <w:rPr>
          <w:sz w:val="20"/>
        </w:rPr>
        <w:t>II“</w:t>
      </w:r>
      <w:r>
        <w:rPr>
          <w:spacing w:val="27"/>
          <w:sz w:val="20"/>
        </w:rPr>
        <w:t> </w:t>
      </w:r>
      <w:r>
        <w:rPr>
          <w:sz w:val="20"/>
        </w:rPr>
        <w:t>tím,</w:t>
      </w:r>
      <w:r>
        <w:rPr>
          <w:spacing w:val="27"/>
          <w:sz w:val="20"/>
        </w:rPr>
        <w:t> </w:t>
      </w:r>
      <w:r>
        <w:rPr>
          <w:sz w:val="20"/>
        </w:rPr>
        <w:t>že</w:t>
      </w:r>
      <w:r>
        <w:rPr>
          <w:spacing w:val="27"/>
          <w:sz w:val="20"/>
        </w:rPr>
        <w:t> </w:t>
      </w:r>
      <w:r>
        <w:rPr>
          <w:sz w:val="20"/>
        </w:rPr>
        <w:t>akce</w:t>
      </w:r>
      <w:r>
        <w:rPr>
          <w:spacing w:val="27"/>
          <w:sz w:val="20"/>
        </w:rPr>
        <w:t> </w:t>
      </w:r>
      <w:r>
        <w:rPr>
          <w:sz w:val="20"/>
        </w:rPr>
        <w:t>bude</w:t>
      </w:r>
      <w:r>
        <w:rPr>
          <w:spacing w:val="27"/>
          <w:sz w:val="20"/>
        </w:rPr>
        <w:t> </w:t>
      </w:r>
      <w:r>
        <w:rPr>
          <w:sz w:val="20"/>
        </w:rPr>
        <w:t>provedena</w:t>
      </w:r>
      <w:r>
        <w:rPr>
          <w:spacing w:val="27"/>
          <w:sz w:val="20"/>
        </w:rPr>
        <w:t> </w:t>
      </w:r>
      <w:r>
        <w:rPr>
          <w:sz w:val="20"/>
        </w:rPr>
        <w:t>v souladu</w:t>
      </w:r>
      <w:r>
        <w:rPr>
          <w:spacing w:val="27"/>
          <w:sz w:val="20"/>
        </w:rPr>
        <w:t> </w:t>
      </w:r>
      <w:r>
        <w:rPr>
          <w:sz w:val="20"/>
        </w:rPr>
        <w:t>s Výzvou,</w:t>
      </w:r>
      <w:r>
        <w:rPr>
          <w:spacing w:val="27"/>
          <w:sz w:val="20"/>
        </w:rPr>
        <w:t> </w:t>
      </w:r>
      <w:r>
        <w:rPr>
          <w:sz w:val="20"/>
        </w:rPr>
        <w:t>žádostí</w:t>
      </w:r>
      <w:r>
        <w:rPr>
          <w:spacing w:val="27"/>
          <w:sz w:val="20"/>
        </w:rPr>
        <w:t> </w:t>
      </w:r>
      <w:r>
        <w:rPr>
          <w:sz w:val="20"/>
        </w:rPr>
        <w:t>o 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40"/>
          <w:sz w:val="20"/>
        </w:rPr>
        <w:t>  </w:t>
      </w:r>
      <w:r>
        <w:rPr>
          <w:sz w:val="20"/>
        </w:rPr>
        <w:t>k</w:t>
      </w:r>
      <w:r>
        <w:rPr>
          <w:spacing w:val="-3"/>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 pozemní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3 646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3646.50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3182.67</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9590.62</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4"/>
                <w:sz w:val="20"/>
              </w:rPr>
              <w:t>3711</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67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924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2023-10-09T08:22:21Z</dcterms:created>
  <dcterms:modified xsi:type="dcterms:W3CDTF">2023-10-09T08:22:21Z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2023-10-09T00:00:00Z</vt:filetime>
  </property>
</Properties>
</file>