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7221200080</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ČEZ,</w:t>
      </w:r>
      <w:r>
        <w:rPr>
          <w:spacing w:val="-4"/>
        </w:rPr>
        <w:t> </w:t>
      </w:r>
      <w:r>
        <w:rPr/>
        <w:t>a.</w:t>
      </w:r>
      <w:r>
        <w:rPr>
          <w:spacing w:val="-3"/>
        </w:rPr>
        <w:t> </w:t>
      </w:r>
      <w:r>
        <w:rPr>
          <w:spacing w:val="-5"/>
        </w:rPr>
        <w:t>s.</w:t>
      </w:r>
    </w:p>
    <w:p>
      <w:pPr>
        <w:pStyle w:val="BodyText"/>
        <w:ind w:left="102" w:right="2328"/>
      </w:pPr>
      <w:r>
        <w:rPr/>
        <w:t>obchodní</w:t>
      </w:r>
      <w:r>
        <w:rPr>
          <w:spacing w:val="-7"/>
        </w:rPr>
        <w:t> </w:t>
      </w:r>
      <w:r>
        <w:rPr/>
        <w:t>společnost</w:t>
      </w:r>
      <w:r>
        <w:rPr>
          <w:spacing w:val="-7"/>
        </w:rPr>
        <w:t> </w:t>
      </w:r>
      <w:r>
        <w:rPr/>
        <w:t>zapsaná</w:t>
      </w:r>
      <w:r>
        <w:rPr>
          <w:spacing w:val="-7"/>
        </w:rPr>
        <w:t> </w:t>
      </w:r>
      <w:r>
        <w:rPr/>
        <w:t>v</w:t>
      </w:r>
      <w:r>
        <w:rPr>
          <w:spacing w:val="-6"/>
        </w:rPr>
        <w:t> </w:t>
      </w:r>
      <w:r>
        <w:rPr/>
        <w:t>obchodním</w:t>
      </w:r>
      <w:r>
        <w:rPr>
          <w:spacing w:val="-5"/>
        </w:rPr>
        <w:t> </w:t>
      </w:r>
      <w:r>
        <w:rPr/>
        <w:t>rejstříku</w:t>
      </w:r>
      <w:r>
        <w:rPr>
          <w:spacing w:val="-6"/>
        </w:rPr>
        <w:t> </w:t>
      </w:r>
      <w:r>
        <w:rPr/>
        <w:t>vedeném</w:t>
      </w:r>
      <w:r>
        <w:rPr>
          <w:spacing w:val="-1"/>
        </w:rPr>
        <w:t> </w:t>
      </w:r>
      <w:r>
        <w:rPr/>
        <w:t>Městským</w:t>
      </w:r>
      <w:r>
        <w:rPr>
          <w:spacing w:val="-5"/>
        </w:rPr>
        <w:t> </w:t>
      </w:r>
      <w:r>
        <w:rPr/>
        <w:t>soudem v Praze, oddíl B, vložka 1581</w:t>
      </w:r>
    </w:p>
    <w:p>
      <w:pPr>
        <w:pStyle w:val="BodyText"/>
        <w:tabs>
          <w:tab w:pos="2982" w:val="left" w:leader="none"/>
        </w:tabs>
        <w:spacing w:line="265" w:lineRule="exact"/>
        <w:ind w:left="102"/>
      </w:pPr>
      <w:r>
        <w:rPr/>
        <w:t>se</w:t>
      </w:r>
      <w:r>
        <w:rPr>
          <w:spacing w:val="-5"/>
        </w:rPr>
        <w:t> </w:t>
      </w:r>
      <w:r>
        <w:rPr>
          <w:spacing w:val="-2"/>
        </w:rPr>
        <w:t>sídlem:</w:t>
      </w:r>
      <w:r>
        <w:rPr/>
        <w:tab/>
        <w:t>Duhová</w:t>
      </w:r>
      <w:r>
        <w:rPr>
          <w:spacing w:val="-7"/>
        </w:rPr>
        <w:t> </w:t>
      </w:r>
      <w:r>
        <w:rPr/>
        <w:t>1444/2,</w:t>
      </w:r>
      <w:r>
        <w:rPr>
          <w:spacing w:val="-5"/>
        </w:rPr>
        <w:t> </w:t>
      </w:r>
      <w:r>
        <w:rPr/>
        <w:t>140</w:t>
      </w:r>
      <w:r>
        <w:rPr>
          <w:spacing w:val="-5"/>
        </w:rPr>
        <w:t> </w:t>
      </w:r>
      <w:r>
        <w:rPr/>
        <w:t>53</w:t>
      </w:r>
      <w:r>
        <w:rPr>
          <w:spacing w:val="-5"/>
        </w:rPr>
        <w:t> </w:t>
      </w:r>
      <w:r>
        <w:rPr/>
        <w:t>Praha</w:t>
      </w:r>
      <w:r>
        <w:rPr>
          <w:spacing w:val="-6"/>
        </w:rPr>
        <w:t> </w:t>
      </w:r>
      <w:r>
        <w:rPr>
          <w:spacing w:val="-10"/>
        </w:rPr>
        <w:t>4</w:t>
      </w:r>
    </w:p>
    <w:p>
      <w:pPr>
        <w:pStyle w:val="BodyText"/>
        <w:tabs>
          <w:tab w:pos="2982" w:val="left" w:leader="none"/>
        </w:tabs>
        <w:ind w:left="102"/>
      </w:pPr>
      <w:r>
        <w:rPr>
          <w:spacing w:val="-4"/>
        </w:rPr>
        <w:t>IČO:</w:t>
      </w:r>
      <w:r>
        <w:rPr>
          <w:rFonts w:ascii="Times New Roman" w:hAnsi="Times New Roman"/>
        </w:rPr>
        <w:tab/>
      </w:r>
      <w:r>
        <w:rPr>
          <w:spacing w:val="-2"/>
        </w:rPr>
        <w:t>45274649</w:t>
      </w:r>
    </w:p>
    <w:p>
      <w:pPr>
        <w:pStyle w:val="BodyText"/>
        <w:tabs>
          <w:tab w:pos="2982" w:val="left" w:leader="none"/>
        </w:tabs>
        <w:spacing w:before="1"/>
        <w:ind w:left="102"/>
      </w:pPr>
      <w:r>
        <w:rPr>
          <w:spacing w:val="-2"/>
        </w:rPr>
        <w:t>zastoupená:</w:t>
      </w:r>
      <w:r>
        <w:rPr/>
        <w:tab/>
        <w:t>JUDr.</w:t>
      </w:r>
      <w:r>
        <w:rPr>
          <w:spacing w:val="-4"/>
        </w:rPr>
        <w:t> </w:t>
      </w:r>
      <w:r>
        <w:rPr/>
        <w:t>Zuzanou</w:t>
      </w:r>
      <w:r>
        <w:rPr>
          <w:spacing w:val="-2"/>
        </w:rPr>
        <w:t> </w:t>
      </w:r>
      <w:r>
        <w:rPr/>
        <w:t>K</w:t>
      </w:r>
      <w:r>
        <w:rPr>
          <w:spacing w:val="-2"/>
        </w:rPr>
        <w:t> </w:t>
      </w:r>
      <w:r>
        <w:rPr/>
        <w:t>r</w:t>
      </w:r>
      <w:r>
        <w:rPr>
          <w:spacing w:val="1"/>
        </w:rPr>
        <w:t> </w:t>
      </w:r>
      <w:r>
        <w:rPr/>
        <w:t>e</w:t>
      </w:r>
      <w:r>
        <w:rPr>
          <w:spacing w:val="-3"/>
        </w:rPr>
        <w:t> </w:t>
      </w:r>
      <w:r>
        <w:rPr/>
        <w:t>j</w:t>
      </w:r>
      <w:r>
        <w:rPr>
          <w:spacing w:val="-3"/>
        </w:rPr>
        <w:t> </w:t>
      </w:r>
      <w:r>
        <w:rPr/>
        <w:t>č</w:t>
      </w:r>
      <w:r>
        <w:rPr>
          <w:spacing w:val="-3"/>
        </w:rPr>
        <w:t> </w:t>
      </w:r>
      <w:r>
        <w:rPr/>
        <w:t>i</w:t>
      </w:r>
      <w:r>
        <w:rPr>
          <w:spacing w:val="-2"/>
        </w:rPr>
        <w:t> </w:t>
      </w:r>
      <w:r>
        <w:rPr/>
        <w:t>ř</w:t>
      </w:r>
      <w:r>
        <w:rPr>
          <w:spacing w:val="-2"/>
        </w:rPr>
        <w:t> </w:t>
      </w:r>
      <w:r>
        <w:rPr/>
        <w:t>í</w:t>
      </w:r>
      <w:r>
        <w:rPr>
          <w:spacing w:val="-1"/>
        </w:rPr>
        <w:t> </w:t>
      </w:r>
      <w:r>
        <w:rPr/>
        <w:t>k</w:t>
      </w:r>
      <w:r>
        <w:rPr>
          <w:spacing w:val="-2"/>
        </w:rPr>
        <w:t> </w:t>
      </w:r>
      <w:r>
        <w:rPr/>
        <w:t>o</w:t>
      </w:r>
      <w:r>
        <w:rPr>
          <w:spacing w:val="-1"/>
        </w:rPr>
        <w:t> </w:t>
      </w:r>
      <w:r>
        <w:rPr/>
        <w:t>v</w:t>
      </w:r>
      <w:r>
        <w:rPr>
          <w:spacing w:val="-1"/>
        </w:rPr>
        <w:t> </w:t>
      </w:r>
      <w:r>
        <w:rPr/>
        <w:t>o</w:t>
      </w:r>
      <w:r>
        <w:rPr>
          <w:spacing w:val="-1"/>
        </w:rPr>
        <w:t> </w:t>
      </w:r>
      <w:r>
        <w:rPr/>
        <w:t>u,</w:t>
      </w:r>
      <w:r>
        <w:rPr>
          <w:spacing w:val="-2"/>
        </w:rPr>
        <w:t> </w:t>
      </w:r>
      <w:r>
        <w:rPr/>
        <w:t>dle</w:t>
      </w:r>
      <w:r>
        <w:rPr>
          <w:spacing w:val="-3"/>
        </w:rPr>
        <w:t> </w:t>
      </w:r>
      <w:r>
        <w:rPr/>
        <w:t>plné</w:t>
      </w:r>
      <w:r>
        <w:rPr>
          <w:spacing w:val="-3"/>
        </w:rPr>
        <w:t> </w:t>
      </w:r>
      <w:r>
        <w:rPr/>
        <w:t>moci</w:t>
      </w:r>
      <w:r>
        <w:rPr>
          <w:spacing w:val="-3"/>
        </w:rPr>
        <w:t> </w:t>
      </w:r>
      <w:r>
        <w:rPr/>
        <w:t>ze</w:t>
      </w:r>
      <w:r>
        <w:rPr>
          <w:spacing w:val="-2"/>
        </w:rPr>
        <w:t> </w:t>
      </w:r>
      <w:r>
        <w:rPr/>
        <w:t>dne</w:t>
      </w:r>
      <w:r>
        <w:rPr>
          <w:spacing w:val="-3"/>
        </w:rPr>
        <w:t> </w:t>
      </w:r>
      <w:r>
        <w:rPr/>
        <w:t>20.</w:t>
      </w:r>
      <w:r>
        <w:rPr>
          <w:spacing w:val="-3"/>
        </w:rPr>
        <w:t> </w:t>
      </w:r>
      <w:r>
        <w:rPr/>
        <w:t>5.</w:t>
      </w:r>
      <w:r>
        <w:rPr>
          <w:spacing w:val="-3"/>
        </w:rPr>
        <w:t> </w:t>
      </w:r>
      <w:r>
        <w:rPr>
          <w:spacing w:val="-4"/>
        </w:rPr>
        <w:t>2021</w:t>
      </w:r>
    </w:p>
    <w:p>
      <w:pPr>
        <w:pStyle w:val="BodyText"/>
        <w:tabs>
          <w:tab w:pos="2982" w:val="left" w:leader="none"/>
        </w:tabs>
        <w:ind w:left="102"/>
      </w:pPr>
      <w:r>
        <w:rPr/>
        <w:t>bankovní</w:t>
      </w:r>
      <w:r>
        <w:rPr>
          <w:spacing w:val="-11"/>
        </w:rPr>
        <w:t> </w:t>
      </w:r>
      <w:r>
        <w:rPr>
          <w:spacing w:val="-2"/>
        </w:rPr>
        <w:t>spojení:</w:t>
      </w:r>
      <w:r>
        <w:rPr/>
        <w:tab/>
        <w:t>Komerční</w:t>
      </w:r>
      <w:r>
        <w:rPr>
          <w:spacing w:val="-8"/>
        </w:rPr>
        <w:t> </w:t>
      </w:r>
      <w:r>
        <w:rPr/>
        <w:t>banka,</w:t>
      </w:r>
      <w:r>
        <w:rPr>
          <w:spacing w:val="-8"/>
        </w:rPr>
        <w:t> </w:t>
      </w:r>
      <w:r>
        <w:rPr>
          <w:spacing w:val="-4"/>
        </w:rPr>
        <w:t>a.s.</w:t>
      </w:r>
    </w:p>
    <w:p>
      <w:pPr>
        <w:pStyle w:val="BodyText"/>
        <w:tabs>
          <w:tab w:pos="2982" w:val="left" w:leader="none"/>
        </w:tabs>
        <w:spacing w:before="1"/>
        <w:ind w:left="102"/>
      </w:pPr>
      <w:r>
        <w:rPr/>
        <w:t>číslo</w:t>
      </w:r>
      <w:r>
        <w:rPr>
          <w:spacing w:val="-8"/>
        </w:rPr>
        <w:t> </w:t>
      </w:r>
      <w:r>
        <w:rPr>
          <w:spacing w:val="-2"/>
        </w:rPr>
        <w:t>účtu:</w:t>
      </w:r>
      <w:r>
        <w:rPr/>
        <w:tab/>
      </w:r>
      <w:r>
        <w:rPr>
          <w:spacing w:val="-2"/>
        </w:rPr>
        <w:t>71504011/0100</w:t>
      </w:r>
    </w:p>
    <w:p>
      <w:pPr>
        <w:pStyle w:val="BodyText"/>
        <w:ind w:left="102"/>
      </w:pPr>
      <w:r>
        <w:rPr/>
        <w:t>(dále</w:t>
      </w:r>
      <w:r>
        <w:rPr>
          <w:spacing w:val="-7"/>
        </w:rPr>
        <w:t> </w:t>
      </w:r>
      <w:r>
        <w:rPr/>
        <w:t>jen</w:t>
      </w:r>
      <w:r>
        <w:rPr>
          <w:spacing w:val="-5"/>
        </w:rPr>
        <w:t> </w:t>
      </w:r>
      <w:r>
        <w:rPr/>
        <w:t>„příjemce</w:t>
      </w:r>
      <w:r>
        <w:rPr>
          <w:spacing w:val="-7"/>
        </w:rPr>
        <w:t> </w:t>
      </w:r>
      <w:r>
        <w:rPr>
          <w:spacing w:val="-2"/>
        </w:rPr>
        <w:t>podpory“)</w:t>
      </w:r>
    </w:p>
    <w:p>
      <w:pPr>
        <w:pStyle w:val="BodyText"/>
        <w:rPr>
          <w:sz w:val="26"/>
        </w:rPr>
      </w:pPr>
    </w:p>
    <w:p>
      <w:pPr>
        <w:pStyle w:val="BodyText"/>
        <w:spacing w:before="185"/>
        <w:ind w:left="102"/>
      </w:pPr>
      <w:r>
        <w:rPr/>
        <w:t>se</w:t>
      </w:r>
      <w:r>
        <w:rPr>
          <w:spacing w:val="-7"/>
        </w:rPr>
        <w:t> </w:t>
      </w:r>
      <w:r>
        <w:rPr/>
        <w:t>dohodly</w:t>
      </w:r>
      <w:r>
        <w:rPr>
          <w:spacing w:val="-6"/>
        </w:rPr>
        <w:t> </w:t>
      </w:r>
      <w:r>
        <w:rPr>
          <w:spacing w:val="-2"/>
        </w:rPr>
        <w:t>takto:</w:t>
      </w:r>
    </w:p>
    <w:p>
      <w:pPr>
        <w:pStyle w:val="BodyText"/>
        <w:spacing w:before="1"/>
      </w:pPr>
    </w:p>
    <w:p>
      <w:pPr>
        <w:pStyle w:val="Heading1"/>
        <w:ind w:left="2296" w:right="2305"/>
      </w:pPr>
      <w:r>
        <w:rPr>
          <w:spacing w:val="-5"/>
        </w:rPr>
        <w:t>I.</w:t>
      </w:r>
    </w:p>
    <w:p>
      <w:pPr>
        <w:pStyle w:val="Heading2"/>
        <w:ind w:right="1060"/>
      </w:pPr>
      <w:r>
        <w:rPr/>
        <w:t>Předmět</w:t>
      </w:r>
      <w:r>
        <w:rPr>
          <w:spacing w:val="-12"/>
        </w:rPr>
        <w:t> </w:t>
      </w:r>
      <w:r>
        <w:rPr>
          <w:spacing w:val="-2"/>
        </w:rPr>
        <w:t>smlouvy</w:t>
      </w:r>
    </w:p>
    <w:p>
      <w:pPr>
        <w:pStyle w:val="BodyText"/>
        <w:spacing w:before="12"/>
        <w:rPr>
          <w:b/>
          <w:sz w:val="19"/>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spacing w:before="1"/>
        <w:ind w:left="385" w:right="109"/>
        <w:jc w:val="both"/>
      </w:pPr>
      <w:r>
        <w:rPr/>
        <w:t>„Smlouva“) se uzavírá na základě Rozhodnutí ministra životního prostředí č. 7221200080 o poskytnutí finančních prostředků ze Státního fondu životního prostředí ČR ze dne 11. 4. 2023 v</w:t>
      </w:r>
      <w:r>
        <w:rPr>
          <w:spacing w:val="-1"/>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1"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2/2022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spacing w:after="0"/>
        <w:rPr>
          <w:sz w:val="9"/>
        </w:rPr>
        <w:sectPr>
          <w:pgSz w:w="12240" w:h="15840"/>
          <w:pgMar w:header="708" w:footer="771" w:top="2040" w:bottom="960" w:left="1600" w:right="1020"/>
        </w:sect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BodyText"/>
        <w:spacing w:before="12"/>
        <w:rPr>
          <w:sz w:val="37"/>
        </w:rPr>
      </w:pPr>
    </w:p>
    <w:p>
      <w:pPr>
        <w:pStyle w:val="BodyText"/>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line="240" w:lineRule="auto" w:before="6"/>
        <w:rPr>
          <w:sz w:val="36"/>
        </w:rPr>
      </w:pPr>
      <w:r>
        <w:rPr/>
        <w:br w:type="column"/>
      </w:r>
      <w:r>
        <w:rPr>
          <w:sz w:val="36"/>
        </w:rPr>
      </w:r>
    </w:p>
    <w:p>
      <w:pPr>
        <w:pStyle w:val="Heading2"/>
        <w:spacing w:before="1"/>
        <w:ind w:left="102"/>
        <w:jc w:val="left"/>
      </w:pPr>
      <w:r>
        <w:rPr/>
        <w:t>„FVE</w:t>
      </w:r>
      <w:r>
        <w:rPr>
          <w:spacing w:val="-6"/>
        </w:rPr>
        <w:t> </w:t>
      </w:r>
      <w:r>
        <w:rPr/>
        <w:t>ELE</w:t>
      </w:r>
      <w:r>
        <w:rPr>
          <w:spacing w:val="-7"/>
        </w:rPr>
        <w:t> </w:t>
      </w:r>
      <w:r>
        <w:rPr>
          <w:spacing w:val="-2"/>
        </w:rPr>
        <w:t>Fučík“</w:t>
      </w:r>
    </w:p>
    <w:p>
      <w:pPr>
        <w:spacing w:after="0"/>
        <w:jc w:val="left"/>
        <w:sectPr>
          <w:type w:val="continuous"/>
          <w:pgSz w:w="12240" w:h="15840"/>
          <w:pgMar w:header="708" w:footer="771" w:top="2040" w:bottom="960" w:left="1600" w:right="1020"/>
          <w:cols w:num="2" w:equalWidth="0">
            <w:col w:w="3609" w:space="366"/>
            <w:col w:w="5645"/>
          </w:cols>
        </w:sectPr>
      </w:pPr>
    </w:p>
    <w:p>
      <w:pPr>
        <w:pStyle w:val="ListParagraph"/>
        <w:numPr>
          <w:ilvl w:val="0"/>
          <w:numId w:val="1"/>
        </w:numPr>
        <w:tabs>
          <w:tab w:pos="386" w:val="left" w:leader="none"/>
        </w:tabs>
        <w:spacing w:line="240" w:lineRule="auto" w:before="121" w:after="0"/>
        <w:ind w:left="385" w:right="115" w:hanging="284"/>
        <w:jc w:val="both"/>
        <w:rPr>
          <w:sz w:val="20"/>
        </w:rPr>
      </w:pPr>
      <w:r>
        <w:rPr>
          <w:sz w:val="20"/>
        </w:rPr>
        <w:t>Podpora</w:t>
      </w:r>
      <w:r>
        <w:rPr>
          <w:spacing w:val="-1"/>
          <w:sz w:val="20"/>
        </w:rPr>
        <w:t> </w:t>
      </w:r>
      <w:r>
        <w:rPr>
          <w:sz w:val="20"/>
        </w:rPr>
        <w:t>je</w:t>
      </w:r>
      <w:r>
        <w:rPr>
          <w:spacing w:val="-2"/>
          <w:sz w:val="20"/>
        </w:rPr>
        <w:t> </w:t>
      </w:r>
      <w:r>
        <w:rPr>
          <w:sz w:val="20"/>
        </w:rPr>
        <w:t>poskytována</w:t>
      </w:r>
      <w:r>
        <w:rPr>
          <w:spacing w:val="-1"/>
          <w:sz w:val="20"/>
        </w:rPr>
        <w:t> </w:t>
      </w:r>
      <w:r>
        <w:rPr>
          <w:sz w:val="20"/>
        </w:rPr>
        <w:t>v souladu</w:t>
      </w:r>
      <w:r>
        <w:rPr>
          <w:spacing w:val="-1"/>
          <w:sz w:val="20"/>
        </w:rPr>
        <w:t> </w:t>
      </w:r>
      <w:r>
        <w:rPr>
          <w:sz w:val="20"/>
        </w:rPr>
        <w:t>s</w:t>
      </w:r>
      <w:r>
        <w:rPr>
          <w:spacing w:val="-1"/>
          <w:sz w:val="20"/>
        </w:rPr>
        <w:t> </w:t>
      </w:r>
      <w:r>
        <w:rPr>
          <w:sz w:val="20"/>
        </w:rPr>
        <w:t>Nařízením Komise (EU)</w:t>
      </w:r>
      <w:r>
        <w:rPr>
          <w:spacing w:val="-1"/>
          <w:sz w:val="20"/>
        </w:rPr>
        <w:t> </w:t>
      </w:r>
      <w:r>
        <w:rPr>
          <w:sz w:val="20"/>
        </w:rPr>
        <w:t>č.</w:t>
      </w:r>
      <w:r>
        <w:rPr>
          <w:spacing w:val="-1"/>
          <w:sz w:val="20"/>
        </w:rPr>
        <w:t> </w:t>
      </w:r>
      <w:r>
        <w:rPr>
          <w:sz w:val="20"/>
        </w:rPr>
        <w:t>651/2014</w:t>
      </w:r>
      <w:r>
        <w:rPr>
          <w:spacing w:val="-1"/>
          <w:sz w:val="20"/>
        </w:rPr>
        <w:t> </w:t>
      </w:r>
      <w:r>
        <w:rPr>
          <w:sz w:val="20"/>
        </w:rPr>
        <w:t>ze</w:t>
      </w:r>
      <w:r>
        <w:rPr>
          <w:spacing w:val="-2"/>
          <w:sz w:val="20"/>
        </w:rPr>
        <w:t> </w:t>
      </w:r>
      <w:r>
        <w:rPr>
          <w:sz w:val="20"/>
        </w:rPr>
        <w:t>dne</w:t>
      </w:r>
      <w:r>
        <w:rPr>
          <w:spacing w:val="-1"/>
          <w:sz w:val="20"/>
        </w:rPr>
        <w:t> </w:t>
      </w:r>
      <w:r>
        <w:rPr>
          <w:sz w:val="20"/>
        </w:rPr>
        <w:t>17.</w:t>
      </w:r>
      <w:r>
        <w:rPr>
          <w:spacing w:val="-3"/>
          <w:sz w:val="20"/>
        </w:rPr>
        <w:t> </w:t>
      </w:r>
      <w:r>
        <w:rPr>
          <w:sz w:val="20"/>
        </w:rPr>
        <w:t>června</w:t>
      </w:r>
      <w:r>
        <w:rPr>
          <w:spacing w:val="-1"/>
          <w:sz w:val="20"/>
        </w:rPr>
        <w:t> </w:t>
      </w:r>
      <w:r>
        <w:rPr>
          <w:sz w:val="20"/>
        </w:rPr>
        <w:t>2014,</w:t>
      </w:r>
      <w:r>
        <w:rPr>
          <w:spacing w:val="-1"/>
          <w:sz w:val="20"/>
        </w:rPr>
        <w:t> </w:t>
      </w:r>
      <w:r>
        <w:rPr>
          <w:sz w:val="20"/>
        </w:rPr>
        <w:t>kterým se v souladu s články 107 a 108 Smlouvy prohlašují určité kategorie podpory za slučitelné s vnitřním trhem</w:t>
      </w:r>
      <w:r>
        <w:rPr>
          <w:spacing w:val="-10"/>
          <w:sz w:val="20"/>
        </w:rPr>
        <w:t> </w:t>
      </w:r>
      <w:r>
        <w:rPr>
          <w:sz w:val="20"/>
        </w:rPr>
        <w:t>(obecné</w:t>
      </w:r>
      <w:r>
        <w:rPr>
          <w:spacing w:val="-12"/>
          <w:sz w:val="20"/>
        </w:rPr>
        <w:t> </w:t>
      </w:r>
      <w:r>
        <w:rPr>
          <w:sz w:val="20"/>
        </w:rPr>
        <w:t>nařízení</w:t>
      </w:r>
      <w:r>
        <w:rPr>
          <w:spacing w:val="-11"/>
          <w:sz w:val="20"/>
        </w:rPr>
        <w:t> </w:t>
      </w:r>
      <w:r>
        <w:rPr>
          <w:sz w:val="20"/>
        </w:rPr>
        <w:t>o</w:t>
      </w:r>
      <w:r>
        <w:rPr>
          <w:spacing w:val="-11"/>
          <w:sz w:val="20"/>
        </w:rPr>
        <w:t> </w:t>
      </w:r>
      <w:r>
        <w:rPr>
          <w:sz w:val="20"/>
        </w:rPr>
        <w:t>blokových</w:t>
      </w:r>
      <w:r>
        <w:rPr>
          <w:spacing w:val="-11"/>
          <w:sz w:val="20"/>
        </w:rPr>
        <w:t> </w:t>
      </w:r>
      <w:r>
        <w:rPr>
          <w:sz w:val="20"/>
        </w:rPr>
        <w:t>výjimkách),</w:t>
      </w:r>
      <w:r>
        <w:rPr>
          <w:spacing w:val="-11"/>
          <w:sz w:val="20"/>
        </w:rPr>
        <w:t> </w:t>
      </w:r>
      <w:r>
        <w:rPr>
          <w:sz w:val="20"/>
        </w:rPr>
        <w:t>zveřejněném</w:t>
      </w:r>
      <w:r>
        <w:rPr>
          <w:spacing w:val="-10"/>
          <w:sz w:val="20"/>
        </w:rPr>
        <w:t> </w:t>
      </w:r>
      <w:r>
        <w:rPr>
          <w:sz w:val="20"/>
        </w:rPr>
        <w:t>v</w:t>
      </w:r>
      <w:r>
        <w:rPr>
          <w:spacing w:val="-11"/>
          <w:sz w:val="20"/>
        </w:rPr>
        <w:t> </w:t>
      </w:r>
      <w:r>
        <w:rPr>
          <w:sz w:val="20"/>
        </w:rPr>
        <w:t>Úředním</w:t>
      </w:r>
      <w:r>
        <w:rPr>
          <w:spacing w:val="-10"/>
          <w:sz w:val="20"/>
        </w:rPr>
        <w:t> </w:t>
      </w:r>
      <w:r>
        <w:rPr>
          <w:sz w:val="20"/>
        </w:rPr>
        <w:t>věstníku</w:t>
      </w:r>
      <w:r>
        <w:rPr>
          <w:spacing w:val="-11"/>
          <w:sz w:val="20"/>
        </w:rPr>
        <w:t> </w:t>
      </w:r>
      <w:r>
        <w:rPr>
          <w:sz w:val="20"/>
        </w:rPr>
        <w:t>EU</w:t>
      </w:r>
      <w:r>
        <w:rPr>
          <w:spacing w:val="-11"/>
          <w:sz w:val="20"/>
        </w:rPr>
        <w:t> </w:t>
      </w:r>
      <w:r>
        <w:rPr>
          <w:sz w:val="20"/>
        </w:rPr>
        <w:t>dne</w:t>
      </w:r>
      <w:r>
        <w:rPr>
          <w:spacing w:val="-12"/>
          <w:sz w:val="20"/>
        </w:rPr>
        <w:t> </w:t>
      </w:r>
      <w:r>
        <w:rPr>
          <w:sz w:val="20"/>
        </w:rPr>
        <w:t>26.</w:t>
      </w:r>
      <w:r>
        <w:rPr>
          <w:spacing w:val="-11"/>
          <w:sz w:val="20"/>
        </w:rPr>
        <w:t> </w:t>
      </w:r>
      <w:r>
        <w:rPr>
          <w:sz w:val="20"/>
        </w:rPr>
        <w:t>června</w:t>
      </w:r>
      <w:r>
        <w:rPr>
          <w:spacing w:val="-12"/>
          <w:sz w:val="20"/>
        </w:rPr>
        <w:t> </w:t>
      </w:r>
      <w:r>
        <w:rPr>
          <w:sz w:val="20"/>
        </w:rPr>
        <w:t>2014 a jejím oznámením SA.63670.</w:t>
      </w:r>
    </w:p>
    <w:p>
      <w:pPr>
        <w:pStyle w:val="BodyText"/>
        <w:spacing w:before="12"/>
        <w:rPr>
          <w:sz w:val="19"/>
        </w:rPr>
      </w:pPr>
    </w:p>
    <w:p>
      <w:pPr>
        <w:pStyle w:val="Heading1"/>
        <w:ind w:right="703"/>
      </w:pPr>
      <w:r>
        <w:rPr>
          <w:spacing w:val="-5"/>
        </w:rPr>
        <w:t>II.</w:t>
      </w:r>
    </w:p>
    <w:p>
      <w:pPr>
        <w:pStyle w:val="Heading2"/>
        <w:spacing w:before="1"/>
        <w:ind w:right="702"/>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1"/>
          <w:sz w:val="20"/>
        </w:rPr>
        <w:t> </w:t>
      </w:r>
      <w:r>
        <w:rPr>
          <w:sz w:val="20"/>
        </w:rPr>
        <w:t>dotace</w:t>
      </w:r>
      <w:r>
        <w:rPr>
          <w:spacing w:val="-2"/>
          <w:sz w:val="20"/>
        </w:rPr>
        <w:t> </w:t>
      </w:r>
      <w:r>
        <w:rPr>
          <w:sz w:val="20"/>
        </w:rPr>
        <w:t>ve</w:t>
      </w:r>
      <w:r>
        <w:rPr>
          <w:spacing w:val="-1"/>
          <w:sz w:val="20"/>
        </w:rPr>
        <w:t> </w:t>
      </w:r>
      <w:r>
        <w:rPr>
          <w:sz w:val="20"/>
        </w:rPr>
        <w:t>výši </w:t>
      </w:r>
      <w:r>
        <w:rPr>
          <w:b/>
          <w:sz w:val="20"/>
        </w:rPr>
        <w:t>198 408</w:t>
      </w:r>
      <w:r>
        <w:rPr>
          <w:b/>
          <w:spacing w:val="-3"/>
          <w:sz w:val="20"/>
        </w:rPr>
        <w:t> </w:t>
      </w:r>
      <w:r>
        <w:rPr>
          <w:b/>
          <w:sz w:val="20"/>
        </w:rPr>
        <w:t>319,20 Kč</w:t>
      </w:r>
      <w:r>
        <w:rPr>
          <w:b/>
          <w:spacing w:val="-3"/>
          <w:sz w:val="20"/>
        </w:rPr>
        <w:t> </w:t>
      </w:r>
      <w:r>
        <w:rPr>
          <w:sz w:val="20"/>
        </w:rPr>
        <w:t>(slovy: jedno sto devadesát</w:t>
      </w:r>
      <w:r>
        <w:rPr>
          <w:spacing w:val="-2"/>
          <w:sz w:val="20"/>
        </w:rPr>
        <w:t> </w:t>
      </w:r>
      <w:r>
        <w:rPr>
          <w:sz w:val="20"/>
        </w:rPr>
        <w:t>osm milionů</w:t>
      </w:r>
      <w:r>
        <w:rPr>
          <w:spacing w:val="-1"/>
          <w:sz w:val="20"/>
        </w:rPr>
        <w:t> </w:t>
      </w:r>
      <w:r>
        <w:rPr>
          <w:sz w:val="20"/>
        </w:rPr>
        <w:t>čtyři</w:t>
      </w:r>
      <w:r>
        <w:rPr>
          <w:spacing w:val="-1"/>
          <w:sz w:val="20"/>
        </w:rPr>
        <w:t> </w:t>
      </w:r>
      <w:r>
        <w:rPr>
          <w:sz w:val="20"/>
        </w:rPr>
        <w:t>sta</w:t>
      </w:r>
      <w:r>
        <w:rPr>
          <w:spacing w:val="-1"/>
          <w:sz w:val="20"/>
        </w:rPr>
        <w:t> </w:t>
      </w:r>
      <w:r>
        <w:rPr>
          <w:sz w:val="20"/>
        </w:rPr>
        <w:t>osm tisíc</w:t>
      </w:r>
      <w:r>
        <w:rPr>
          <w:spacing w:val="-2"/>
          <w:sz w:val="20"/>
        </w:rPr>
        <w:t> </w:t>
      </w:r>
      <w:r>
        <w:rPr>
          <w:sz w:val="20"/>
        </w:rPr>
        <w:t>tři sta devatenáct korun českých, dvacet 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760</w:t>
      </w:r>
      <w:r>
        <w:rPr>
          <w:spacing w:val="-1"/>
          <w:sz w:val="20"/>
        </w:rPr>
        <w:t> </w:t>
      </w:r>
      <w:r>
        <w:rPr>
          <w:sz w:val="20"/>
        </w:rPr>
        <w:t>412</w:t>
      </w:r>
      <w:r>
        <w:rPr>
          <w:spacing w:val="-1"/>
          <w:sz w:val="20"/>
        </w:rPr>
        <w:t> </w:t>
      </w:r>
      <w:r>
        <w:rPr>
          <w:sz w:val="20"/>
        </w:rPr>
        <w:t>814,00</w:t>
      </w:r>
      <w:r>
        <w:rPr>
          <w:spacing w:val="9"/>
          <w:sz w:val="20"/>
        </w:rPr>
        <w:t> </w:t>
      </w:r>
      <w:r>
        <w:rPr>
          <w:sz w:val="20"/>
        </w:rPr>
        <w:t>Kč (z</w:t>
      </w:r>
      <w:r>
        <w:rPr>
          <w:spacing w:val="-1"/>
          <w:sz w:val="20"/>
        </w:rPr>
        <w:t> </w:t>
      </w:r>
      <w:r>
        <w:rPr>
          <w:sz w:val="20"/>
        </w:rPr>
        <w:t>toho částka ve výši 760 387</w:t>
      </w:r>
      <w:r>
        <w:rPr>
          <w:spacing w:val="-1"/>
          <w:sz w:val="20"/>
        </w:rPr>
        <w:t> </w:t>
      </w:r>
      <w:r>
        <w:rPr>
          <w:sz w:val="20"/>
        </w:rPr>
        <w:t>814,00 Kč odpovídá investičním výdajům</w:t>
      </w:r>
      <w:r>
        <w:rPr>
          <w:spacing w:val="40"/>
          <w:sz w:val="20"/>
        </w:rPr>
        <w:t> </w:t>
      </w:r>
      <w:r>
        <w:rPr>
          <w:sz w:val="20"/>
        </w:rPr>
        <w:t>a částka ve výši 25 000 Kč odpovídá neinvestičním výdajům).</w:t>
      </w:r>
    </w:p>
    <w:p>
      <w:pPr>
        <w:pStyle w:val="ListParagraph"/>
        <w:numPr>
          <w:ilvl w:val="0"/>
          <w:numId w:val="2"/>
        </w:numPr>
        <w:tabs>
          <w:tab w:pos="386" w:val="left" w:leader="none"/>
        </w:tabs>
        <w:spacing w:line="240" w:lineRule="auto" w:before="121" w:after="0"/>
        <w:ind w:left="385" w:right="0" w:hanging="280"/>
        <w:jc w:val="both"/>
        <w:rPr>
          <w:sz w:val="20"/>
        </w:rPr>
      </w:pPr>
      <w:r>
        <w:rPr>
          <w:sz w:val="20"/>
        </w:rPr>
        <w:t>Podpora</w:t>
      </w:r>
      <w:r>
        <w:rPr>
          <w:spacing w:val="-7"/>
          <w:sz w:val="20"/>
        </w:rPr>
        <w:t> </w:t>
      </w:r>
      <w:r>
        <w:rPr>
          <w:sz w:val="20"/>
        </w:rPr>
        <w:t>nesmí</w:t>
      </w:r>
      <w:r>
        <w:rPr>
          <w:spacing w:val="-6"/>
          <w:sz w:val="20"/>
        </w:rPr>
        <w:t> </w:t>
      </w:r>
      <w:r>
        <w:rPr>
          <w:sz w:val="20"/>
        </w:rPr>
        <w:t>přesáhnout</w:t>
      </w:r>
      <w:r>
        <w:rPr>
          <w:spacing w:val="-3"/>
          <w:sz w:val="20"/>
        </w:rPr>
        <w:t> </w:t>
      </w:r>
      <w:r>
        <w:rPr>
          <w:sz w:val="20"/>
        </w:rPr>
        <w:t>50</w:t>
      </w:r>
      <w:r>
        <w:rPr>
          <w:spacing w:val="-6"/>
          <w:sz w:val="20"/>
        </w:rPr>
        <w:t> </w:t>
      </w:r>
      <w:r>
        <w:rPr>
          <w:sz w:val="20"/>
        </w:rPr>
        <w:t>%</w:t>
      </w:r>
      <w:r>
        <w:rPr>
          <w:spacing w:val="-5"/>
          <w:sz w:val="20"/>
        </w:rPr>
        <w:t> </w:t>
      </w:r>
      <w:r>
        <w:rPr>
          <w:sz w:val="20"/>
        </w:rPr>
        <w:t>z</w:t>
      </w:r>
      <w:r>
        <w:rPr>
          <w:spacing w:val="-4"/>
          <w:sz w:val="20"/>
        </w:rPr>
        <w:t> </w:t>
      </w:r>
      <w:r>
        <w:rPr>
          <w:sz w:val="20"/>
        </w:rPr>
        <w:t>celkových</w:t>
      </w:r>
      <w:r>
        <w:rPr>
          <w:spacing w:val="-6"/>
          <w:sz w:val="20"/>
        </w:rPr>
        <w:t> </w:t>
      </w:r>
      <w:r>
        <w:rPr>
          <w:sz w:val="20"/>
        </w:rPr>
        <w:t>výdajů</w:t>
      </w:r>
      <w:r>
        <w:rPr>
          <w:spacing w:val="-5"/>
          <w:sz w:val="20"/>
        </w:rPr>
        <w:t> </w:t>
      </w:r>
      <w:r>
        <w:rPr>
          <w:sz w:val="20"/>
        </w:rPr>
        <w:t>na</w:t>
      </w:r>
      <w:r>
        <w:rPr>
          <w:spacing w:val="-3"/>
          <w:sz w:val="20"/>
        </w:rPr>
        <w:t> </w:t>
      </w:r>
      <w:r>
        <w:rPr>
          <w:spacing w:val="-2"/>
          <w:sz w:val="20"/>
        </w:rPr>
        <w:t>projekt.</w:t>
      </w:r>
    </w:p>
    <w:p>
      <w:pPr>
        <w:pStyle w:val="ListParagraph"/>
        <w:numPr>
          <w:ilvl w:val="0"/>
          <w:numId w:val="2"/>
        </w:numPr>
        <w:tabs>
          <w:tab w:pos="386" w:val="left" w:leader="none"/>
        </w:tabs>
        <w:spacing w:line="240" w:lineRule="auto" w:before="120"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20"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4"/>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2"/>
          <w:sz w:val="20"/>
        </w:rPr>
        <w:t> </w:t>
      </w:r>
      <w:r>
        <w:rPr>
          <w:sz w:val="20"/>
        </w:rPr>
        <w:t>ze</w:t>
      </w:r>
      <w:r>
        <w:rPr>
          <w:spacing w:val="2"/>
          <w:sz w:val="20"/>
        </w:rPr>
        <w:t> </w:t>
      </w:r>
      <w:r>
        <w:rPr>
          <w:sz w:val="20"/>
        </w:rPr>
        <w:t>znění</w:t>
      </w:r>
      <w:r>
        <w:rPr>
          <w:spacing w:val="9"/>
          <w:sz w:val="20"/>
        </w:rPr>
        <w:t> </w:t>
      </w:r>
      <w:r>
        <w:rPr>
          <w:sz w:val="20"/>
        </w:rPr>
        <w:t>čl.</w:t>
      </w:r>
      <w:r>
        <w:rPr>
          <w:spacing w:val="3"/>
          <w:sz w:val="20"/>
        </w:rPr>
        <w:t> </w:t>
      </w:r>
      <w:r>
        <w:rPr>
          <w:sz w:val="20"/>
        </w:rPr>
        <w:t>9</w:t>
      </w:r>
      <w:r>
        <w:rPr>
          <w:spacing w:val="3"/>
          <w:sz w:val="20"/>
        </w:rPr>
        <w:t> </w:t>
      </w:r>
      <w:r>
        <w:rPr>
          <w:spacing w:val="-10"/>
          <w:sz w:val="20"/>
        </w:rPr>
        <w:t>a</w:t>
      </w:r>
    </w:p>
    <w:p>
      <w:pPr>
        <w:pStyle w:val="BodyText"/>
        <w:ind w:left="385"/>
        <w:jc w:val="both"/>
      </w:pPr>
      <w:r>
        <w:rPr/>
        <w:t>10</w:t>
      </w:r>
      <w:r>
        <w:rPr>
          <w:spacing w:val="-3"/>
        </w:rPr>
        <w:t> </w:t>
      </w:r>
      <w:r>
        <w:rPr>
          <w:spacing w:val="-2"/>
        </w:rPr>
        <w:t>Výzvy.</w:t>
      </w:r>
    </w:p>
    <w:p>
      <w:pPr>
        <w:pStyle w:val="BodyText"/>
        <w:spacing w:before="1"/>
      </w:pPr>
    </w:p>
    <w:p>
      <w:pPr>
        <w:pStyle w:val="Heading1"/>
        <w:ind w:right="1060"/>
      </w:pPr>
      <w:r>
        <w:rPr>
          <w:spacing w:val="-4"/>
        </w:rPr>
        <w:t>III.</w:t>
      </w:r>
    </w:p>
    <w:p>
      <w:pPr>
        <w:pStyle w:val="Heading2"/>
        <w:ind w:right="1060"/>
      </w:pPr>
      <w:r>
        <w:rPr/>
        <w:t>Platební</w:t>
      </w:r>
      <w:r>
        <w:rPr>
          <w:spacing w:val="-9"/>
        </w:rPr>
        <w:t> </w:t>
      </w:r>
      <w:r>
        <w:rPr>
          <w:spacing w:val="-2"/>
        </w:rPr>
        <w:t>podmínky</w:t>
      </w:r>
    </w:p>
    <w:p>
      <w:pPr>
        <w:pStyle w:val="BodyText"/>
        <w:spacing w:before="12"/>
        <w:rPr>
          <w:b/>
          <w:sz w:val="19"/>
        </w:rPr>
      </w:pPr>
    </w:p>
    <w:p>
      <w:pPr>
        <w:pStyle w:val="ListParagraph"/>
        <w:numPr>
          <w:ilvl w:val="0"/>
          <w:numId w:val="3"/>
        </w:numPr>
        <w:tabs>
          <w:tab w:pos="386" w:val="left" w:leader="none"/>
        </w:tabs>
        <w:spacing w:line="240" w:lineRule="auto" w:before="0"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0"/>
          <w:sz w:val="20"/>
        </w:rPr>
        <w:t> </w:t>
      </w:r>
      <w:r>
        <w:rPr>
          <w:sz w:val="20"/>
        </w:rPr>
        <w:t>bankovním</w:t>
      </w:r>
      <w:r>
        <w:rPr>
          <w:spacing w:val="22"/>
          <w:sz w:val="20"/>
        </w:rPr>
        <w:t> </w:t>
      </w:r>
      <w:r>
        <w:rPr>
          <w:sz w:val="20"/>
        </w:rPr>
        <w:t>převodem</w:t>
      </w:r>
      <w:r>
        <w:rPr>
          <w:spacing w:val="21"/>
          <w:sz w:val="20"/>
        </w:rPr>
        <w:t> </w:t>
      </w:r>
      <w:r>
        <w:rPr>
          <w:sz w:val="20"/>
        </w:rPr>
        <w:t>peněžních</w:t>
      </w:r>
      <w:r>
        <w:rPr>
          <w:spacing w:val="21"/>
          <w:sz w:val="20"/>
        </w:rPr>
        <w:t> </w:t>
      </w:r>
      <w:r>
        <w:rPr>
          <w:sz w:val="20"/>
        </w:rPr>
        <w:t>prostředků</w:t>
      </w:r>
      <w:r>
        <w:rPr>
          <w:spacing w:val="20"/>
          <w:sz w:val="20"/>
        </w:rPr>
        <w:t> </w:t>
      </w:r>
      <w:r>
        <w:rPr>
          <w:sz w:val="20"/>
        </w:rPr>
        <w:t>z</w:t>
      </w:r>
      <w:r>
        <w:rPr>
          <w:spacing w:val="21"/>
          <w:sz w:val="20"/>
        </w:rPr>
        <w:t> </w:t>
      </w:r>
      <w:r>
        <w:rPr>
          <w:sz w:val="20"/>
        </w:rPr>
        <w:t>bankovního</w:t>
      </w:r>
      <w:r>
        <w:rPr>
          <w:spacing w:val="21"/>
          <w:sz w:val="20"/>
        </w:rPr>
        <w:t> </w:t>
      </w:r>
      <w:r>
        <w:rPr>
          <w:sz w:val="20"/>
        </w:rPr>
        <w:t>účtu</w:t>
      </w:r>
      <w:r>
        <w:rPr>
          <w:spacing w:val="19"/>
          <w:sz w:val="20"/>
        </w:rPr>
        <w:t> </w:t>
      </w:r>
      <w:r>
        <w:rPr>
          <w:sz w:val="20"/>
        </w:rPr>
        <w:t>Fondu</w:t>
      </w:r>
      <w:r>
        <w:rPr>
          <w:spacing w:val="24"/>
          <w:sz w:val="20"/>
        </w:rPr>
        <w:t> </w:t>
      </w:r>
      <w:r>
        <w:rPr>
          <w:spacing w:val="-5"/>
          <w:sz w:val="20"/>
        </w:rPr>
        <w:t>na</w:t>
      </w:r>
    </w:p>
    <w:p>
      <w:pPr>
        <w:pStyle w:val="BodyTex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1"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19" w:after="0"/>
        <w:ind w:left="385" w:right="111"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10"/>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 plnění některé povinnosti vážně ohroženo.To platí i pro případ, že příjemce podpory v průběhu realizace akce nehradí z vlastních zdrojů plně výdaje</w:t>
      </w:r>
    </w:p>
    <w:p>
      <w:pPr>
        <w:spacing w:after="0" w:line="240" w:lineRule="auto"/>
        <w:jc w:val="both"/>
        <w:rPr>
          <w:sz w:val="20"/>
        </w:rPr>
        <w:sectPr>
          <w:type w:val="continuous"/>
          <w:pgSz w:w="12240" w:h="15840"/>
          <w:pgMar w:header="708" w:footer="771" w:top="2040" w:bottom="960" w:left="1600" w:right="1020"/>
        </w:sectPr>
      </w:pPr>
    </w:p>
    <w:p>
      <w:pPr>
        <w:pStyle w:val="BodyText"/>
        <w:spacing w:before="12"/>
        <w:rPr>
          <w:sz w:val="9"/>
        </w:rPr>
      </w:pPr>
    </w:p>
    <w:p>
      <w:pPr>
        <w:pStyle w:val="BodyText"/>
        <w:spacing w:before="99"/>
        <w:ind w:left="385"/>
        <w:jc w:val="both"/>
      </w:pPr>
      <w:r>
        <w:rPr/>
        <w:t>akce</w:t>
      </w:r>
      <w:r>
        <w:rPr>
          <w:spacing w:val="-7"/>
        </w:rPr>
        <w:t> </w:t>
      </w:r>
      <w:r>
        <w:rPr/>
        <w:t>přesahující</w:t>
      </w:r>
      <w:r>
        <w:rPr>
          <w:spacing w:val="-6"/>
        </w:rPr>
        <w:t> </w:t>
      </w:r>
      <w:r>
        <w:rPr/>
        <w:t>základ</w:t>
      </w:r>
      <w:r>
        <w:rPr>
          <w:spacing w:val="-5"/>
        </w:rPr>
        <w:t> </w:t>
      </w:r>
      <w:r>
        <w:rPr/>
        <w:t>pro</w:t>
      </w:r>
      <w:r>
        <w:rPr>
          <w:spacing w:val="-3"/>
        </w:rPr>
        <w:t> </w:t>
      </w:r>
      <w:r>
        <w:rPr/>
        <w:t>stanovení</w:t>
      </w:r>
      <w:r>
        <w:rPr>
          <w:spacing w:val="-6"/>
        </w:rPr>
        <w:t> </w:t>
      </w:r>
      <w:r>
        <w:rPr/>
        <w:t>podpory.</w:t>
      </w:r>
      <w:r>
        <w:rPr>
          <w:spacing w:val="-6"/>
        </w:rPr>
        <w:t> </w:t>
      </w:r>
      <w:r>
        <w:rPr/>
        <w:t>Ustanovení</w:t>
      </w:r>
      <w:r>
        <w:rPr>
          <w:spacing w:val="-7"/>
        </w:rPr>
        <w:t> </w:t>
      </w:r>
      <w:r>
        <w:rPr/>
        <w:t>článku</w:t>
      </w:r>
      <w:r>
        <w:rPr>
          <w:spacing w:val="-5"/>
        </w:rPr>
        <w:t> </w:t>
      </w:r>
      <w:r>
        <w:rPr/>
        <w:t>V</w:t>
      </w:r>
      <w:r>
        <w:rPr>
          <w:spacing w:val="-4"/>
        </w:rPr>
        <w:t> </w:t>
      </w:r>
      <w:r>
        <w:rPr/>
        <w:t>bodu</w:t>
      </w:r>
      <w:r>
        <w:rPr>
          <w:spacing w:val="-6"/>
        </w:rPr>
        <w:t> </w:t>
      </w:r>
      <w:r>
        <w:rPr/>
        <w:t>1 tím</w:t>
      </w:r>
      <w:r>
        <w:rPr>
          <w:spacing w:val="-5"/>
        </w:rPr>
        <w:t> </w:t>
      </w:r>
      <w:r>
        <w:rPr/>
        <w:t>není</w:t>
      </w:r>
      <w:r>
        <w:rPr>
          <w:spacing w:val="-6"/>
        </w:rPr>
        <w:t> </w:t>
      </w:r>
      <w:r>
        <w:rPr>
          <w:spacing w:val="-2"/>
        </w:rPr>
        <w:t>dotčeno.</w:t>
      </w:r>
    </w:p>
    <w:p>
      <w:pPr>
        <w:pStyle w:val="ListParagraph"/>
        <w:numPr>
          <w:ilvl w:val="0"/>
          <w:numId w:val="3"/>
        </w:numPr>
        <w:tabs>
          <w:tab w:pos="386" w:val="left" w:leader="none"/>
        </w:tabs>
        <w:spacing w:line="237" w:lineRule="auto" w:before="123"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2"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BodyText"/>
        <w:rPr>
          <w:sz w:val="26"/>
        </w:rPr>
      </w:pPr>
    </w:p>
    <w:p>
      <w:pPr>
        <w:pStyle w:val="Heading1"/>
        <w:spacing w:before="185"/>
      </w:pPr>
      <w:r>
        <w:rPr>
          <w:spacing w:val="-5"/>
        </w:rPr>
        <w:t>IV.</w:t>
      </w:r>
    </w:p>
    <w:p>
      <w:pPr>
        <w:pStyle w:val="Heading2"/>
        <w:spacing w:before="1"/>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1"/>
        <w:rPr>
          <w:b/>
          <w:sz w:val="19"/>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1" w:after="0"/>
        <w:ind w:left="745" w:right="113" w:hanging="360"/>
        <w:jc w:val="left"/>
        <w:rPr>
          <w:sz w:val="20"/>
        </w:rPr>
      </w:pPr>
      <w:r>
        <w:rPr>
          <w:sz w:val="20"/>
        </w:rPr>
        <w:t>splní účel akce „FVE ELE Fučík“</w:t>
      </w:r>
      <w:r>
        <w:rPr>
          <w:spacing w:val="-1"/>
          <w:sz w:val="20"/>
        </w:rPr>
        <w:t> </w:t>
      </w:r>
      <w:r>
        <w:rPr>
          <w:sz w:val="20"/>
        </w:rPr>
        <w:t>tím, že akce</w:t>
      </w:r>
      <w:r>
        <w:rPr>
          <w:spacing w:val="-1"/>
          <w:sz w:val="20"/>
        </w:rPr>
        <w:t> </w:t>
      </w:r>
      <w:r>
        <w:rPr>
          <w:sz w:val="20"/>
        </w:rPr>
        <w:t>bude</w:t>
      </w:r>
      <w:r>
        <w:rPr>
          <w:spacing w:val="-1"/>
          <w:sz w:val="20"/>
        </w:rPr>
        <w:t> </w:t>
      </w:r>
      <w:r>
        <w:rPr>
          <w:sz w:val="20"/>
        </w:rPr>
        <w:t>provedena v souladu s</w:t>
      </w:r>
      <w:r>
        <w:rPr>
          <w:spacing w:val="-2"/>
          <w:sz w:val="20"/>
        </w:rPr>
        <w:t> </w:t>
      </w:r>
      <w:r>
        <w:rPr>
          <w:sz w:val="20"/>
        </w:rPr>
        <w:t>Výzvou, žádostí o podporu a jejími přílohami a touto Smlouvou,</w:t>
      </w:r>
    </w:p>
    <w:p>
      <w:pPr>
        <w:pStyle w:val="ListParagraph"/>
        <w:numPr>
          <w:ilvl w:val="1"/>
          <w:numId w:val="4"/>
        </w:numPr>
        <w:tabs>
          <w:tab w:pos="746" w:val="left" w:leader="none"/>
          <w:tab w:pos="1658" w:val="left" w:leader="none"/>
          <w:tab w:pos="2606" w:val="left" w:leader="none"/>
          <w:tab w:pos="3322" w:val="left" w:leader="none"/>
          <w:tab w:pos="4453" w:val="left" w:leader="none"/>
          <w:tab w:pos="5093" w:val="left" w:leader="none"/>
          <w:tab w:pos="6443" w:val="left" w:leader="none"/>
          <w:tab w:pos="7530" w:val="left" w:leader="none"/>
          <w:tab w:pos="7825" w:val="left" w:leader="none"/>
          <w:tab w:pos="8798" w:val="left" w:leader="none"/>
        </w:tabs>
        <w:spacing w:line="240" w:lineRule="auto" w:before="1" w:after="0"/>
        <w:ind w:left="745" w:right="113" w:hanging="360"/>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t>k výstavbě</w:t>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10"/>
          <w:sz w:val="20"/>
        </w:rPr>
        <w:t>s</w:t>
      </w:r>
      <w:r>
        <w:rPr>
          <w:sz w:val="20"/>
        </w:rPr>
        <w:tab/>
      </w:r>
      <w:r>
        <w:rPr>
          <w:spacing w:val="-2"/>
          <w:sz w:val="20"/>
        </w:rPr>
        <w:t>pozemní</w:t>
      </w:r>
      <w:r>
        <w:rPr>
          <w:sz w:val="20"/>
        </w:rPr>
        <w:tab/>
      </w:r>
      <w:r>
        <w:rPr>
          <w:spacing w:val="-2"/>
          <w:sz w:val="20"/>
        </w:rPr>
        <w:t>instalací</w:t>
      </w:r>
      <w:r>
        <w:rPr>
          <w:spacing w:val="-2"/>
          <w:sz w:val="20"/>
        </w:rPr>
        <w:t> </w:t>
      </w:r>
      <w:r>
        <w:rPr>
          <w:sz w:val="20"/>
        </w:rPr>
        <w:t>s předpokládaným výkonem 46 313 kWp,</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58"/>
        <w:gridCol w:w="1666"/>
        <w:gridCol w:w="1675"/>
        <w:gridCol w:w="1829"/>
      </w:tblGrid>
      <w:tr>
        <w:trPr>
          <w:trHeight w:val="772" w:hRule="atLeast"/>
        </w:trPr>
        <w:tc>
          <w:tcPr>
            <w:tcW w:w="3658" w:type="dxa"/>
          </w:tcPr>
          <w:p>
            <w:pPr>
              <w:pStyle w:val="TableParagraph"/>
              <w:spacing w:before="120"/>
              <w:ind w:left="105"/>
              <w:rPr>
                <w:b/>
                <w:sz w:val="20"/>
              </w:rPr>
            </w:pPr>
            <w:r>
              <w:rPr>
                <w:b/>
                <w:spacing w:val="-2"/>
                <w:sz w:val="20"/>
              </w:rPr>
              <w:t>Indikátor</w:t>
            </w:r>
          </w:p>
        </w:tc>
        <w:tc>
          <w:tcPr>
            <w:tcW w:w="1666" w:type="dxa"/>
          </w:tcPr>
          <w:p>
            <w:pPr>
              <w:pStyle w:val="TableParagraph"/>
              <w:spacing w:before="120"/>
              <w:ind w:left="105"/>
              <w:rPr>
                <w:b/>
                <w:sz w:val="20"/>
              </w:rPr>
            </w:pPr>
            <w:r>
              <w:rPr>
                <w:b/>
                <w:spacing w:val="-2"/>
                <w:sz w:val="20"/>
              </w:rPr>
              <w:t>Jednotka</w:t>
            </w:r>
          </w:p>
        </w:tc>
        <w:tc>
          <w:tcPr>
            <w:tcW w:w="1675" w:type="dxa"/>
          </w:tcPr>
          <w:p>
            <w:pPr>
              <w:pStyle w:val="TableParagraph"/>
              <w:spacing w:before="120"/>
              <w:ind w:left="105"/>
              <w:rPr>
                <w:b/>
                <w:sz w:val="20"/>
              </w:rPr>
            </w:pPr>
            <w:r>
              <w:rPr>
                <w:b/>
                <w:spacing w:val="-2"/>
                <w:sz w:val="20"/>
              </w:rPr>
              <w:t>Výchozí</w:t>
            </w:r>
          </w:p>
          <w:p>
            <w:pPr>
              <w:pStyle w:val="TableParagraph"/>
              <w:ind w:left="105"/>
              <w:rPr>
                <w:b/>
                <w:sz w:val="20"/>
              </w:rPr>
            </w:pPr>
            <w:r>
              <w:rPr>
                <w:b/>
                <w:spacing w:val="-2"/>
                <w:sz w:val="20"/>
              </w:rPr>
              <w:t>hodnota</w:t>
            </w:r>
          </w:p>
        </w:tc>
        <w:tc>
          <w:tcPr>
            <w:tcW w:w="1829" w:type="dxa"/>
          </w:tcPr>
          <w:p>
            <w:pPr>
              <w:pStyle w:val="TableParagraph"/>
              <w:spacing w:before="120"/>
              <w:ind w:left="108"/>
              <w:rPr>
                <w:b/>
                <w:sz w:val="20"/>
              </w:rPr>
            </w:pPr>
            <w:r>
              <w:rPr>
                <w:b/>
                <w:sz w:val="20"/>
              </w:rPr>
              <w:t>Cílová</w:t>
            </w:r>
            <w:r>
              <w:rPr>
                <w:b/>
                <w:spacing w:val="-5"/>
                <w:sz w:val="20"/>
              </w:rPr>
              <w:t> </w:t>
            </w:r>
            <w:r>
              <w:rPr>
                <w:b/>
                <w:spacing w:val="-2"/>
                <w:sz w:val="20"/>
              </w:rPr>
              <w:t>hodnota</w:t>
            </w:r>
          </w:p>
        </w:tc>
      </w:tr>
      <w:tr>
        <w:trPr>
          <w:trHeight w:val="505" w:hRule="atLeast"/>
        </w:trPr>
        <w:tc>
          <w:tcPr>
            <w:tcW w:w="3658" w:type="dxa"/>
          </w:tcPr>
          <w:p>
            <w:pPr>
              <w:pStyle w:val="TableParagraph"/>
              <w:ind w:left="388"/>
              <w:rPr>
                <w:sz w:val="20"/>
              </w:rPr>
            </w:pPr>
            <w:r>
              <w:rPr>
                <w:sz w:val="20"/>
              </w:rPr>
              <w:t>Nově</w:t>
            </w:r>
            <w:r>
              <w:rPr>
                <w:spacing w:val="-7"/>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66" w:type="dxa"/>
          </w:tcPr>
          <w:p>
            <w:pPr>
              <w:pStyle w:val="TableParagraph"/>
              <w:spacing w:before="120"/>
              <w:ind w:left="388"/>
              <w:rPr>
                <w:sz w:val="20"/>
              </w:rPr>
            </w:pPr>
            <w:r>
              <w:rPr>
                <w:spacing w:val="-5"/>
                <w:sz w:val="20"/>
              </w:rPr>
              <w:t>kWp</w:t>
            </w:r>
          </w:p>
        </w:tc>
        <w:tc>
          <w:tcPr>
            <w:tcW w:w="1675" w:type="dxa"/>
          </w:tcPr>
          <w:p>
            <w:pPr>
              <w:pStyle w:val="TableParagraph"/>
              <w:spacing w:before="120"/>
              <w:ind w:left="388"/>
              <w:rPr>
                <w:sz w:val="20"/>
              </w:rPr>
            </w:pPr>
            <w:r>
              <w:rPr>
                <w:w w:val="99"/>
                <w:sz w:val="20"/>
              </w:rPr>
              <w:t>0</w:t>
            </w:r>
          </w:p>
        </w:tc>
        <w:tc>
          <w:tcPr>
            <w:tcW w:w="1829" w:type="dxa"/>
          </w:tcPr>
          <w:p>
            <w:pPr>
              <w:pStyle w:val="TableParagraph"/>
              <w:spacing w:before="120"/>
              <w:ind w:left="391"/>
              <w:rPr>
                <w:sz w:val="20"/>
              </w:rPr>
            </w:pPr>
            <w:r>
              <w:rPr>
                <w:spacing w:val="-2"/>
                <w:sz w:val="20"/>
              </w:rPr>
              <w:t>46313.80</w:t>
            </w:r>
          </w:p>
        </w:tc>
      </w:tr>
      <w:tr>
        <w:trPr>
          <w:trHeight w:val="505" w:hRule="atLeast"/>
        </w:trPr>
        <w:tc>
          <w:tcPr>
            <w:tcW w:w="3658"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66" w:type="dxa"/>
          </w:tcPr>
          <w:p>
            <w:pPr>
              <w:pStyle w:val="TableParagraph"/>
              <w:spacing w:before="120"/>
              <w:ind w:left="0" w:right="398"/>
              <w:jc w:val="right"/>
              <w:rPr>
                <w:sz w:val="20"/>
              </w:rPr>
            </w:pPr>
            <w:r>
              <w:rPr>
                <w:sz w:val="20"/>
              </w:rPr>
              <w:t>t</w:t>
            </w:r>
            <w:r>
              <w:rPr>
                <w:spacing w:val="-2"/>
                <w:sz w:val="20"/>
              </w:rPr>
              <w:t> CO2/rok</w:t>
            </w:r>
          </w:p>
        </w:tc>
        <w:tc>
          <w:tcPr>
            <w:tcW w:w="1675" w:type="dxa"/>
          </w:tcPr>
          <w:p>
            <w:pPr>
              <w:pStyle w:val="TableParagraph"/>
              <w:spacing w:before="120"/>
              <w:ind w:left="388"/>
              <w:rPr>
                <w:sz w:val="20"/>
              </w:rPr>
            </w:pPr>
            <w:r>
              <w:rPr>
                <w:w w:val="99"/>
                <w:sz w:val="20"/>
              </w:rPr>
              <w:t>0</w:t>
            </w:r>
          </w:p>
        </w:tc>
        <w:tc>
          <w:tcPr>
            <w:tcW w:w="1829" w:type="dxa"/>
          </w:tcPr>
          <w:p>
            <w:pPr>
              <w:pStyle w:val="TableParagraph"/>
              <w:spacing w:before="120"/>
              <w:ind w:left="391"/>
              <w:rPr>
                <w:sz w:val="20"/>
              </w:rPr>
            </w:pPr>
            <w:r>
              <w:rPr>
                <w:spacing w:val="-2"/>
                <w:sz w:val="20"/>
              </w:rPr>
              <w:t>37530.13</w:t>
            </w:r>
          </w:p>
        </w:tc>
      </w:tr>
      <w:tr>
        <w:trPr>
          <w:trHeight w:val="530" w:hRule="atLeast"/>
        </w:trPr>
        <w:tc>
          <w:tcPr>
            <w:tcW w:w="3658" w:type="dxa"/>
          </w:tcPr>
          <w:p>
            <w:pPr>
              <w:pStyle w:val="TableParagraph"/>
              <w:spacing w:line="264" w:lineRule="exact"/>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66" w:type="dxa"/>
          </w:tcPr>
          <w:p>
            <w:pPr>
              <w:pStyle w:val="TableParagraph"/>
              <w:spacing w:before="120"/>
              <w:ind w:left="0" w:right="422"/>
              <w:jc w:val="right"/>
              <w:rPr>
                <w:sz w:val="20"/>
              </w:rPr>
            </w:pPr>
            <w:r>
              <w:rPr>
                <w:spacing w:val="-2"/>
                <w:sz w:val="20"/>
              </w:rPr>
              <w:t>MWh/rok</w:t>
            </w:r>
          </w:p>
        </w:tc>
        <w:tc>
          <w:tcPr>
            <w:tcW w:w="1675" w:type="dxa"/>
          </w:tcPr>
          <w:p>
            <w:pPr>
              <w:pStyle w:val="TableParagraph"/>
              <w:spacing w:before="120"/>
              <w:ind w:left="388"/>
              <w:rPr>
                <w:sz w:val="20"/>
              </w:rPr>
            </w:pPr>
            <w:r>
              <w:rPr>
                <w:w w:val="99"/>
                <w:sz w:val="20"/>
              </w:rPr>
              <w:t>0</w:t>
            </w:r>
          </w:p>
        </w:tc>
        <w:tc>
          <w:tcPr>
            <w:tcW w:w="1829" w:type="dxa"/>
          </w:tcPr>
          <w:p>
            <w:pPr>
              <w:pStyle w:val="TableParagraph"/>
              <w:spacing w:before="120"/>
              <w:ind w:left="391"/>
              <w:rPr>
                <w:sz w:val="20"/>
              </w:rPr>
            </w:pPr>
            <w:r>
              <w:rPr>
                <w:spacing w:val="-2"/>
                <w:sz w:val="20"/>
              </w:rPr>
              <w:t>113093.24</w:t>
            </w:r>
          </w:p>
        </w:tc>
      </w:tr>
      <w:tr>
        <w:trPr>
          <w:trHeight w:val="509" w:hRule="atLeast"/>
        </w:trPr>
        <w:tc>
          <w:tcPr>
            <w:tcW w:w="3658"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66" w:type="dxa"/>
          </w:tcPr>
          <w:p>
            <w:pPr>
              <w:pStyle w:val="TableParagraph"/>
              <w:spacing w:before="123"/>
              <w:ind w:left="0" w:right="422"/>
              <w:jc w:val="right"/>
              <w:rPr>
                <w:sz w:val="20"/>
              </w:rPr>
            </w:pPr>
            <w:r>
              <w:rPr>
                <w:spacing w:val="-2"/>
                <w:sz w:val="20"/>
              </w:rPr>
              <w:t>MWh/rok</w:t>
            </w:r>
          </w:p>
        </w:tc>
        <w:tc>
          <w:tcPr>
            <w:tcW w:w="1675" w:type="dxa"/>
          </w:tcPr>
          <w:p>
            <w:pPr>
              <w:pStyle w:val="TableParagraph"/>
              <w:spacing w:before="123"/>
              <w:ind w:left="388"/>
              <w:rPr>
                <w:sz w:val="20"/>
              </w:rPr>
            </w:pPr>
            <w:r>
              <w:rPr>
                <w:w w:val="99"/>
                <w:sz w:val="20"/>
              </w:rPr>
              <w:t>0</w:t>
            </w:r>
          </w:p>
        </w:tc>
        <w:tc>
          <w:tcPr>
            <w:tcW w:w="1829" w:type="dxa"/>
          </w:tcPr>
          <w:p>
            <w:pPr>
              <w:pStyle w:val="TableParagraph"/>
              <w:spacing w:before="123"/>
              <w:ind w:left="391"/>
              <w:rPr>
                <w:sz w:val="20"/>
              </w:rPr>
            </w:pPr>
            <w:r>
              <w:rPr>
                <w:spacing w:val="-2"/>
                <w:sz w:val="20"/>
              </w:rPr>
              <w:t>43760</w:t>
            </w:r>
          </w:p>
        </w:tc>
      </w:tr>
    </w:tbl>
    <w:p>
      <w:pPr>
        <w:pStyle w:val="BodyText"/>
        <w:rPr>
          <w:sz w:val="38"/>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6" w:val="left" w:leader="none"/>
        </w:tabs>
        <w:spacing w:line="276" w:lineRule="auto" w:before="99" w:after="0"/>
        <w:ind w:left="745" w:right="111"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5</w:t>
      </w:r>
      <w:r>
        <w:rPr>
          <w:spacing w:val="-10"/>
          <w:sz w:val="20"/>
        </w:rPr>
        <w:t> </w:t>
      </w:r>
      <w:r>
        <w:rPr>
          <w:sz w:val="20"/>
        </w:rPr>
        <w:t>let</w:t>
      </w:r>
      <w:r>
        <w:rPr>
          <w:spacing w:val="-10"/>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w:t>
      </w:r>
      <w:r>
        <w:rPr>
          <w:spacing w:val="-1"/>
          <w:sz w:val="20"/>
        </w:rPr>
        <w:t> </w:t>
      </w:r>
      <w:r>
        <w:rPr>
          <w:sz w:val="20"/>
        </w:rPr>
        <w:t>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9"/>
          <w:sz w:val="20"/>
        </w:rPr>
        <w:t> </w:t>
      </w:r>
      <w:r>
        <w:rPr>
          <w:sz w:val="20"/>
        </w:rPr>
        <w:t>termín</w:t>
      </w:r>
      <w:r>
        <w:rPr>
          <w:spacing w:val="-11"/>
          <w:sz w:val="20"/>
        </w:rPr>
        <w:t> </w:t>
      </w:r>
      <w:r>
        <w:rPr>
          <w:sz w:val="20"/>
        </w:rPr>
        <w:t>schválení</w:t>
      </w:r>
      <w:r>
        <w:rPr>
          <w:spacing w:val="-10"/>
          <w:sz w:val="20"/>
        </w:rPr>
        <w:t> </w:t>
      </w:r>
      <w:r>
        <w:rPr>
          <w:sz w:val="20"/>
        </w:rPr>
        <w:t>protokolu</w:t>
      </w:r>
      <w:r>
        <w:rPr>
          <w:spacing w:val="-8"/>
          <w:sz w:val="20"/>
        </w:rPr>
        <w:t> </w:t>
      </w:r>
      <w:r>
        <w:rPr>
          <w:sz w:val="20"/>
        </w:rPr>
        <w:t>o</w:t>
      </w:r>
      <w:r>
        <w:rPr>
          <w:spacing w:val="-7"/>
          <w:sz w:val="20"/>
        </w:rPr>
        <w:t> </w:t>
      </w:r>
      <w:r>
        <w:rPr>
          <w:sz w:val="20"/>
        </w:rPr>
        <w:t>předání</w:t>
      </w:r>
      <w:r>
        <w:rPr>
          <w:spacing w:val="-8"/>
          <w:sz w:val="20"/>
        </w:rPr>
        <w:t> </w:t>
      </w:r>
      <w:r>
        <w:rPr>
          <w:sz w:val="20"/>
        </w:rPr>
        <w:t>a</w:t>
      </w:r>
      <w:r>
        <w:rPr>
          <w:spacing w:val="-11"/>
          <w:sz w:val="20"/>
        </w:rPr>
        <w:t> </w:t>
      </w:r>
      <w:r>
        <w:rPr>
          <w:sz w:val="20"/>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19" w:after="0"/>
        <w:ind w:left="745" w:right="108" w:hanging="360"/>
        <w:jc w:val="both"/>
        <w:rPr>
          <w:sz w:val="20"/>
        </w:rPr>
      </w:pPr>
      <w:r>
        <w:rPr>
          <w:sz w:val="20"/>
        </w:rPr>
        <w:t>předloží Fondu současně s žádostí o platbu nejpozději do 3 měsíců od termínu podle písmene e) podklady k ZVA podle čl. 14.2 Výzvy.</w:t>
      </w:r>
    </w:p>
    <w:p>
      <w:pPr>
        <w:pStyle w:val="ListParagraph"/>
        <w:numPr>
          <w:ilvl w:val="1"/>
          <w:numId w:val="4"/>
        </w:numPr>
        <w:tabs>
          <w:tab w:pos="746" w:val="left" w:leader="none"/>
        </w:tabs>
        <w:spacing w:line="240" w:lineRule="auto" w:before="122"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19"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3"/>
        <w:ind w:left="745"/>
        <w:jc w:val="both"/>
      </w:pPr>
      <w:r>
        <w:rPr/>
        <w:t>o</w:t>
      </w:r>
      <w:r>
        <w:rPr>
          <w:spacing w:val="4"/>
        </w:rPr>
        <w:t> </w:t>
      </w:r>
      <w:r>
        <w:rPr/>
        <w:t>případném</w:t>
      </w:r>
      <w:r>
        <w:rPr>
          <w:spacing w:val="20"/>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 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21" w:after="0"/>
        <w:ind w:left="745" w:right="0" w:hanging="361"/>
        <w:jc w:val="both"/>
        <w:rPr>
          <w:sz w:val="20"/>
        </w:rPr>
      </w:pPr>
      <w:r>
        <w:rPr>
          <w:sz w:val="20"/>
        </w:rPr>
        <w:t>příjemce</w:t>
      </w:r>
      <w:r>
        <w:rPr>
          <w:spacing w:val="10"/>
          <w:sz w:val="20"/>
        </w:rPr>
        <w:t> </w:t>
      </w:r>
      <w:r>
        <w:rPr>
          <w:sz w:val="20"/>
        </w:rPr>
        <w:t>podpory</w:t>
      </w:r>
      <w:r>
        <w:rPr>
          <w:spacing w:val="12"/>
          <w:sz w:val="20"/>
        </w:rPr>
        <w:t> </w:t>
      </w:r>
      <w:r>
        <w:rPr>
          <w:sz w:val="20"/>
        </w:rPr>
        <w:t>ponechá</w:t>
      </w:r>
      <w:r>
        <w:rPr>
          <w:spacing w:val="12"/>
          <w:sz w:val="20"/>
        </w:rPr>
        <w:t> </w:t>
      </w:r>
      <w:r>
        <w:rPr>
          <w:sz w:val="20"/>
        </w:rPr>
        <w:t>předmět</w:t>
      </w:r>
      <w:r>
        <w:rPr>
          <w:spacing w:val="12"/>
          <w:sz w:val="20"/>
        </w:rPr>
        <w:t> </w:t>
      </w:r>
      <w:r>
        <w:rPr>
          <w:sz w:val="20"/>
        </w:rPr>
        <w:t>podpory</w:t>
      </w:r>
      <w:r>
        <w:rPr>
          <w:spacing w:val="11"/>
          <w:sz w:val="20"/>
        </w:rPr>
        <w:t> </w:t>
      </w:r>
      <w:r>
        <w:rPr>
          <w:sz w:val="20"/>
        </w:rPr>
        <w:t>ve</w:t>
      </w:r>
      <w:r>
        <w:rPr>
          <w:spacing w:val="11"/>
          <w:sz w:val="20"/>
        </w:rPr>
        <w:t> </w:t>
      </w:r>
      <w:r>
        <w:rPr>
          <w:sz w:val="20"/>
        </w:rPr>
        <w:t>svém</w:t>
      </w:r>
      <w:r>
        <w:rPr>
          <w:spacing w:val="13"/>
          <w:sz w:val="20"/>
        </w:rPr>
        <w:t> </w:t>
      </w:r>
      <w:r>
        <w:rPr>
          <w:sz w:val="20"/>
        </w:rPr>
        <w:t>vlastnictví</w:t>
      </w:r>
      <w:r>
        <w:rPr>
          <w:spacing w:val="11"/>
          <w:sz w:val="20"/>
        </w:rPr>
        <w:t> </w:t>
      </w:r>
      <w:r>
        <w:rPr>
          <w:sz w:val="20"/>
        </w:rPr>
        <w:t>alespoň</w:t>
      </w:r>
      <w:r>
        <w:rPr>
          <w:spacing w:val="12"/>
          <w:sz w:val="20"/>
        </w:rPr>
        <w:t> </w:t>
      </w:r>
      <w:r>
        <w:rPr>
          <w:sz w:val="20"/>
        </w:rPr>
        <w:t>po</w:t>
      </w:r>
      <w:r>
        <w:rPr>
          <w:spacing w:val="12"/>
          <w:sz w:val="20"/>
        </w:rPr>
        <w:t> </w:t>
      </w:r>
      <w:r>
        <w:rPr>
          <w:sz w:val="20"/>
        </w:rPr>
        <w:t>dobu</w:t>
      </w:r>
      <w:r>
        <w:rPr>
          <w:spacing w:val="18"/>
          <w:sz w:val="20"/>
        </w:rPr>
        <w:t> </w:t>
      </w:r>
      <w:r>
        <w:rPr>
          <w:sz w:val="20"/>
        </w:rPr>
        <w:t>udržitelnosti</w:t>
      </w:r>
      <w:r>
        <w:rPr>
          <w:spacing w:val="13"/>
          <w:sz w:val="20"/>
        </w:rPr>
        <w:t> </w:t>
      </w:r>
      <w:r>
        <w:rPr>
          <w:spacing w:val="-10"/>
          <w:sz w:val="20"/>
        </w:rPr>
        <w:t>–</w:t>
      </w:r>
    </w:p>
    <w:p>
      <w:pPr>
        <w:pStyle w:val="BodyText"/>
        <w:ind w:left="745"/>
        <w:jc w:val="both"/>
      </w:pPr>
      <w:r>
        <w:rPr/>
        <w:t>podle</w:t>
      </w:r>
      <w:r>
        <w:rPr>
          <w:spacing w:val="-7"/>
        </w:rPr>
        <w:t> </w:t>
      </w:r>
      <w:r>
        <w:rPr/>
        <w:t>písmene</w:t>
      </w:r>
      <w:r>
        <w:rPr>
          <w:spacing w:val="-6"/>
        </w:rPr>
        <w:t> </w:t>
      </w:r>
      <w:r>
        <w:rPr>
          <w:spacing w:val="-5"/>
        </w:rPr>
        <w:t>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 související</w:t>
      </w:r>
      <w:r>
        <w:rPr>
          <w:spacing w:val="-2"/>
          <w:sz w:val="20"/>
        </w:rPr>
        <w:t> </w:t>
      </w:r>
      <w:r>
        <w:rPr>
          <w:sz w:val="20"/>
        </w:rPr>
        <w:t>s</w:t>
      </w:r>
      <w:r>
        <w:rPr>
          <w:spacing w:val="-4"/>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19"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6" w:val="left" w:leader="none"/>
        </w:tabs>
        <w:spacing w:line="240" w:lineRule="auto" w:before="99"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0"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18" w:after="0"/>
        <w:ind w:left="668" w:right="116"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21" w:after="0"/>
        <w:ind w:left="668" w:right="116"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0"/>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19"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2" w:after="0"/>
        <w:ind w:left="668" w:right="111"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37" w:lineRule="auto" w:before="123" w:after="0"/>
        <w:ind w:left="668" w:right="111"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2"/>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10"/>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1"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1"/>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pPr>
    </w:p>
    <w:p>
      <w:pPr>
        <w:pStyle w:val="Heading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2"/>
        <w:rPr>
          <w:b/>
          <w:sz w:val="19"/>
        </w:rPr>
      </w:pPr>
    </w:p>
    <w:p>
      <w:pPr>
        <w:pStyle w:val="ListParagraph"/>
        <w:numPr>
          <w:ilvl w:val="0"/>
          <w:numId w:val="5"/>
        </w:numPr>
        <w:tabs>
          <w:tab w:pos="284" w:val="left" w:leader="none"/>
        </w:tabs>
        <w:spacing w:line="240" w:lineRule="auto" w:before="0" w:after="0"/>
        <w:ind w:left="283" w:right="112" w:hanging="284"/>
        <w:jc w:val="right"/>
        <w:rPr>
          <w:sz w:val="20"/>
        </w:rPr>
      </w:pPr>
      <w:r>
        <w:rPr>
          <w:sz w:val="20"/>
        </w:rPr>
        <w:t>Jestliže</w:t>
      </w:r>
      <w:r>
        <w:rPr>
          <w:spacing w:val="64"/>
          <w:sz w:val="20"/>
        </w:rPr>
        <w:t> </w:t>
      </w:r>
      <w:r>
        <w:rPr>
          <w:sz w:val="20"/>
        </w:rPr>
        <w:t>příjemce</w:t>
      </w:r>
      <w:r>
        <w:rPr>
          <w:spacing w:val="64"/>
          <w:sz w:val="20"/>
        </w:rPr>
        <w:t> </w:t>
      </w:r>
      <w:r>
        <w:rPr>
          <w:sz w:val="20"/>
        </w:rPr>
        <w:t>podpory</w:t>
      </w:r>
      <w:r>
        <w:rPr>
          <w:spacing w:val="66"/>
          <w:sz w:val="20"/>
        </w:rPr>
        <w:t> </w:t>
      </w:r>
      <w:r>
        <w:rPr>
          <w:sz w:val="20"/>
        </w:rPr>
        <w:t>nesplní</w:t>
      </w:r>
      <w:r>
        <w:rPr>
          <w:spacing w:val="65"/>
          <w:sz w:val="20"/>
        </w:rPr>
        <w:t> </w:t>
      </w:r>
      <w:r>
        <w:rPr>
          <w:sz w:val="20"/>
        </w:rPr>
        <w:t>některý</w:t>
      </w:r>
      <w:r>
        <w:rPr>
          <w:spacing w:val="67"/>
          <w:sz w:val="20"/>
        </w:rPr>
        <w:t> </w:t>
      </w:r>
      <w:r>
        <w:rPr>
          <w:sz w:val="20"/>
        </w:rPr>
        <w:t>ze</w:t>
      </w:r>
      <w:r>
        <w:rPr>
          <w:spacing w:val="64"/>
          <w:sz w:val="20"/>
        </w:rPr>
        <w:t> </w:t>
      </w:r>
      <w:r>
        <w:rPr>
          <w:sz w:val="20"/>
        </w:rPr>
        <w:t>závazků</w:t>
      </w:r>
      <w:r>
        <w:rPr>
          <w:spacing w:val="65"/>
          <w:sz w:val="20"/>
        </w:rPr>
        <w:t> </w:t>
      </w:r>
      <w:r>
        <w:rPr>
          <w:sz w:val="20"/>
        </w:rPr>
        <w:t>stanovených</w:t>
      </w:r>
      <w:r>
        <w:rPr>
          <w:spacing w:val="67"/>
          <w:sz w:val="20"/>
        </w:rPr>
        <w:t> </w:t>
      </w:r>
      <w:r>
        <w:rPr>
          <w:sz w:val="20"/>
        </w:rPr>
        <w:t>touto</w:t>
      </w:r>
      <w:r>
        <w:rPr>
          <w:spacing w:val="66"/>
          <w:sz w:val="20"/>
        </w:rPr>
        <w:t> </w:t>
      </w:r>
      <w:r>
        <w:rPr>
          <w:sz w:val="20"/>
        </w:rPr>
        <w:t>Smlouvou,</w:t>
      </w:r>
      <w:r>
        <w:rPr>
          <w:spacing w:val="65"/>
          <w:sz w:val="20"/>
        </w:rPr>
        <w:t> </w:t>
      </w:r>
      <w:r>
        <w:rPr>
          <w:sz w:val="20"/>
        </w:rPr>
        <w:t>bude</w:t>
      </w:r>
      <w:r>
        <w:rPr>
          <w:spacing w:val="64"/>
          <w:sz w:val="20"/>
        </w:rPr>
        <w:t> </w:t>
      </w:r>
      <w:r>
        <w:rPr>
          <w:spacing w:val="-4"/>
          <w:sz w:val="20"/>
        </w:rPr>
        <w:t>Fond</w:t>
      </w:r>
    </w:p>
    <w:p>
      <w:pPr>
        <w:pStyle w:val="BodyText"/>
        <w:spacing w:before="1"/>
        <w:ind w:right="113"/>
        <w:jc w:val="right"/>
      </w:pPr>
      <w:r>
        <w:rPr/>
        <w:t>postupovat</w:t>
      </w:r>
      <w:r>
        <w:rPr>
          <w:spacing w:val="32"/>
        </w:rPr>
        <w:t> </w:t>
      </w:r>
      <w:r>
        <w:rPr/>
        <w:t>ve</w:t>
      </w:r>
      <w:r>
        <w:rPr>
          <w:spacing w:val="33"/>
        </w:rPr>
        <w:t> </w:t>
      </w:r>
      <w:r>
        <w:rPr/>
        <w:t>smyslu</w:t>
      </w:r>
      <w:r>
        <w:rPr>
          <w:spacing w:val="34"/>
        </w:rPr>
        <w:t> </w:t>
      </w:r>
      <w:r>
        <w:rPr/>
        <w:t>příslušných</w:t>
      </w:r>
      <w:r>
        <w:rPr>
          <w:spacing w:val="34"/>
        </w:rPr>
        <w:t> </w:t>
      </w:r>
      <w:r>
        <w:rPr/>
        <w:t>ustanovení</w:t>
      </w:r>
      <w:r>
        <w:rPr>
          <w:spacing w:val="33"/>
        </w:rPr>
        <w:t> </w:t>
      </w:r>
      <w:r>
        <w:rPr/>
        <w:t>zákona</w:t>
      </w:r>
      <w:r>
        <w:rPr>
          <w:spacing w:val="35"/>
        </w:rPr>
        <w:t> </w:t>
      </w:r>
      <w:r>
        <w:rPr/>
        <w:t>č.</w:t>
      </w:r>
      <w:r>
        <w:rPr>
          <w:spacing w:val="34"/>
        </w:rPr>
        <w:t> </w:t>
      </w:r>
      <w:r>
        <w:rPr/>
        <w:t>218/2000</w:t>
      </w:r>
      <w:r>
        <w:rPr>
          <w:spacing w:val="34"/>
        </w:rPr>
        <w:t> </w:t>
      </w:r>
      <w:r>
        <w:rPr/>
        <w:t>Sb.,</w:t>
      </w:r>
      <w:r>
        <w:rPr>
          <w:spacing w:val="40"/>
        </w:rPr>
        <w:t> </w:t>
      </w:r>
      <w:r>
        <w:rPr/>
        <w:t>o</w:t>
      </w:r>
      <w:r>
        <w:rPr>
          <w:spacing w:val="34"/>
        </w:rPr>
        <w:t> </w:t>
      </w:r>
      <w:r>
        <w:rPr/>
        <w:t>rozpočtových</w:t>
      </w:r>
      <w:r>
        <w:rPr>
          <w:spacing w:val="35"/>
        </w:rPr>
        <w:t> </w:t>
      </w:r>
      <w:r>
        <w:rPr/>
        <w:t>pravidlech</w:t>
      </w:r>
      <w:r>
        <w:rPr>
          <w:spacing w:val="36"/>
        </w:rPr>
        <w:t> </w:t>
      </w:r>
      <w:r>
        <w:rPr>
          <w:spacing w:val="-10"/>
        </w:rPr>
        <w:t>a</w:t>
      </w:r>
    </w:p>
    <w:p>
      <w:pPr>
        <w:pStyle w:val="BodyText"/>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1" w:after="0"/>
        <w:ind w:left="385" w:right="114" w:hanging="284"/>
        <w:jc w:val="left"/>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5"/>
        </w:numPr>
        <w:tabs>
          <w:tab w:pos="386" w:val="left" w:leader="none"/>
        </w:tabs>
        <w:spacing w:line="240" w:lineRule="auto" w:before="99" w:after="0"/>
        <w:ind w:left="385" w:right="114"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5"/>
          <w:sz w:val="20"/>
        </w:rPr>
        <w:t> </w:t>
      </w:r>
      <w:r>
        <w:rPr>
          <w:sz w:val="20"/>
        </w:rPr>
        <w:t>%</w:t>
      </w:r>
      <w:r>
        <w:rPr>
          <w:spacing w:val="-4"/>
          <w:sz w:val="20"/>
        </w:rPr>
        <w:t> </w:t>
      </w:r>
      <w:r>
        <w:rPr>
          <w:sz w:val="20"/>
        </w:rPr>
        <w:t>z</w:t>
      </w:r>
      <w:r>
        <w:rPr>
          <w:spacing w:val="-2"/>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0" w:after="0"/>
        <w:ind w:left="385" w:right="111" w:hanging="284"/>
        <w:jc w:val="both"/>
        <w:rPr>
          <w:sz w:val="20"/>
        </w:rPr>
      </w:pPr>
      <w:r>
        <w:rPr>
          <w:sz w:val="20"/>
        </w:rPr>
        <w:t>Porušení</w:t>
      </w:r>
      <w:r>
        <w:rPr>
          <w:spacing w:val="36"/>
          <w:sz w:val="20"/>
        </w:rPr>
        <w:t> </w:t>
      </w:r>
      <w:r>
        <w:rPr>
          <w:sz w:val="20"/>
        </w:rPr>
        <w:t>povinnosti</w:t>
      </w:r>
      <w:r>
        <w:rPr>
          <w:spacing w:val="36"/>
          <w:sz w:val="20"/>
        </w:rPr>
        <w:t> </w:t>
      </w:r>
      <w:r>
        <w:rPr>
          <w:sz w:val="20"/>
        </w:rPr>
        <w:t>podle</w:t>
      </w:r>
      <w:r>
        <w:rPr>
          <w:spacing w:val="38"/>
          <w:sz w:val="20"/>
        </w:rPr>
        <w:t> </w:t>
      </w:r>
      <w:r>
        <w:rPr>
          <w:sz w:val="20"/>
        </w:rPr>
        <w:t>článku</w:t>
      </w:r>
      <w:r>
        <w:rPr>
          <w:spacing w:val="39"/>
          <w:sz w:val="20"/>
        </w:rPr>
        <w:t> </w:t>
      </w:r>
      <w:r>
        <w:rPr>
          <w:sz w:val="20"/>
        </w:rPr>
        <w:t>IV</w:t>
      </w:r>
      <w:r>
        <w:rPr>
          <w:spacing w:val="37"/>
          <w:sz w:val="20"/>
        </w:rPr>
        <w:t> </w:t>
      </w:r>
      <w:r>
        <w:rPr>
          <w:sz w:val="20"/>
        </w:rPr>
        <w:t>bodu</w:t>
      </w:r>
      <w:r>
        <w:rPr>
          <w:spacing w:val="37"/>
          <w:sz w:val="20"/>
        </w:rPr>
        <w:t> </w:t>
      </w:r>
      <w:r>
        <w:rPr>
          <w:sz w:val="20"/>
        </w:rPr>
        <w:t>1</w:t>
      </w:r>
      <w:r>
        <w:rPr>
          <w:spacing w:val="37"/>
          <w:sz w:val="20"/>
        </w:rPr>
        <w:t> </w:t>
      </w:r>
      <w:r>
        <w:rPr>
          <w:sz w:val="20"/>
        </w:rPr>
        <w:t>písm.</w:t>
      </w:r>
      <w:r>
        <w:rPr>
          <w:spacing w:val="36"/>
          <w:sz w:val="20"/>
        </w:rPr>
        <w:t> </w:t>
      </w:r>
      <w:r>
        <w:rPr>
          <w:sz w:val="20"/>
        </w:rPr>
        <w:t>k)</w:t>
      </w:r>
      <w:r>
        <w:rPr>
          <w:spacing w:val="36"/>
          <w:sz w:val="20"/>
        </w:rPr>
        <w:t> </w:t>
      </w:r>
      <w:r>
        <w:rPr>
          <w:sz w:val="20"/>
        </w:rPr>
        <w:t>bude</w:t>
      </w:r>
      <w:r>
        <w:rPr>
          <w:spacing w:val="35"/>
          <w:sz w:val="20"/>
        </w:rPr>
        <w:t> </w:t>
      </w:r>
      <w:r>
        <w:rPr>
          <w:sz w:val="20"/>
        </w:rPr>
        <w:t>postiženo</w:t>
      </w:r>
      <w:r>
        <w:rPr>
          <w:spacing w:val="37"/>
          <w:sz w:val="20"/>
        </w:rPr>
        <w:t> </w:t>
      </w:r>
      <w:r>
        <w:rPr>
          <w:sz w:val="20"/>
        </w:rPr>
        <w:t>odvodem</w:t>
      </w:r>
      <w:r>
        <w:rPr>
          <w:spacing w:val="37"/>
          <w:sz w:val="20"/>
        </w:rPr>
        <w:t> </w:t>
      </w:r>
      <w:r>
        <w:rPr>
          <w:sz w:val="20"/>
        </w:rPr>
        <w:t>ve</w:t>
      </w:r>
      <w:r>
        <w:rPr>
          <w:spacing w:val="36"/>
          <w:sz w:val="20"/>
        </w:rPr>
        <w:t> </w:t>
      </w:r>
      <w:r>
        <w:rPr>
          <w:sz w:val="20"/>
        </w:rPr>
        <w:t>výši</w:t>
      </w:r>
      <w:r>
        <w:rPr>
          <w:spacing w:val="36"/>
          <w:sz w:val="20"/>
        </w:rPr>
        <w:t> </w:t>
      </w:r>
      <w:r>
        <w:rPr>
          <w:sz w:val="20"/>
        </w:rPr>
        <w:t>0,1</w:t>
      </w:r>
      <w:r>
        <w:rPr>
          <w:spacing w:val="40"/>
          <w:sz w:val="20"/>
        </w:rPr>
        <w:t> </w:t>
      </w:r>
      <w:r>
        <w:rPr>
          <w:sz w:val="20"/>
        </w:rPr>
        <w:t>–</w:t>
      </w:r>
      <w:r>
        <w:rPr>
          <w:spacing w:val="38"/>
          <w:sz w:val="20"/>
        </w:rPr>
        <w:t> </w:t>
      </w:r>
      <w:r>
        <w:rPr>
          <w:sz w:val="20"/>
        </w:rPr>
        <w:t>25 % z poskytnuté podpory.</w:t>
      </w:r>
    </w:p>
    <w:p>
      <w:pPr>
        <w:pStyle w:val="ListParagraph"/>
        <w:numPr>
          <w:ilvl w:val="0"/>
          <w:numId w:val="5"/>
        </w:numPr>
        <w:tabs>
          <w:tab w:pos="386" w:val="left" w:leader="none"/>
        </w:tabs>
        <w:spacing w:line="240" w:lineRule="auto" w:before="120"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0"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spacing w:before="1"/>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18" w:after="0"/>
        <w:ind w:left="385" w:right="0" w:hanging="284"/>
        <w:jc w:val="both"/>
        <w:rPr>
          <w:sz w:val="20"/>
        </w:rPr>
      </w:pPr>
      <w:r>
        <w:rPr>
          <w:sz w:val="20"/>
        </w:rPr>
        <w:t>Porušení</w:t>
      </w:r>
      <w:r>
        <w:rPr>
          <w:spacing w:val="-1"/>
          <w:sz w:val="20"/>
        </w:rPr>
        <w:t> </w:t>
      </w:r>
      <w:r>
        <w:rPr>
          <w:sz w:val="20"/>
        </w:rPr>
        <w:t>ostatních povinností podle</w:t>
      </w:r>
      <w:r>
        <w:rPr>
          <w:spacing w:val="-2"/>
          <w:sz w:val="20"/>
        </w:rPr>
        <w:t> </w:t>
      </w:r>
      <w:r>
        <w:rPr>
          <w:sz w:val="20"/>
        </w:rPr>
        <w:t>této Smlouvy bude</w:t>
      </w:r>
      <w:r>
        <w:rPr>
          <w:spacing w:val="-2"/>
          <w:sz w:val="20"/>
        </w:rPr>
        <w:t> </w:t>
      </w:r>
      <w:r>
        <w:rPr>
          <w:sz w:val="20"/>
        </w:rPr>
        <w:t>postiženo</w:t>
      </w:r>
      <w:r>
        <w:rPr>
          <w:spacing w:val="1"/>
          <w:sz w:val="20"/>
        </w:rPr>
        <w:t> </w:t>
      </w:r>
      <w:r>
        <w:rPr>
          <w:sz w:val="20"/>
        </w:rPr>
        <w:t>odvodem ve</w:t>
      </w:r>
      <w:r>
        <w:rPr>
          <w:spacing w:val="-1"/>
          <w:sz w:val="20"/>
        </w:rPr>
        <w:t> </w:t>
      </w:r>
      <w:r>
        <w:rPr>
          <w:sz w:val="20"/>
        </w:rPr>
        <w:t>výši 0,1 % z</w:t>
      </w:r>
      <w:r>
        <w:rPr>
          <w:spacing w:val="3"/>
          <w:sz w:val="20"/>
        </w:rPr>
        <w:t> </w:t>
      </w:r>
      <w:r>
        <w:rPr>
          <w:spacing w:val="-2"/>
          <w:sz w:val="20"/>
        </w:rPr>
        <w:t>poskytnuté</w:t>
      </w:r>
    </w:p>
    <w:p>
      <w:pPr>
        <w:pStyle w:val="BodyText"/>
        <w:ind w:left="385"/>
      </w:pPr>
      <w:r>
        <w:rPr>
          <w:spacing w:val="-2"/>
        </w:rPr>
        <w:t>podpory.</w:t>
      </w:r>
    </w:p>
    <w:p>
      <w:pPr>
        <w:pStyle w:val="BodyText"/>
        <w:spacing w:before="1"/>
      </w:pPr>
    </w:p>
    <w:p>
      <w:pPr>
        <w:pStyle w:val="Heading1"/>
      </w:pPr>
      <w:r>
        <w:rPr>
          <w:spacing w:val="-5"/>
        </w:rPr>
        <w:t>VI.</w:t>
      </w:r>
    </w:p>
    <w:p>
      <w:pPr>
        <w:pStyle w:val="Heading2"/>
        <w:spacing w:before="1"/>
        <w:ind w:right="1058"/>
      </w:pPr>
      <w:r>
        <w:rPr/>
        <w:t>Závěrečná</w:t>
      </w:r>
      <w:r>
        <w:rPr>
          <w:spacing w:val="-9"/>
        </w:rPr>
        <w:t> </w:t>
      </w:r>
      <w:r>
        <w:rPr>
          <w:spacing w:val="-2"/>
        </w:rPr>
        <w:t>ustanovení</w:t>
      </w:r>
    </w:p>
    <w:p>
      <w:pPr>
        <w:pStyle w:val="BodyText"/>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0"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5"/>
          <w:sz w:val="20"/>
        </w:rPr>
        <w:t> </w:t>
      </w:r>
      <w:r>
        <w:rPr>
          <w:sz w:val="20"/>
        </w:rPr>
        <w:t>smluvní</w:t>
      </w:r>
      <w:r>
        <w:rPr>
          <w:spacing w:val="4"/>
          <w:sz w:val="20"/>
        </w:rPr>
        <w:t> </w:t>
      </w:r>
      <w:r>
        <w:rPr>
          <w:sz w:val="20"/>
        </w:rPr>
        <w:t>strany</w:t>
      </w:r>
      <w:r>
        <w:rPr>
          <w:spacing w:val="3"/>
          <w:sz w:val="20"/>
        </w:rPr>
        <w:t> </w:t>
      </w:r>
      <w:r>
        <w:rPr>
          <w:sz w:val="20"/>
        </w:rPr>
        <w:t>při</w:t>
      </w:r>
      <w:r>
        <w:rPr>
          <w:spacing w:val="4"/>
          <w:sz w:val="20"/>
        </w:rPr>
        <w:t> </w:t>
      </w:r>
      <w:r>
        <w:rPr>
          <w:sz w:val="20"/>
        </w:rPr>
        <w:t>veškeré</w:t>
      </w:r>
      <w:r>
        <w:rPr>
          <w:spacing w:val="3"/>
          <w:sz w:val="20"/>
        </w:rPr>
        <w:t> </w:t>
      </w:r>
      <w:r>
        <w:rPr>
          <w:sz w:val="20"/>
        </w:rPr>
        <w:t>korespondenci</w:t>
      </w:r>
      <w:r>
        <w:rPr>
          <w:spacing w:val="10"/>
          <w:sz w:val="20"/>
        </w:rPr>
        <w:t> </w:t>
      </w:r>
      <w:r>
        <w:rPr>
          <w:sz w:val="20"/>
        </w:rPr>
        <w:t>(včetně</w:t>
      </w:r>
      <w:r>
        <w:rPr>
          <w:spacing w:val="4"/>
          <w:sz w:val="20"/>
        </w:rPr>
        <w:t> </w:t>
      </w:r>
      <w:r>
        <w:rPr>
          <w:sz w:val="20"/>
        </w:rPr>
        <w:t>elektronické)</w:t>
      </w:r>
      <w:r>
        <w:rPr>
          <w:spacing w:val="4"/>
          <w:sz w:val="20"/>
        </w:rPr>
        <w:t> </w:t>
      </w:r>
      <w:r>
        <w:rPr>
          <w:sz w:val="20"/>
        </w:rPr>
        <w:t>týkající</w:t>
      </w:r>
      <w:r>
        <w:rPr>
          <w:spacing w:val="4"/>
          <w:sz w:val="20"/>
        </w:rPr>
        <w:t> </w:t>
      </w:r>
      <w:r>
        <w:rPr>
          <w:spacing w:val="-5"/>
          <w:sz w:val="20"/>
        </w:rPr>
        <w:t>se</w:t>
      </w:r>
    </w:p>
    <w:p>
      <w:pPr>
        <w:pStyle w:val="BodyTex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0"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1"/>
          <w:sz w:val="20"/>
        </w:rPr>
        <w:t> </w:t>
      </w:r>
      <w:r>
        <w:rPr>
          <w:sz w:val="20"/>
        </w:rPr>
        <w:t>Smlouvu</w:t>
      </w:r>
      <w:r>
        <w:rPr>
          <w:spacing w:val="19"/>
          <w:sz w:val="20"/>
        </w:rPr>
        <w:t> </w:t>
      </w:r>
      <w:r>
        <w:rPr>
          <w:sz w:val="20"/>
        </w:rPr>
        <w:t>vypovědět</w:t>
      </w:r>
      <w:r>
        <w:rPr>
          <w:spacing w:val="20"/>
          <w:sz w:val="20"/>
        </w:rPr>
        <w:t> </w:t>
      </w:r>
      <w:r>
        <w:rPr>
          <w:sz w:val="20"/>
        </w:rPr>
        <w:t>pouze</w:t>
      </w:r>
      <w:r>
        <w:rPr>
          <w:spacing w:val="18"/>
          <w:sz w:val="20"/>
        </w:rPr>
        <w:t> </w:t>
      </w:r>
      <w:r>
        <w:rPr>
          <w:sz w:val="20"/>
        </w:rPr>
        <w:t>za</w:t>
      </w:r>
      <w:r>
        <w:rPr>
          <w:spacing w:val="20"/>
          <w:sz w:val="20"/>
        </w:rPr>
        <w:t> </w:t>
      </w:r>
      <w:r>
        <w:rPr>
          <w:sz w:val="20"/>
        </w:rPr>
        <w:t>podmínek</w:t>
      </w:r>
      <w:r>
        <w:rPr>
          <w:spacing w:val="27"/>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ind w:left="385"/>
      </w:pPr>
      <w:r>
        <w:rPr>
          <w:spacing w:val="-2"/>
        </w:rPr>
        <w:t>Smlouvou.</w:t>
      </w:r>
    </w:p>
    <w:p>
      <w:pPr>
        <w:pStyle w:val="ListParagraph"/>
        <w:numPr>
          <w:ilvl w:val="0"/>
          <w:numId w:val="6"/>
        </w:numPr>
        <w:tabs>
          <w:tab w:pos="386" w:val="left" w:leader="none"/>
        </w:tabs>
        <w:spacing w:line="237" w:lineRule="auto" w:before="123"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spacing w:after="0" w:line="237"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4"/>
          <w:sz w:val="20"/>
        </w:rPr>
        <w:t> </w:t>
      </w:r>
      <w:r>
        <w:rPr>
          <w:sz w:val="20"/>
        </w:rPr>
        <w:t>povinnost</w:t>
      </w:r>
      <w:r>
        <w:rPr>
          <w:spacing w:val="-8"/>
          <w:sz w:val="20"/>
        </w:rPr>
        <w:t> </w:t>
      </w:r>
      <w:r>
        <w:rPr>
          <w:sz w:val="20"/>
        </w:rPr>
        <w:t>příjemce</w:t>
      </w:r>
      <w:r>
        <w:rPr>
          <w:spacing w:val="-7"/>
          <w:sz w:val="20"/>
        </w:rPr>
        <w:t> </w:t>
      </w:r>
      <w:r>
        <w:rPr>
          <w:sz w:val="20"/>
        </w:rPr>
        <w:t>podpory</w:t>
      </w:r>
      <w:r>
        <w:rPr>
          <w:spacing w:val="-8"/>
          <w:sz w:val="20"/>
        </w:rPr>
        <w:t> </w:t>
      </w:r>
      <w:r>
        <w:rPr>
          <w:sz w:val="20"/>
        </w:rPr>
        <w:t>stejný</w:t>
      </w:r>
      <w:r>
        <w:rPr>
          <w:spacing w:val="-7"/>
          <w:sz w:val="20"/>
        </w:rPr>
        <w:t> </w:t>
      </w:r>
      <w:r>
        <w:rPr>
          <w:sz w:val="20"/>
        </w:rPr>
        <w:t>význam 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37" w:lineRule="auto" w:before="123" w:after="0"/>
        <w:ind w:left="385" w:right="121"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33"/>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3"/>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21" w:after="0"/>
        <w:ind w:left="385" w:right="112"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rPr>
          <w:sz w:val="26"/>
        </w:rPr>
      </w:pPr>
    </w:p>
    <w:p>
      <w:pPr>
        <w:pStyle w:val="BodyText"/>
        <w:rPr>
          <w:sz w:val="26"/>
        </w:rPr>
      </w:pPr>
    </w:p>
    <w:p>
      <w:pPr>
        <w:pStyle w:val="BodyText"/>
        <w:spacing w:before="3"/>
        <w:rPr>
          <w:sz w:val="35"/>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1" w:hanging="432"/>
        <w:jc w:val="both"/>
        <w:rPr>
          <w:sz w:val="20"/>
        </w:rPr>
      </w:pPr>
      <w:r>
        <w:rPr>
          <w:sz w:val="20"/>
        </w:rPr>
        <w:t>V</w:t>
      </w:r>
      <w:r>
        <w:rPr>
          <w:spacing w:val="-9"/>
          <w:sz w:val="20"/>
        </w:rPr>
        <w:t> </w:t>
      </w:r>
      <w:r>
        <w:rPr>
          <w:sz w:val="20"/>
        </w:rPr>
        <w:t>případě,</w:t>
      </w:r>
      <w:r>
        <w:rPr>
          <w:spacing w:val="-10"/>
          <w:sz w:val="20"/>
        </w:rPr>
        <w:t> </w:t>
      </w:r>
      <w:r>
        <w:rPr>
          <w:sz w:val="20"/>
        </w:rPr>
        <w:t>že</w:t>
      </w:r>
      <w:r>
        <w:rPr>
          <w:spacing w:val="-9"/>
          <w:sz w:val="20"/>
        </w:rPr>
        <w:t> </w:t>
      </w:r>
      <w:r>
        <w:rPr>
          <w:sz w:val="20"/>
        </w:rPr>
        <w:t>identifikované</w:t>
      </w:r>
      <w:r>
        <w:rPr>
          <w:spacing w:val="-10"/>
          <w:sz w:val="20"/>
        </w:rPr>
        <w:t> </w:t>
      </w:r>
      <w:r>
        <w:rPr>
          <w:sz w:val="20"/>
        </w:rPr>
        <w:t>porušení</w:t>
      </w:r>
      <w:r>
        <w:rPr>
          <w:spacing w:val="-10"/>
          <w:sz w:val="20"/>
        </w:rPr>
        <w:t> </w:t>
      </w:r>
      <w:r>
        <w:rPr>
          <w:sz w:val="20"/>
        </w:rPr>
        <w:t>nemohlo</w:t>
      </w:r>
      <w:r>
        <w:rPr>
          <w:spacing w:val="-10"/>
          <w:sz w:val="20"/>
        </w:rPr>
        <w:t> </w:t>
      </w:r>
      <w:r>
        <w:rPr>
          <w:sz w:val="20"/>
        </w:rPr>
        <w:t>mít</w:t>
      </w:r>
      <w:r>
        <w:rPr>
          <w:spacing w:val="-11"/>
          <w:sz w:val="20"/>
        </w:rPr>
        <w:t> </w:t>
      </w:r>
      <w:r>
        <w:rPr>
          <w:sz w:val="20"/>
        </w:rPr>
        <w:t>ani</w:t>
      </w:r>
      <w:r>
        <w:rPr>
          <w:spacing w:val="-8"/>
          <w:sz w:val="20"/>
        </w:rPr>
        <w:t> </w:t>
      </w:r>
      <w:r>
        <w:rPr>
          <w:sz w:val="20"/>
        </w:rPr>
        <w:t>potenciální</w:t>
      </w:r>
      <w:r>
        <w:rPr>
          <w:spacing w:val="-8"/>
          <w:sz w:val="20"/>
        </w:rPr>
        <w:t> </w:t>
      </w:r>
      <w:r>
        <w:rPr>
          <w:sz w:val="20"/>
        </w:rPr>
        <w:t>finanční</w:t>
      </w:r>
      <w:r>
        <w:rPr>
          <w:spacing w:val="-10"/>
          <w:sz w:val="20"/>
        </w:rPr>
        <w:t> </w:t>
      </w:r>
      <w:r>
        <w:rPr>
          <w:sz w:val="20"/>
        </w:rPr>
        <w:t>dopad,</w:t>
      </w:r>
      <w:r>
        <w:rPr>
          <w:spacing w:val="-8"/>
          <w:sz w:val="20"/>
        </w:rPr>
        <w:t> </w:t>
      </w:r>
      <w:r>
        <w:rPr>
          <w:sz w:val="20"/>
        </w:rPr>
        <w:t>nestanoví</w:t>
      </w:r>
      <w:r>
        <w:rPr>
          <w:spacing w:val="-11"/>
          <w:sz w:val="20"/>
        </w:rPr>
        <w:t> </w:t>
      </w:r>
      <w:r>
        <w:rPr>
          <w:sz w:val="20"/>
        </w:rPr>
        <w:t>se</w:t>
      </w:r>
      <w:r>
        <w:rPr>
          <w:spacing w:val="-11"/>
          <w:sz w:val="20"/>
        </w:rPr>
        <w:t> </w:t>
      </w:r>
      <w:r>
        <w:rPr>
          <w:sz w:val="20"/>
        </w:rPr>
        <w:t>za</w:t>
      </w:r>
      <w:r>
        <w:rPr>
          <w:spacing w:val="-11"/>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4"/>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Pr>
                <w:sz w:val="20"/>
              </w:rPr>
            </w:pPr>
            <w:r>
              <w:rPr>
                <w:sz w:val="20"/>
              </w:rPr>
              <w:t>určitě,</w:t>
            </w:r>
            <w:r>
              <w:rPr>
                <w:spacing w:val="-6"/>
                <w:sz w:val="20"/>
              </w:rPr>
              <w:t> </w:t>
            </w:r>
            <w:r>
              <w:rPr>
                <w:sz w:val="20"/>
              </w:rPr>
              <w:t>což</w:t>
            </w:r>
            <w:r>
              <w:rPr>
                <w:spacing w:val="-5"/>
                <w:sz w:val="20"/>
              </w:rPr>
              <w:t> </w:t>
            </w:r>
            <w:r>
              <w:rPr>
                <w:sz w:val="20"/>
              </w:rPr>
              <w:t>mohlo</w:t>
            </w:r>
            <w:r>
              <w:rPr>
                <w:spacing w:val="-5"/>
                <w:sz w:val="20"/>
              </w:rPr>
              <w:t> mít</w:t>
            </w:r>
          </w:p>
          <w:p>
            <w:pPr>
              <w:pStyle w:val="TableParagraph"/>
              <w:spacing w:before="1"/>
              <w:ind w:left="103"/>
              <w:rPr>
                <w:sz w:val="20"/>
              </w:rPr>
            </w:pPr>
            <w:r>
              <w:rPr>
                <w:sz w:val="20"/>
              </w:rPr>
              <w:t>odrazující</w:t>
            </w:r>
            <w:r>
              <w:rPr>
                <w:spacing w:val="-9"/>
                <w:sz w:val="20"/>
              </w:rPr>
              <w:t> </w:t>
            </w:r>
            <w:r>
              <w:rPr>
                <w:sz w:val="20"/>
              </w:rPr>
              <w:t>účinek</w:t>
            </w:r>
            <w:r>
              <w:rPr>
                <w:spacing w:val="-9"/>
                <w:sz w:val="20"/>
              </w:rPr>
              <w:t> </w:t>
            </w:r>
            <w:r>
              <w:rPr>
                <w:spacing w:val="-5"/>
                <w:sz w:val="20"/>
              </w:rPr>
              <w:t>na</w:t>
            </w:r>
          </w:p>
          <w:p>
            <w:pPr>
              <w:pStyle w:val="TableParagraph"/>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7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0"/>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ind w:right="77"/>
              <w:rPr>
                <w:sz w:val="20"/>
              </w:rPr>
            </w:pPr>
            <w:r>
              <w:rPr>
                <w:sz w:val="20"/>
              </w:rPr>
              <w:t>výběrovém/zadávacím řízení nebo podmínky průběhu výběrového/zadávacího řízení 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3"/>
                <w:sz w:val="20"/>
              </w:rPr>
              <w:t> </w:t>
            </w:r>
            <w:r>
              <w:rPr>
                <w:sz w:val="20"/>
              </w:rPr>
              <w:t>důvodu</w:t>
            </w:r>
            <w:r>
              <w:rPr>
                <w:spacing w:val="-14"/>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7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3"/>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5"/>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r>
        <w:rPr>
          <w:sz w:val="16"/>
        </w:rPr>
        <w:t>Střet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3"/>
                <w:sz w:val="20"/>
              </w:rPr>
              <w:t> </w:t>
            </w:r>
            <w:r>
              <w:rPr>
                <w:sz w:val="20"/>
              </w:rPr>
              <w:t>pokud</w:t>
            </w:r>
            <w:r>
              <w:rPr>
                <w:spacing w:val="-4"/>
                <w:sz w:val="20"/>
              </w:rPr>
              <w:t> </w:t>
            </w:r>
            <w:r>
              <w:rPr>
                <w:sz w:val="20"/>
              </w:rPr>
              <w:t>se</w:t>
            </w:r>
            <w:r>
              <w:rPr>
                <w:spacing w:val="-5"/>
                <w:sz w:val="20"/>
              </w:rPr>
              <w:t> </w:t>
            </w:r>
            <w:r>
              <w:rPr>
                <w:sz w:val="20"/>
              </w:rPr>
              <w:t>na</w:t>
            </w:r>
            <w:r>
              <w:rPr>
                <w:spacing w:val="-4"/>
                <w:sz w:val="20"/>
              </w:rPr>
              <w:t> bid-</w:t>
            </w:r>
          </w:p>
          <w:p>
            <w:pPr>
              <w:pStyle w:val="TableParagraph"/>
              <w:spacing w:line="265" w:lineRule="exact" w:before="1"/>
              <w:ind w:left="103"/>
              <w:rPr>
                <w:sz w:val="20"/>
              </w:rPr>
            </w:pPr>
            <w:r>
              <w:rPr>
                <w:sz w:val="20"/>
              </w:rPr>
              <w:t>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6"/>
                <w:sz w:val="20"/>
              </w:rPr>
              <w:t> </w:t>
            </w:r>
            <w:r>
              <w:rPr>
                <w:sz w:val="20"/>
              </w:rPr>
              <w:t>nedodržení</w:t>
            </w:r>
            <w:r>
              <w:rPr>
                <w:spacing w:val="-4"/>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88768"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7200">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00" w:hanging="360"/>
      </w:pPr>
      <w:rPr>
        <w:rFonts w:hint="default"/>
        <w:lang w:val="cs-CZ" w:eastAsia="en-US" w:bidi="ar-SA"/>
      </w:rPr>
    </w:lvl>
    <w:lvl w:ilvl="4">
      <w:start w:val="0"/>
      <w:numFmt w:val="bullet"/>
      <w:lvlText w:val="•"/>
      <w:lvlJc w:val="left"/>
      <w:pPr>
        <w:ind w:left="2145" w:hanging="360"/>
      </w:pPr>
      <w:rPr>
        <w:rFonts w:hint="default"/>
        <w:lang w:val="cs-CZ" w:eastAsia="en-US" w:bidi="ar-SA"/>
      </w:rPr>
    </w:lvl>
    <w:lvl w:ilvl="5">
      <w:start w:val="0"/>
      <w:numFmt w:val="bullet"/>
      <w:lvlText w:val="•"/>
      <w:lvlJc w:val="left"/>
      <w:pPr>
        <w:ind w:left="3391" w:hanging="360"/>
      </w:pPr>
      <w:rPr>
        <w:rFonts w:hint="default"/>
        <w:lang w:val="cs-CZ" w:eastAsia="en-US" w:bidi="ar-SA"/>
      </w:rPr>
    </w:lvl>
    <w:lvl w:ilvl="6">
      <w:start w:val="0"/>
      <w:numFmt w:val="bullet"/>
      <w:lvlText w:val="•"/>
      <w:lvlJc w:val="left"/>
      <w:pPr>
        <w:ind w:left="4637" w:hanging="360"/>
      </w:pPr>
      <w:rPr>
        <w:rFonts w:hint="default"/>
        <w:lang w:val="cs-CZ" w:eastAsia="en-US" w:bidi="ar-SA"/>
      </w:rPr>
    </w:lvl>
    <w:lvl w:ilvl="7">
      <w:start w:val="0"/>
      <w:numFmt w:val="bullet"/>
      <w:lvlText w:val="•"/>
      <w:lvlJc w:val="left"/>
      <w:pPr>
        <w:ind w:left="5882" w:hanging="360"/>
      </w:pPr>
      <w:rPr>
        <w:rFonts w:hint="default"/>
        <w:lang w:val="cs-CZ" w:eastAsia="en-US" w:bidi="ar-SA"/>
      </w:rPr>
    </w:lvl>
    <w:lvl w:ilvl="8">
      <w:start w:val="0"/>
      <w:numFmt w:val="bullet"/>
      <w:lvlText w:val="•"/>
      <w:lvlJc w:val="left"/>
      <w:pPr>
        <w:ind w:left="7128"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2023-10-09T07:36:48Z</dcterms:created>
  <dcterms:modified xsi:type="dcterms:W3CDTF">2023-10-09T07:36:48Z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2023-08-04T00:00:00Z</vt:filetime>
  </property>
  <property fmtid="{D5CDD505-2E9C-101B-9397-08002B2CF9AE}" pid="3" name="Creator">
    <vt:lpwstr>Microsoft® Word pro Microsoft 365</vt:lpwstr>
  </property>
  <property fmtid="{D5CDD505-2E9C-101B-9397-08002B2CF9AE}" pid="4" name="LastSaved">
    <vt:filetime>2023-10-09T00:00:00Z</vt:filetime>
  </property>
</Properties>
</file>