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5211000107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8"/>
        </w:rPr>
        <w:t> </w:t>
      </w:r>
      <w:r>
        <w:rPr/>
        <w:t>Prackovice</w:t>
      </w:r>
      <w:r>
        <w:rPr>
          <w:spacing w:val="-7"/>
        </w:rPr>
        <w:t> </w:t>
      </w:r>
      <w:r>
        <w:rPr/>
        <w:t>nad</w:t>
      </w:r>
      <w:r>
        <w:rPr>
          <w:spacing w:val="-7"/>
        </w:rPr>
        <w:t> </w:t>
      </w:r>
      <w:r>
        <w:rPr>
          <w:spacing w:val="-4"/>
        </w:rPr>
        <w:t>Labem</w:t>
      </w:r>
    </w:p>
    <w:p>
      <w:pPr>
        <w:pStyle w:val="BodyText"/>
        <w:tabs>
          <w:tab w:pos="3262" w:val="left" w:leader="none"/>
        </w:tabs>
        <w:spacing w:line="237" w:lineRule="auto" w:before="3"/>
        <w:ind w:left="3286" w:right="1153" w:hanging="2905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Prackovice</w:t>
      </w:r>
      <w:r>
        <w:rPr>
          <w:spacing w:val="-6"/>
        </w:rPr>
        <w:t> </w:t>
      </w:r>
      <w:r>
        <w:rPr/>
        <w:t>nad</w:t>
      </w:r>
      <w:r>
        <w:rPr>
          <w:spacing w:val="-5"/>
        </w:rPr>
        <w:t> </w:t>
      </w:r>
      <w:r>
        <w:rPr/>
        <w:t>Labem,</w:t>
      </w:r>
      <w:r>
        <w:rPr>
          <w:spacing w:val="-3"/>
        </w:rPr>
        <w:t> </w:t>
      </w:r>
      <w:r>
        <w:rPr/>
        <w:t>Prackovice</w:t>
      </w:r>
      <w:r>
        <w:rPr>
          <w:spacing w:val="-6"/>
        </w:rPr>
        <w:t> </w:t>
      </w:r>
      <w:r>
        <w:rPr/>
        <w:t>nad</w:t>
      </w:r>
      <w:r>
        <w:rPr>
          <w:spacing w:val="-6"/>
        </w:rPr>
        <w:t> </w:t>
      </w:r>
      <w:r>
        <w:rPr/>
        <w:t>Labem</w:t>
      </w:r>
      <w:r>
        <w:rPr>
          <w:spacing w:val="-5"/>
        </w:rPr>
        <w:t> </w:t>
      </w:r>
      <w:r>
        <w:rPr/>
        <w:t>54, 411 33 Prackovice nad Labem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00264229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13"/>
        </w:rPr>
        <w:t> </w:t>
      </w:r>
      <w:r>
        <w:rPr/>
        <w:t>Andreou</w:t>
      </w:r>
      <w:r>
        <w:rPr>
          <w:spacing w:val="-2"/>
        </w:rPr>
        <w:t> </w:t>
      </w:r>
      <w:r>
        <w:rPr/>
        <w:t>H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6"/>
        </w:rPr>
        <w:t> </w:t>
      </w:r>
      <w:r>
        <w:rPr/>
        <w:t>o</w:t>
      </w:r>
      <w:r>
        <w:rPr>
          <w:spacing w:val="-14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0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75"/>
      </w:pPr>
      <w:r>
        <w:rPr/>
        <w:t>číslo účtu:</w:t>
        <w:tab/>
      </w:r>
      <w:r>
        <w:rPr>
          <w:spacing w:val="-2"/>
        </w:rPr>
        <w:t>94-7619471/0710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5211000107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2022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9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5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39"/>
        <w:jc w:val="left"/>
      </w:pPr>
      <w:r>
        <w:rPr/>
        <w:t>„Výměna</w:t>
      </w:r>
      <w:r>
        <w:rPr>
          <w:spacing w:val="-7"/>
        </w:rPr>
        <w:t> </w:t>
      </w:r>
      <w:r>
        <w:rPr/>
        <w:t>zpevněných</w:t>
      </w:r>
      <w:r>
        <w:rPr>
          <w:spacing w:val="-6"/>
        </w:rPr>
        <w:t> </w:t>
      </w:r>
      <w:r>
        <w:rPr/>
        <w:t>ploch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>
          <w:spacing w:val="-2"/>
        </w:rPr>
        <w:t>Prackovicích“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593,62 Kč </w:t>
      </w:r>
      <w:r>
        <w:rPr>
          <w:sz w:val="20"/>
        </w:rPr>
        <w:t>(slovy: tři miliony jedno sto padesát pět tisíc pět set devadesát tři korun českých a šedesát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3 155 593,62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3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593,62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</w:t>
      </w:r>
      <w:r>
        <w:rPr>
          <w:spacing w:val="-1"/>
          <w:sz w:val="20"/>
        </w:rPr>
        <w:t> </w:t>
      </w:r>
      <w:r>
        <w:rPr>
          <w:sz w:val="20"/>
        </w:rPr>
        <w:t>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3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1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59"/>
          <w:sz w:val="20"/>
        </w:rPr>
        <w:t> </w:t>
      </w:r>
      <w:r>
        <w:rPr>
          <w:sz w:val="20"/>
        </w:rPr>
        <w:t>podle</w:t>
      </w:r>
      <w:r>
        <w:rPr>
          <w:spacing w:val="59"/>
          <w:sz w:val="20"/>
        </w:rPr>
        <w:t> </w:t>
      </w:r>
      <w:r>
        <w:rPr>
          <w:sz w:val="20"/>
        </w:rPr>
        <w:t>dokumentace</w:t>
      </w:r>
      <w:r>
        <w:rPr>
          <w:spacing w:val="59"/>
          <w:sz w:val="20"/>
        </w:rPr>
        <w:t> </w:t>
      </w:r>
      <w:r>
        <w:rPr>
          <w:sz w:val="20"/>
        </w:rPr>
        <w:t>výběrového</w:t>
      </w:r>
      <w:r>
        <w:rPr>
          <w:spacing w:val="60"/>
          <w:sz w:val="20"/>
        </w:rPr>
        <w:t> </w:t>
      </w:r>
      <w:r>
        <w:rPr>
          <w:sz w:val="20"/>
        </w:rPr>
        <w:t>řízení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smlouvy</w:t>
      </w:r>
      <w:r>
        <w:rPr>
          <w:spacing w:val="59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dílo,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případných</w:t>
      </w:r>
      <w:r>
        <w:rPr>
          <w:spacing w:val="60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69"/>
          <w:sz w:val="20"/>
        </w:rPr>
        <w:t> </w:t>
      </w:r>
      <w:r>
        <w:rPr>
          <w:sz w:val="20"/>
        </w:rPr>
        <w:t>bude</w:t>
      </w:r>
      <w:r>
        <w:rPr>
          <w:spacing w:val="69"/>
          <w:sz w:val="20"/>
        </w:rPr>
        <w:t> </w:t>
      </w:r>
      <w:r>
        <w:rPr>
          <w:sz w:val="20"/>
        </w:rPr>
        <w:t>provedena</w:t>
      </w:r>
      <w:r>
        <w:rPr>
          <w:spacing w:val="70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předpokládaném</w:t>
      </w:r>
      <w:r>
        <w:rPr>
          <w:spacing w:val="71"/>
          <w:sz w:val="20"/>
        </w:rPr>
        <w:t> </w:t>
      </w:r>
      <w:r>
        <w:rPr>
          <w:sz w:val="20"/>
        </w:rPr>
        <w:t>rozsahu,</w:t>
      </w:r>
      <w:r>
        <w:rPr>
          <w:spacing w:val="73"/>
          <w:sz w:val="20"/>
        </w:rPr>
        <w:t> </w:t>
      </w:r>
      <w:r>
        <w:rPr>
          <w:sz w:val="20"/>
        </w:rPr>
        <w:t>tj.</w:t>
      </w:r>
      <w:r>
        <w:rPr>
          <w:spacing w:val="72"/>
          <w:sz w:val="20"/>
        </w:rPr>
        <w:t> </w:t>
      </w:r>
      <w:r>
        <w:rPr>
          <w:sz w:val="20"/>
        </w:rPr>
        <w:t>dojde</w:t>
      </w:r>
      <w:r>
        <w:rPr>
          <w:spacing w:val="72"/>
          <w:sz w:val="20"/>
        </w:rPr>
        <w:t> </w:t>
      </w:r>
      <w:r>
        <w:rPr>
          <w:sz w:val="20"/>
        </w:rPr>
        <w:t>k</w:t>
      </w:r>
      <w:r>
        <w:rPr>
          <w:spacing w:val="70"/>
          <w:sz w:val="20"/>
        </w:rPr>
        <w:t> </w:t>
      </w:r>
      <w:r>
        <w:rPr>
          <w:sz w:val="20"/>
        </w:rPr>
        <w:t>výměně</w:t>
      </w:r>
      <w:r>
        <w:rPr>
          <w:spacing w:val="72"/>
          <w:sz w:val="20"/>
        </w:rPr>
        <w:t> </w:t>
      </w:r>
      <w:r>
        <w:rPr>
          <w:sz w:val="20"/>
        </w:rPr>
        <w:t>nepropustných</w:t>
      </w:r>
      <w:r>
        <w:rPr>
          <w:spacing w:val="70"/>
          <w:sz w:val="20"/>
        </w:rPr>
        <w:t> </w:t>
      </w:r>
      <w:r>
        <w:rPr>
          <w:sz w:val="20"/>
        </w:rPr>
        <w:t>povrchů za</w:t>
      </w:r>
      <w:r>
        <w:rPr>
          <w:spacing w:val="-9"/>
          <w:sz w:val="20"/>
        </w:rPr>
        <w:t> </w:t>
      </w:r>
      <w:r>
        <w:rPr>
          <w:sz w:val="20"/>
        </w:rPr>
        <w:t>propustné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stávající</w:t>
      </w:r>
      <w:r>
        <w:rPr>
          <w:spacing w:val="-9"/>
          <w:sz w:val="20"/>
        </w:rPr>
        <w:t> </w:t>
      </w:r>
      <w:r>
        <w:rPr>
          <w:sz w:val="20"/>
        </w:rPr>
        <w:t>komunikaci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zároveň</w:t>
      </w:r>
      <w:r>
        <w:rPr>
          <w:spacing w:val="-9"/>
          <w:sz w:val="20"/>
        </w:rPr>
        <w:t> </w:t>
      </w:r>
      <w:r>
        <w:rPr>
          <w:sz w:val="20"/>
        </w:rPr>
        <w:t>vzniknou</w:t>
      </w:r>
      <w:r>
        <w:rPr>
          <w:spacing w:val="-9"/>
          <w:sz w:val="20"/>
        </w:rPr>
        <w:t> </w:t>
      </w:r>
      <w:r>
        <w:rPr>
          <w:sz w:val="20"/>
        </w:rPr>
        <w:t>nová</w:t>
      </w:r>
      <w:r>
        <w:rPr>
          <w:spacing w:val="-9"/>
          <w:sz w:val="20"/>
        </w:rPr>
        <w:t> </w:t>
      </w:r>
      <w:r>
        <w:rPr>
          <w:sz w:val="20"/>
        </w:rPr>
        <w:t>parkovací</w:t>
      </w:r>
      <w:r>
        <w:rPr>
          <w:spacing w:val="-7"/>
          <w:sz w:val="20"/>
        </w:rPr>
        <w:t> </w:t>
      </w:r>
      <w:r>
        <w:rPr>
          <w:sz w:val="20"/>
        </w:rPr>
        <w:t>místa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vodopropustné</w:t>
      </w:r>
      <w:r>
        <w:rPr>
          <w:spacing w:val="-9"/>
          <w:sz w:val="20"/>
        </w:rPr>
        <w:t> </w:t>
      </w:r>
      <w:r>
        <w:rPr>
          <w:sz w:val="20"/>
        </w:rPr>
        <w:t>dlažby,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„Objem</w:t>
      </w:r>
      <w:r>
        <w:rPr>
          <w:spacing w:val="-7"/>
          <w:sz w:val="20"/>
        </w:rPr>
        <w:t> </w:t>
      </w:r>
      <w:r>
        <w:rPr>
          <w:sz w:val="20"/>
        </w:rPr>
        <w:t>zadržené</w:t>
      </w:r>
      <w:r>
        <w:rPr>
          <w:spacing w:val="-6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rozsahu</w:t>
      </w:r>
      <w:r>
        <w:rPr>
          <w:spacing w:val="-6"/>
          <w:sz w:val="20"/>
        </w:rPr>
        <w:t> </w:t>
      </w:r>
      <w:r>
        <w:rPr>
          <w:sz w:val="20"/>
        </w:rPr>
        <w:t>4,0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2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2/2024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7/2023,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2"/>
          <w:sz w:val="20"/>
        </w:rPr>
        <w:t> </w:t>
      </w:r>
      <w:r>
        <w:rPr>
          <w:sz w:val="20"/>
        </w:rPr>
        <w:t>5/2024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 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</w:t>
      </w:r>
      <w:r>
        <w:rPr>
          <w:spacing w:val="19"/>
          <w:sz w:val="20"/>
        </w:rPr>
        <w:t> </w:t>
      </w:r>
      <w:r>
        <w:rPr>
          <w:sz w:val="20"/>
        </w:rPr>
        <w:t>pokud kterékoliv jeho prohlášení nebo tvrzení (popřípadě 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948"/>
      </w:pPr>
      <w:r>
        <w:rPr/>
        <w:t>konstatování</w:t>
      </w:r>
      <w:r>
        <w:rPr>
          <w:spacing w:val="40"/>
        </w:rPr>
        <w:t> </w:t>
      </w:r>
      <w:r>
        <w:rPr/>
        <w:t>vycházející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jím</w:t>
      </w:r>
      <w:r>
        <w:rPr>
          <w:spacing w:val="40"/>
        </w:rPr>
        <w:t> </w:t>
      </w:r>
      <w:r>
        <w:rPr/>
        <w:t>podané</w:t>
      </w:r>
      <w:r>
        <w:rPr>
          <w:spacing w:val="40"/>
        </w:rPr>
        <w:t> </w:t>
      </w:r>
      <w:r>
        <w:rPr/>
        <w:t>informace)</w:t>
      </w:r>
      <w:r>
        <w:rPr>
          <w:spacing w:val="40"/>
        </w:rPr>
        <w:t> </w:t>
      </w:r>
      <w:r>
        <w:rPr/>
        <w:t>uvedené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Smlouvě</w:t>
      </w:r>
      <w:r>
        <w:rPr>
          <w:spacing w:val="40"/>
        </w:rPr>
        <w:t> </w:t>
      </w:r>
      <w:r>
        <w:rPr/>
        <w:t>není</w:t>
      </w:r>
      <w:r>
        <w:rPr>
          <w:spacing w:val="40"/>
        </w:rPr>
        <w:t> </w:t>
      </w:r>
      <w:r>
        <w:rPr/>
        <w:t>pravdivé,</w:t>
      </w:r>
      <w:r>
        <w:rPr>
          <w:spacing w:val="40"/>
        </w:rPr>
        <w:t> </w:t>
      </w:r>
      <w:r>
        <w:rPr/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</w:t>
      </w:r>
      <w:r>
        <w:rPr>
          <w:spacing w:val="-2"/>
          <w:sz w:val="20"/>
        </w:rPr>
        <w:t> </w:t>
      </w:r>
      <w:r>
        <w:rPr>
          <w:sz w:val="20"/>
        </w:rPr>
        <w:t>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 schopen prokázat, 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50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2023-10-05T05:34:23Z</dcterms:created>
  <dcterms:modified xsi:type="dcterms:W3CDTF">2023-10-05T05:34:23Z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