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4C6E2525" w:rsidR="00D859C2" w:rsidRPr="00726B26" w:rsidRDefault="001B5421" w:rsidP="00D859C2">
      <w:pPr>
        <w:rPr>
          <w:b/>
        </w:rPr>
      </w:pPr>
      <w:r>
        <w:rPr>
          <w:b/>
        </w:rPr>
        <w:t>Olympus Czech Group, s.r.o., člen koncernu</w:t>
      </w:r>
    </w:p>
    <w:p w14:paraId="3DADA2B1" w14:textId="7D38D75B" w:rsidR="00D859C2" w:rsidRDefault="00D859C2" w:rsidP="00D859C2">
      <w:r>
        <w:t xml:space="preserve">IČ: </w:t>
      </w:r>
      <w:r w:rsidR="001B5421">
        <w:t>27068641</w:t>
      </w:r>
    </w:p>
    <w:p w14:paraId="494735B8" w14:textId="3787299A" w:rsidR="00D859C2" w:rsidRPr="00512AB9" w:rsidRDefault="00D859C2" w:rsidP="00D859C2">
      <w:r>
        <w:t xml:space="preserve">DIČ: </w:t>
      </w:r>
      <w:r w:rsidR="001B5421">
        <w:t>CZ27068641</w:t>
      </w:r>
    </w:p>
    <w:p w14:paraId="4BE4B061" w14:textId="6B321243" w:rsidR="00D859C2" w:rsidRPr="00512AB9" w:rsidRDefault="00D859C2" w:rsidP="00D859C2">
      <w:r>
        <w:t>se sídlem</w:t>
      </w:r>
      <w:r w:rsidRPr="00512AB9">
        <w:t xml:space="preserve">:  </w:t>
      </w:r>
      <w:r w:rsidR="001B5421">
        <w:t>Praha 6, Evropská 176/16, PSČ 160 41</w:t>
      </w:r>
    </w:p>
    <w:p w14:paraId="1F4F5F98" w14:textId="2C0B9A40" w:rsidR="00D859C2" w:rsidRPr="00512AB9" w:rsidRDefault="00D859C2" w:rsidP="00D859C2">
      <w:r>
        <w:t>zastoupena</w:t>
      </w:r>
      <w:r w:rsidRPr="00512AB9">
        <w:t xml:space="preserve">: </w:t>
      </w:r>
      <w:r w:rsidR="001B5421">
        <w:t xml:space="preserve">Radkem Šubotníkem a Davidem Horákem – prokuristy </w:t>
      </w:r>
    </w:p>
    <w:p w14:paraId="43130257" w14:textId="18A3FEE8" w:rsidR="00D859C2" w:rsidRPr="00512AB9" w:rsidRDefault="00D859C2" w:rsidP="00D859C2">
      <w:r w:rsidRPr="00512AB9">
        <w:t xml:space="preserve">bankovní spojení: </w:t>
      </w:r>
      <w:r w:rsidR="001B5421">
        <w:t>Unicredit Bank, Praha 1</w:t>
      </w:r>
    </w:p>
    <w:p w14:paraId="4B4D9F51" w14:textId="29499B44" w:rsidR="00D859C2" w:rsidRPr="00512AB9" w:rsidRDefault="00D859C2" w:rsidP="00D859C2">
      <w:r w:rsidRPr="00512AB9">
        <w:t xml:space="preserve">číslo účtu: </w:t>
      </w:r>
      <w:r w:rsidR="001B5421">
        <w:t>2105630382/2700</w:t>
      </w:r>
    </w:p>
    <w:p w14:paraId="7BE5CCD9" w14:textId="62D93FF4" w:rsidR="00D859C2" w:rsidRPr="00512AB9" w:rsidRDefault="00D859C2" w:rsidP="00D859C2">
      <w:r>
        <w:t>z</w:t>
      </w:r>
      <w:r w:rsidRPr="00512AB9">
        <w:t>apsán</w:t>
      </w:r>
      <w:r>
        <w:t>a</w:t>
      </w:r>
      <w:r w:rsidRPr="00512AB9">
        <w:t xml:space="preserve"> v obchodním rejstříku vedeném </w:t>
      </w:r>
      <w:r w:rsidR="001B5421">
        <w:t>Městským</w:t>
      </w:r>
      <w:r>
        <w:t xml:space="preserve"> </w:t>
      </w:r>
      <w:r w:rsidRPr="00652864">
        <w:t>soudem v </w:t>
      </w:r>
      <w:r w:rsidR="001B5421">
        <w:t>Praze</w:t>
      </w:r>
      <w:r w:rsidRPr="00652864">
        <w:t xml:space="preserve">, oddíl </w:t>
      </w:r>
      <w:r w:rsidR="001B5421">
        <w:t>C</w:t>
      </w:r>
      <w:r w:rsidRPr="00652864">
        <w:t>, vložka</w:t>
      </w:r>
      <w:r w:rsidR="001B5421">
        <w:t xml:space="preserve"> 93921</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75A5A43C"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93EC1">
        <w:t>Lineární endoskop</w:t>
      </w:r>
      <w:r w:rsidR="002C640D">
        <w:t xml:space="preserve"> II</w:t>
      </w:r>
      <w:r>
        <w:t>“,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63E7B2BE" w14:textId="418C2B22" w:rsidR="00095C75" w:rsidRDefault="00095C75" w:rsidP="00EE155A">
      <w:pPr>
        <w:pStyle w:val="Odstavecsmlouvy"/>
        <w:numPr>
          <w:ilvl w:val="0"/>
          <w:numId w:val="0"/>
        </w:numPr>
        <w:ind w:left="567"/>
      </w:pPr>
    </w:p>
    <w:p w14:paraId="0719D17C" w14:textId="79B6F40B" w:rsidR="00BA5EEC" w:rsidRDefault="00BA5EEC" w:rsidP="00BA5EEC">
      <w:pPr>
        <w:pStyle w:val="Odstavecsmlouvy"/>
        <w:numPr>
          <w:ilvl w:val="1"/>
          <w:numId w:val="1"/>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p>
    <w:p w14:paraId="262FC22F" w14:textId="0BC2F664" w:rsidR="009A7E08" w:rsidRDefault="00236BD3" w:rsidP="009A7E08">
      <w:pPr>
        <w:pStyle w:val="Odstavecsmlouvy"/>
        <w:numPr>
          <w:ilvl w:val="1"/>
          <w:numId w:val="1"/>
        </w:numPr>
      </w:pPr>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w:t>
      </w:r>
      <w:r>
        <w:lastRenderedPageBreak/>
        <w:t>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1"/>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1"/>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10AD1DDC" w:rsidR="00FC0959" w:rsidRDefault="00FC0959" w:rsidP="00FC0959">
      <w:pPr>
        <w:pStyle w:val="Odstavecsmlouvy"/>
        <w:numPr>
          <w:ilvl w:val="0"/>
          <w:numId w:val="0"/>
        </w:numPr>
        <w:ind w:left="567"/>
      </w:pPr>
    </w:p>
    <w:p w14:paraId="5C5F44F5" w14:textId="2DE08EEA" w:rsidR="00BF6901" w:rsidRDefault="00BF6901" w:rsidP="00FC0959">
      <w:pPr>
        <w:pStyle w:val="Odstavecsmlouvy"/>
        <w:numPr>
          <w:ilvl w:val="0"/>
          <w:numId w:val="0"/>
        </w:numPr>
        <w:ind w:left="567"/>
      </w:pPr>
    </w:p>
    <w:p w14:paraId="1AD767E6" w14:textId="696886E8" w:rsidR="00BF6901" w:rsidRDefault="00BF6901" w:rsidP="00FC0959">
      <w:pPr>
        <w:pStyle w:val="Odstavecsmlouvy"/>
        <w:numPr>
          <w:ilvl w:val="0"/>
          <w:numId w:val="0"/>
        </w:numPr>
        <w:ind w:left="567"/>
      </w:pPr>
    </w:p>
    <w:p w14:paraId="6A0C52A3" w14:textId="77777777" w:rsidR="00BF6901" w:rsidRDefault="00BF6901"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5EEDE38D"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1B5421">
        <w:t>1</w:t>
      </w:r>
      <w:r w:rsidR="002F4F30" w:rsidRPr="00D859C2">
        <w:t xml:space="preserve"> ks </w:t>
      </w:r>
      <w:r w:rsidR="001B5421">
        <w:t>gastroskopu</w:t>
      </w:r>
      <w:r w:rsidR="008645D8" w:rsidRPr="00D859C2">
        <w:rPr>
          <w:b/>
        </w:rPr>
        <w:t xml:space="preserve">, typ: </w:t>
      </w:r>
      <w:r w:rsidR="001B5421">
        <w:rPr>
          <w:b/>
        </w:rPr>
        <w:t>GF-UCT180 EUS</w:t>
      </w:r>
      <w:r w:rsidR="004453FF" w:rsidRPr="00D859C2">
        <w:rPr>
          <w:b/>
        </w:rPr>
        <w:t xml:space="preserve">, výrobce </w:t>
      </w:r>
      <w:r w:rsidR="001B5421">
        <w:rPr>
          <w:b/>
        </w:rPr>
        <w:t>Olympus Medical Sy</w:t>
      </w:r>
      <w:r w:rsidR="004F5BEE">
        <w:rPr>
          <w:b/>
        </w:rPr>
        <w:t>stems Corp.</w:t>
      </w:r>
      <w:r w:rsidR="00A8095F">
        <w:rPr>
          <w:b/>
        </w:rPr>
        <w:t xml:space="preserve"> (KZT </w:t>
      </w:r>
      <w:r w:rsidR="00A8095F" w:rsidRPr="00A8095F">
        <w:rPr>
          <w:b/>
        </w:rPr>
        <w:t>D.3. - Přístroje pro endoskopii minimálně invazivn</w:t>
      </w:r>
      <w:r w:rsidR="00A8095F">
        <w:rPr>
          <w:b/>
        </w:rPr>
        <w:t>í)</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63AF7F5"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BA3F94E"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BF6901">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0D21BE2" w:rsidR="00BE2371" w:rsidRPr="00D859C2" w:rsidRDefault="003F7B02" w:rsidP="00D859C2">
      <w:pPr>
        <w:pStyle w:val="Odstavecsmlouvy"/>
      </w:pPr>
      <w:r w:rsidRPr="00D859C2">
        <w:t xml:space="preserve">Místem dodání Zboží </w:t>
      </w:r>
      <w:r w:rsidR="00D50BBE" w:rsidRPr="00D859C2">
        <w:t xml:space="preserve">je </w:t>
      </w:r>
      <w:r w:rsidR="00BF6901" w:rsidRPr="00BF6901">
        <w:t>Interní gastroente</w:t>
      </w:r>
      <w:r w:rsidR="00BF6901">
        <w:t>rologickou klinika</w:t>
      </w:r>
      <w:r w:rsidR="00BF6901" w:rsidRPr="00BF6901">
        <w:t xml:space="preserve"> Fakultní nemocnice Brno, pracoviště Nemocnice Bohunice a Porodnice, Jihlavská 20, 625 00 Brno</w:t>
      </w:r>
      <w:r w:rsidR="00BF6901">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7CEBDFA"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6D76F0">
        <w:t>XXXXXXXXXX</w:t>
      </w:r>
      <w:r w:rsidR="00DE3A3F" w:rsidRPr="00D859C2">
        <w:t xml:space="preserve">, tel.: </w:t>
      </w:r>
      <w:r w:rsidR="006D76F0">
        <w:t>XXXXXXX</w:t>
      </w:r>
      <w:r w:rsidR="00DE3A3F" w:rsidRPr="00D859C2">
        <w:t xml:space="preserve"> a písemně na e-mail: </w:t>
      </w:r>
      <w:r w:rsidR="006D76F0">
        <w:t>XXXXXXXXX</w:t>
      </w:r>
      <w:r w:rsidR="00DE3A3F" w:rsidRPr="00D859C2">
        <w:t>@fnbrno.cz</w:t>
      </w:r>
      <w:r w:rsidRPr="00D859C2">
        <w:t>.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xml:space="preserve">, která byla součástí </w:t>
      </w:r>
      <w:r w:rsidR="00D60C1A">
        <w:t>Zadávací dokumentace</w:t>
      </w:r>
      <w:r w:rsidR="00B91037" w:rsidRPr="00D859C2">
        <w:t>,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64E40C8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w:t>
      </w:r>
    </w:p>
    <w:p w14:paraId="75136A71" w14:textId="77777777" w:rsidR="00250E90" w:rsidRPr="00D859C2" w:rsidRDefault="00250E90" w:rsidP="00D859C2">
      <w:pPr>
        <w:pStyle w:val="Odstavecsmlouvy"/>
        <w:numPr>
          <w:ilvl w:val="0"/>
          <w:numId w:val="0"/>
        </w:numPr>
        <w:ind w:left="567"/>
      </w:pPr>
    </w:p>
    <w:p w14:paraId="75136A72" w14:textId="4E087F18" w:rsidR="00AF2763" w:rsidRPr="00D859C2" w:rsidRDefault="00250E90" w:rsidP="00D859C2">
      <w:pPr>
        <w:pStyle w:val="Odstavecsmlouvy"/>
      </w:pPr>
      <w:r w:rsidRPr="00D859C2">
        <w:lastRenderedPageBreak/>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F83E0D">
        <w:t xml:space="preserve"> (všech jeho položek)</w:t>
      </w:r>
      <w:r w:rsidR="00841443">
        <w:t xml:space="preserve">, </w:t>
      </w:r>
      <w:r w:rsidR="00FC0959">
        <w:t xml:space="preserve">o splnění požadavků a podmínek vyplývajících z přílohy č. 2 této smlouvy, </w:t>
      </w:r>
      <w:r w:rsidR="00841443">
        <w:t xml:space="preserve">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1F3C893" w:rsidR="00AF2763" w:rsidRPr="00D859C2" w:rsidRDefault="002F4EDA" w:rsidP="00A76194">
      <w:pPr>
        <w:pStyle w:val="Odstavecsmlouvy"/>
      </w:pPr>
      <w:r w:rsidRPr="00D859C2">
        <w:t>Prodávající se zavazuje, že bude provádět pravidelné servisní prohlídky (preventivní bezpečnostně technické kontroly) předepsané výrobcem a plat</w:t>
      </w:r>
      <w:r w:rsidR="00552FD4">
        <w:t xml:space="preserve">nými právními předpisy, zejména </w:t>
      </w:r>
      <w:r w:rsidR="00CF4F35">
        <w:t xml:space="preserve">zákonem č. 375/2022 Sb., o </w:t>
      </w:r>
      <w:r w:rsidR="00A76194" w:rsidRPr="00A76194">
        <w:t xml:space="preserve">zdravotnických prostředcích a diagnostických zdravotnických prostředcích in vitro </w:t>
      </w:r>
      <w:r w:rsidR="00A76194">
        <w:t>(dále jen „</w:t>
      </w:r>
      <w:r w:rsidR="00094B12">
        <w:t>ZoZP</w:t>
      </w:r>
      <w:r w:rsidR="00A76194">
        <w:t>“)</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1"/>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40"/>
        <w:gridCol w:w="3823"/>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28809AAD" w:rsidR="00D859C2" w:rsidRPr="005B49AA" w:rsidRDefault="004F5BEE" w:rsidP="000E79CE">
            <w:pPr>
              <w:pStyle w:val="Zkladntext3"/>
              <w:rPr>
                <w:b/>
                <w:sz w:val="22"/>
                <w:szCs w:val="22"/>
              </w:rPr>
            </w:pPr>
            <w:r>
              <w:rPr>
                <w:b/>
                <w:sz w:val="22"/>
                <w:szCs w:val="22"/>
              </w:rPr>
              <w:t>2 646 790,20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22766177" w:rsidR="00D859C2" w:rsidRPr="005B49AA" w:rsidRDefault="00D859C2" w:rsidP="000E79CE">
            <w:pPr>
              <w:pStyle w:val="Zkladntext3"/>
              <w:rPr>
                <w:b/>
                <w:sz w:val="22"/>
                <w:szCs w:val="22"/>
              </w:rPr>
            </w:pPr>
            <w:r w:rsidRPr="005B49AA">
              <w:rPr>
                <w:b/>
                <w:sz w:val="22"/>
                <w:szCs w:val="22"/>
              </w:rPr>
              <w:t xml:space="preserve">DPH </w:t>
            </w:r>
            <w:r w:rsidR="004F5BEE">
              <w:rPr>
                <w:b/>
                <w:sz w:val="22"/>
                <w:szCs w:val="22"/>
              </w:rPr>
              <w:t>21</w:t>
            </w:r>
            <w:r w:rsidRPr="005B49AA">
              <w:rPr>
                <w:b/>
                <w:sz w:val="22"/>
                <w:szCs w:val="22"/>
              </w:rPr>
              <w:t xml:space="preserve"> %:</w:t>
            </w:r>
          </w:p>
        </w:tc>
        <w:tc>
          <w:tcPr>
            <w:tcW w:w="4253" w:type="dxa"/>
            <w:shd w:val="clear" w:color="auto" w:fill="auto"/>
          </w:tcPr>
          <w:p w14:paraId="44D4CFEA" w14:textId="61260E19" w:rsidR="00D859C2" w:rsidRPr="005B49AA" w:rsidRDefault="004F5BEE" w:rsidP="000E79CE">
            <w:pPr>
              <w:pStyle w:val="Zkladntext3"/>
              <w:rPr>
                <w:b/>
                <w:sz w:val="22"/>
                <w:szCs w:val="22"/>
              </w:rPr>
            </w:pPr>
            <w:r>
              <w:rPr>
                <w:b/>
                <w:sz w:val="22"/>
                <w:szCs w:val="22"/>
              </w:rPr>
              <w:t xml:space="preserve">   555 825,94</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CD5F9C2" w:rsidR="00D859C2" w:rsidRPr="005B49AA" w:rsidRDefault="004F5BEE" w:rsidP="000E79CE">
            <w:pPr>
              <w:pStyle w:val="Zkladntext3"/>
              <w:rPr>
                <w:b/>
                <w:sz w:val="22"/>
                <w:szCs w:val="22"/>
              </w:rPr>
            </w:pPr>
            <w:r>
              <w:rPr>
                <w:b/>
                <w:sz w:val="22"/>
                <w:szCs w:val="22"/>
              </w:rPr>
              <w:t>3 202 616,14</w:t>
            </w:r>
            <w:r w:rsidR="00D859C2" w:rsidRPr="005B49AA">
              <w:rPr>
                <w:b/>
                <w:sz w:val="22"/>
                <w:szCs w:val="22"/>
              </w:rPr>
              <w:t xml:space="preserve"> Kč</w:t>
            </w:r>
          </w:p>
        </w:tc>
      </w:tr>
    </w:tbl>
    <w:p w14:paraId="183039AC" w14:textId="77777777" w:rsidR="00D859C2" w:rsidRDefault="00D859C2" w:rsidP="003E4543"/>
    <w:p w14:paraId="5A41E830" w14:textId="4688F2F1" w:rsidR="00D70368" w:rsidRPr="00D859C2" w:rsidRDefault="00D70368" w:rsidP="00D70368">
      <w:pPr>
        <w:pStyle w:val="Odstavecsmlouvy"/>
        <w:numPr>
          <w:ilvl w:val="1"/>
          <w:numId w:val="1"/>
        </w:numPr>
      </w:pPr>
      <w:r w:rsidRPr="00D859C2">
        <w:t xml:space="preserve">Sjednaná </w:t>
      </w:r>
      <w:r>
        <w:t>kupní c</w:t>
      </w:r>
      <w:r w:rsidRPr="00D859C2">
        <w:t>ena zahrnuje kromě Zboží</w:t>
      </w:r>
      <w:r w:rsidR="00A76194">
        <w:t xml:space="preserve"> veškeré náklady související s dodáním Zboží</w:t>
      </w:r>
      <w:r w:rsidRPr="00D859C2">
        <w:t xml:space="preserve">,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F101AC0" w:rsidR="00A74BD6" w:rsidRPr="00D859C2" w:rsidRDefault="00D82704" w:rsidP="00F63181">
      <w:pPr>
        <w:pStyle w:val="Odstavecsmlouvy"/>
      </w:pPr>
      <w:r w:rsidRPr="00D859C2">
        <w:t>Kupující</w:t>
      </w:r>
      <w:r w:rsidR="00871625" w:rsidRPr="00D859C2">
        <w:t xml:space="preserve"> </w:t>
      </w:r>
      <w:r w:rsidR="00D50BBE" w:rsidRPr="00D859C2">
        <w:t xml:space="preserve">se zavazuje uhradit kupní cenu na základě jedné faktury – daňového dokladu. </w:t>
      </w:r>
      <w:r w:rsidR="00F63181">
        <w:t xml:space="preserve">Splatnost faktury je </w:t>
      </w:r>
      <w:r w:rsidR="00D50BBE" w:rsidRPr="00D859C2">
        <w:t xml:space="preserve">60 dnů od </w:t>
      </w:r>
      <w:r w:rsidR="00F63181">
        <w:t xml:space="preserve">jejího </w:t>
      </w:r>
      <w:r w:rsidR="00D50BBE" w:rsidRPr="00D859C2">
        <w:t xml:space="preserve">vystavení. Dnem uskutečnění zdanitelného plnění bude den protokolárního převzetí předmětu plnění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23DAC3FF" w:rsidR="00DE3A3F" w:rsidRPr="00D859C2" w:rsidRDefault="00DE3A3F" w:rsidP="00094B12">
      <w:pPr>
        <w:pStyle w:val="Odstavecsmlouvy"/>
      </w:pPr>
      <w:r w:rsidRPr="00D859C2">
        <w:t xml:space="preserve">Prodávající se zavazuje, že v případě nutnosti dílenské nebo dlouhodobější opravy </w:t>
      </w:r>
      <w:r w:rsidR="00207B51">
        <w:t xml:space="preserve">Zboží (delší než 3 pracovní dny) </w:t>
      </w:r>
      <w:r w:rsidRPr="00D859C2">
        <w:t>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1"/>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386A493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p w14:paraId="608773D5" w14:textId="77777777" w:rsidR="009A640C" w:rsidRDefault="009A640C" w:rsidP="009A640C">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F02366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42E64">
        <w:t>VII.10</w:t>
      </w:r>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42E64">
        <w:t>VII.10</w:t>
      </w:r>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lastRenderedPageBreak/>
        <w:t xml:space="preserve">V případě, že Prodávající bude zpracovávat Osobní údaje v rozporu s odst. </w:t>
      </w:r>
      <w:r>
        <w:fldChar w:fldCharType="begin"/>
      </w:r>
      <w:r>
        <w:instrText xml:space="preserve"> REF _Ref529534908 \n \h </w:instrText>
      </w:r>
      <w:r>
        <w:fldChar w:fldCharType="separate"/>
      </w:r>
      <w:r w:rsidR="00842E64">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42E64">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42E64">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1"/>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10"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lastRenderedPageBreak/>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11" w:name="_Ref41464712"/>
      <w:bookmarkStart w:id="12"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1"/>
    </w:p>
    <w:bookmarkEnd w:id="12"/>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3" w:name="_Ref41464266"/>
      <w:r>
        <w:t>Ochrana osobních údajů a kybernetická bezpečnost</w:t>
      </w:r>
      <w:bookmarkEnd w:id="13"/>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4"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4"/>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5"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5"/>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lastRenderedPageBreak/>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42E64">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0"/>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w:t>
      </w:r>
      <w:r w:rsidRPr="00D859C2">
        <w:lastRenderedPageBreak/>
        <w:t>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2FCC02" w:rsidR="00327588" w:rsidRPr="009A640C" w:rsidRDefault="00160D16" w:rsidP="00094B12">
      <w:pPr>
        <w:pStyle w:val="Odstavecsmlouvy"/>
        <w:rPr>
          <w:snapToGrid w:val="0"/>
        </w:rPr>
      </w:pPr>
      <w:r w:rsidRPr="009A640C">
        <w:rPr>
          <w:snapToGrid w:val="0"/>
        </w:rPr>
        <w:t>Tato smlouva je sepsána ve třech vyhotoveních stejné platnosti a závaznosti, přičemž Kupující obdrží dvě vyhotovení a Prodávající obdrží jedno vyhotovení“</w:t>
      </w:r>
      <w:r w:rsidR="00CC12D2" w:rsidRPr="009A640C">
        <w:rPr>
          <w:snapToGrid w:val="0"/>
        </w:rPr>
        <w:t>.</w:t>
      </w:r>
      <w:r w:rsidR="00D7425C" w:rsidRPr="009A640C">
        <w:rPr>
          <w:snapToGrid w:val="0"/>
        </w:rPr>
        <w:t xml:space="preserve"> </w:t>
      </w:r>
      <w:r w:rsidR="00A51E29" w:rsidRPr="009A640C">
        <w:rPr>
          <w:snapToGrid w:val="0"/>
        </w:rPr>
        <w:t>Případně je tato smlouva vyhotovena elektronicky a podepsána uznávaným elektronickým podpisem</w:t>
      </w:r>
      <w:r w:rsidR="00D7425C" w:rsidRPr="009A640C">
        <w:rPr>
          <w:snapToGrid w:val="0"/>
        </w:rPr>
        <w:t>.</w:t>
      </w:r>
      <w:r w:rsidR="00966A9F" w:rsidRPr="009A640C">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1"/>
        </w:numPr>
      </w:pPr>
      <w:r>
        <w:t>Nedílnou součástí této smlouvy jsou:</w:t>
      </w:r>
    </w:p>
    <w:p w14:paraId="6EC6FB1A" w14:textId="4C52A646" w:rsidR="0096600E" w:rsidRDefault="0096600E" w:rsidP="0096600E">
      <w:pPr>
        <w:pStyle w:val="Odstavecsmlouvy"/>
        <w:numPr>
          <w:ilvl w:val="0"/>
          <w:numId w:val="13"/>
        </w:numPr>
      </w:pPr>
      <w:r>
        <w:t xml:space="preserve">Příloha č. 1 – Specifikace </w:t>
      </w:r>
      <w:r w:rsidR="00F83E0D">
        <w:t>Zboží,</w:t>
      </w:r>
      <w:r>
        <w:t xml:space="preserve"> Služeb</w:t>
      </w:r>
      <w:r w:rsidR="00F83E0D">
        <w:t xml:space="preserve"> a Montáže</w:t>
      </w:r>
      <w:r>
        <w:t>;</w:t>
      </w:r>
    </w:p>
    <w:p w14:paraId="629C0848" w14:textId="0474D4B0" w:rsidR="0096600E" w:rsidRPr="00411575" w:rsidRDefault="0096600E" w:rsidP="0096600E">
      <w:pPr>
        <w:pStyle w:val="Odstavecsmlouvy"/>
        <w:numPr>
          <w:ilvl w:val="0"/>
          <w:numId w:val="13"/>
        </w:numPr>
        <w:rPr>
          <w:rStyle w:val="normaltextrun"/>
        </w:rPr>
      </w:pPr>
      <w:r>
        <w:t xml:space="preserve">Příloha č. 2 – </w:t>
      </w:r>
      <w:r w:rsidRPr="002B6FEC">
        <w:rPr>
          <w:rStyle w:val="normaltextrun"/>
          <w:bCs/>
        </w:rPr>
        <w:t>Požadavky z oblasti informačních a komunikačních technologií</w:t>
      </w:r>
      <w:r w:rsidR="00411575">
        <w:rPr>
          <w:rStyle w:val="normaltextrun"/>
          <w:bCs/>
        </w:rPr>
        <w:t>;</w:t>
      </w:r>
    </w:p>
    <w:p w14:paraId="11102115" w14:textId="19359F07" w:rsidR="00411575" w:rsidRDefault="00411575" w:rsidP="0096600E">
      <w:pPr>
        <w:pStyle w:val="Odstavecsmlouvy"/>
        <w:numPr>
          <w:ilvl w:val="0"/>
          <w:numId w:val="13"/>
        </w:numPr>
      </w:pPr>
      <w:r>
        <w:rPr>
          <w:rStyle w:val="normaltextrun"/>
          <w:bCs/>
        </w:rPr>
        <w:t>Příloha č. 3 – Prohlášení o shodě</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7"/>
        <w:gridCol w:w="1001"/>
        <w:gridCol w:w="3797"/>
      </w:tblGrid>
      <w:tr w:rsidR="00094B12" w:rsidRPr="00D722DC" w14:paraId="3036FF83" w14:textId="77777777" w:rsidTr="00160D16">
        <w:tc>
          <w:tcPr>
            <w:tcW w:w="3802" w:type="dxa"/>
            <w:shd w:val="clear" w:color="auto" w:fill="auto"/>
          </w:tcPr>
          <w:p w14:paraId="69B3B101" w14:textId="45402C59"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4F5BEE">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4ADC447" w:rsidR="00094B12" w:rsidRPr="001150C5" w:rsidRDefault="004F5BEE" w:rsidP="000E79CE">
            <w:pPr>
              <w:pStyle w:val="slovn"/>
              <w:numPr>
                <w:ilvl w:val="0"/>
                <w:numId w:val="0"/>
              </w:numPr>
              <w:tabs>
                <w:tab w:val="num" w:pos="567"/>
              </w:tabs>
              <w:spacing w:after="0" w:line="280" w:lineRule="atLeast"/>
              <w:jc w:val="center"/>
              <w:rPr>
                <w:b/>
                <w:sz w:val="22"/>
                <w:szCs w:val="22"/>
              </w:rPr>
            </w:pPr>
            <w:r>
              <w:rPr>
                <w:b/>
                <w:sz w:val="22"/>
                <w:szCs w:val="22"/>
              </w:rPr>
              <w:t>Olympus Czech Group, s.r.o., člen koncernu</w:t>
            </w:r>
          </w:p>
          <w:p w14:paraId="11078059" w14:textId="77777777" w:rsidR="00094B12" w:rsidRDefault="004F5BEE" w:rsidP="000E79CE">
            <w:pPr>
              <w:pStyle w:val="slovn"/>
              <w:numPr>
                <w:ilvl w:val="0"/>
                <w:numId w:val="0"/>
              </w:numPr>
              <w:tabs>
                <w:tab w:val="num" w:pos="567"/>
              </w:tabs>
              <w:spacing w:after="0" w:line="280" w:lineRule="atLeast"/>
              <w:jc w:val="center"/>
              <w:rPr>
                <w:sz w:val="22"/>
                <w:szCs w:val="22"/>
              </w:rPr>
            </w:pPr>
            <w:r>
              <w:rPr>
                <w:sz w:val="22"/>
                <w:szCs w:val="22"/>
              </w:rPr>
              <w:t>Radek Šubotník</w:t>
            </w:r>
          </w:p>
          <w:p w14:paraId="2DD38D0D" w14:textId="77777777" w:rsidR="004F5BEE" w:rsidRDefault="004F5BEE" w:rsidP="000E79CE">
            <w:pPr>
              <w:pStyle w:val="slovn"/>
              <w:numPr>
                <w:ilvl w:val="0"/>
                <w:numId w:val="0"/>
              </w:numPr>
              <w:tabs>
                <w:tab w:val="num" w:pos="567"/>
              </w:tabs>
              <w:spacing w:after="0" w:line="280" w:lineRule="atLeast"/>
              <w:jc w:val="center"/>
              <w:rPr>
                <w:sz w:val="22"/>
                <w:szCs w:val="22"/>
              </w:rPr>
            </w:pPr>
            <w:r>
              <w:rPr>
                <w:sz w:val="22"/>
                <w:szCs w:val="22"/>
              </w:rPr>
              <w:t>David Horák</w:t>
            </w:r>
          </w:p>
          <w:p w14:paraId="17D23793" w14:textId="02C44EF4" w:rsidR="004F5BEE" w:rsidRPr="00D722DC" w:rsidRDefault="004F5BEE" w:rsidP="000E79CE">
            <w:pPr>
              <w:pStyle w:val="slovn"/>
              <w:numPr>
                <w:ilvl w:val="0"/>
                <w:numId w:val="0"/>
              </w:numPr>
              <w:tabs>
                <w:tab w:val="num" w:pos="567"/>
              </w:tabs>
              <w:spacing w:after="0" w:line="280" w:lineRule="atLeast"/>
              <w:jc w:val="center"/>
              <w:rPr>
                <w:sz w:val="22"/>
                <w:szCs w:val="22"/>
              </w:rPr>
            </w:pPr>
            <w:r>
              <w:rPr>
                <w:sz w:val="22"/>
                <w:szCs w:val="22"/>
              </w:rPr>
              <w:t>prokuristé</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00FB789" w14:textId="77777777" w:rsidR="000530F0" w:rsidRDefault="004F5BEE" w:rsidP="004F5BEE">
      <w:pPr>
        <w:spacing w:before="100" w:beforeAutospacing="1" w:after="100" w:afterAutospacing="1" w:line="240" w:lineRule="auto"/>
        <w:ind w:left="-426"/>
        <w:rPr>
          <w:rFonts w:cstheme="minorHAnsi"/>
          <w:b/>
        </w:rPr>
      </w:pPr>
      <w:r>
        <w:rPr>
          <w:rFonts w:cstheme="minorHAnsi"/>
          <w:b/>
          <w:color w:val="000000" w:themeColor="text1"/>
        </w:rPr>
        <w:t xml:space="preserve">Název:  </w:t>
      </w:r>
      <w:r>
        <w:rPr>
          <w:rFonts w:cstheme="minorHAnsi"/>
          <w:b/>
        </w:rPr>
        <w:t>FN Brno - GF-UCT180</w:t>
      </w:r>
    </w:p>
    <w:p w14:paraId="49518BE9" w14:textId="1600BCB1" w:rsidR="004F5BEE" w:rsidRPr="009E3E94" w:rsidRDefault="004F5BEE" w:rsidP="004F5BEE">
      <w:pPr>
        <w:spacing w:before="100" w:beforeAutospacing="1" w:after="100" w:afterAutospacing="1" w:line="240" w:lineRule="auto"/>
        <w:ind w:left="-426"/>
        <w:rPr>
          <w:rFonts w:cstheme="minorHAnsi"/>
          <w:b/>
          <w:color w:val="000000" w:themeColor="text1"/>
          <w:sz w:val="18"/>
          <w:szCs w:val="18"/>
        </w:rPr>
      </w:pPr>
      <w:r>
        <w:rPr>
          <w:rFonts w:cstheme="minorHAnsi"/>
          <w:b/>
          <w:color w:val="000000" w:themeColor="text1"/>
        </w:rPr>
        <w:t xml:space="preserve">Číslo nabídky: </w:t>
      </w:r>
      <w:r>
        <w:rPr>
          <w:rFonts w:cstheme="minorHAnsi"/>
          <w:b/>
        </w:rPr>
        <w:t>Q-140904</w:t>
      </w:r>
    </w:p>
    <w:p w14:paraId="587155D7" w14:textId="77777777" w:rsidR="004F5BEE" w:rsidRDefault="004F5BEE" w:rsidP="004F5BEE">
      <w:pPr>
        <w:spacing w:before="240" w:after="120" w:line="240" w:lineRule="auto"/>
        <w:ind w:left="-397"/>
        <w:rPr>
          <w:rFonts w:cstheme="minorHAnsi"/>
          <w:b/>
          <w:bCs/>
          <w:color w:val="08107B"/>
          <w:sz w:val="18"/>
          <w:szCs w:val="18"/>
        </w:rPr>
      </w:pPr>
    </w:p>
    <w:tbl>
      <w:tblPr>
        <w:tblStyle w:val="Tabulkasmkou4zvraznn3"/>
        <w:tblpPr w:leftFromText="187" w:rightFromText="187" w:vertAnchor="text" w:tblpX="-431" w:tblpY="1"/>
        <w:tblW w:w="10201" w:type="dxa"/>
        <w:tblLayout w:type="fixed"/>
        <w:tblLook w:val="04A0" w:firstRow="1" w:lastRow="0" w:firstColumn="1" w:lastColumn="0" w:noHBand="0" w:noVBand="1"/>
      </w:tblPr>
      <w:tblGrid>
        <w:gridCol w:w="397"/>
        <w:gridCol w:w="1134"/>
        <w:gridCol w:w="2859"/>
        <w:gridCol w:w="708"/>
        <w:gridCol w:w="1276"/>
        <w:gridCol w:w="1276"/>
        <w:gridCol w:w="1276"/>
        <w:gridCol w:w="1275"/>
      </w:tblGrid>
      <w:tr w:rsidR="004F5BEE" w:rsidRPr="003243BC" w14:paraId="0E2F78A6" w14:textId="77777777" w:rsidTr="00F57D90">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97" w:type="dxa"/>
            <w:tcBorders>
              <w:right w:val="single" w:sz="4" w:space="0" w:color="EAEAEA"/>
            </w:tcBorders>
          </w:tcPr>
          <w:p w14:paraId="0EF6FE0A" w14:textId="77777777" w:rsidR="004F5BEE" w:rsidRPr="003674EE" w:rsidRDefault="004F5BEE" w:rsidP="00F57D90">
            <w:pPr>
              <w:pStyle w:val="Bezmezer"/>
              <w:spacing w:before="100" w:beforeAutospacing="1" w:after="100" w:afterAutospacing="1"/>
              <w:rPr>
                <w:rFonts w:cstheme="minorHAnsi"/>
                <w:b w:val="0"/>
                <w:bCs w:val="0"/>
                <w:color w:val="000000" w:themeColor="text1"/>
                <w:sz w:val="14"/>
                <w:szCs w:val="14"/>
                <w:lang w:val="cs-CZ"/>
              </w:rPr>
            </w:pPr>
          </w:p>
        </w:tc>
        <w:tc>
          <w:tcPr>
            <w:tcW w:w="1134" w:type="dxa"/>
            <w:tcBorders>
              <w:left w:val="single" w:sz="4" w:space="0" w:color="EAEAEA"/>
              <w:right w:val="single" w:sz="4" w:space="0" w:color="EAEAEA"/>
            </w:tcBorders>
          </w:tcPr>
          <w:p w14:paraId="347C6C72" w14:textId="77777777" w:rsidR="004F5BEE" w:rsidRPr="003243BC" w:rsidRDefault="004F5BEE" w:rsidP="00F57D90">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Objednací č</w:t>
            </w:r>
            <w:r>
              <w:rPr>
                <w:rFonts w:cstheme="minorHAnsi"/>
                <w:color w:val="000000" w:themeColor="text1"/>
                <w:sz w:val="18"/>
                <w:szCs w:val="18"/>
                <w:lang w:val="cs-CZ"/>
              </w:rPr>
              <w:t>íslo</w:t>
            </w:r>
          </w:p>
        </w:tc>
        <w:tc>
          <w:tcPr>
            <w:tcW w:w="2859" w:type="dxa"/>
            <w:tcBorders>
              <w:left w:val="single" w:sz="4" w:space="0" w:color="EAEAEA"/>
              <w:right w:val="single" w:sz="4" w:space="0" w:color="EAEAEA"/>
            </w:tcBorders>
          </w:tcPr>
          <w:p w14:paraId="24592EB4" w14:textId="77777777" w:rsidR="004F5BEE" w:rsidRPr="003243BC" w:rsidRDefault="004F5BEE" w:rsidP="00F57D90">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Položka</w:t>
            </w:r>
          </w:p>
        </w:tc>
        <w:tc>
          <w:tcPr>
            <w:tcW w:w="708" w:type="dxa"/>
            <w:tcBorders>
              <w:left w:val="single" w:sz="4" w:space="0" w:color="EAEAEA"/>
              <w:right w:val="single" w:sz="4" w:space="0" w:color="EAEAEA"/>
            </w:tcBorders>
          </w:tcPr>
          <w:p w14:paraId="0C616857" w14:textId="77777777" w:rsidR="004F5BEE" w:rsidRPr="003243BC" w:rsidRDefault="004F5BEE" w:rsidP="00F57D90">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Pr>
                <w:rFonts w:cstheme="minorHAnsi"/>
                <w:color w:val="000000" w:themeColor="text1"/>
                <w:sz w:val="18"/>
                <w:szCs w:val="18"/>
                <w:lang w:val="cs-CZ"/>
              </w:rPr>
              <w:t>Počet</w:t>
            </w:r>
          </w:p>
        </w:tc>
        <w:tc>
          <w:tcPr>
            <w:tcW w:w="1276" w:type="dxa"/>
            <w:tcBorders>
              <w:left w:val="single" w:sz="4" w:space="0" w:color="EAEAEA"/>
              <w:right w:val="single" w:sz="4" w:space="0" w:color="EAEAEA"/>
            </w:tcBorders>
          </w:tcPr>
          <w:p w14:paraId="0FEC86E2" w14:textId="77777777" w:rsidR="004F5BEE" w:rsidRPr="003243BC" w:rsidRDefault="004F5BEE" w:rsidP="00F57D90">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Jednotková cena</w:t>
            </w:r>
          </w:p>
        </w:tc>
        <w:tc>
          <w:tcPr>
            <w:tcW w:w="1276" w:type="dxa"/>
            <w:tcBorders>
              <w:left w:val="single" w:sz="4" w:space="0" w:color="EAEAEA"/>
              <w:right w:val="single" w:sz="4" w:space="0" w:color="EAEAEA"/>
            </w:tcBorders>
          </w:tcPr>
          <w:p w14:paraId="7FFF4531" w14:textId="77777777" w:rsidR="004F5BEE" w:rsidRPr="003243BC" w:rsidRDefault="004F5BEE" w:rsidP="00F57D90">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 xml:space="preserve">Celková cena </w:t>
            </w:r>
          </w:p>
        </w:tc>
        <w:tc>
          <w:tcPr>
            <w:tcW w:w="1276" w:type="dxa"/>
            <w:tcBorders>
              <w:left w:val="single" w:sz="4" w:space="0" w:color="EAEAEA"/>
              <w:right w:val="single" w:sz="4" w:space="0" w:color="EAEAEA"/>
            </w:tcBorders>
          </w:tcPr>
          <w:p w14:paraId="7F0E78BC" w14:textId="77777777" w:rsidR="004F5BEE" w:rsidRPr="003243BC" w:rsidRDefault="004F5BEE" w:rsidP="00F57D90">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Sazba DPH</w:t>
            </w:r>
          </w:p>
        </w:tc>
        <w:tc>
          <w:tcPr>
            <w:tcW w:w="1275" w:type="dxa"/>
            <w:tcBorders>
              <w:left w:val="single" w:sz="4" w:space="0" w:color="EAEAEA"/>
            </w:tcBorders>
          </w:tcPr>
          <w:p w14:paraId="693AC1F3" w14:textId="77777777" w:rsidR="004F5BEE" w:rsidRPr="003243BC" w:rsidRDefault="004F5BEE" w:rsidP="00F57D90">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DPH celkem</w:t>
            </w:r>
          </w:p>
        </w:tc>
      </w:tr>
      <w:tr w:rsidR="004F5BEE" w:rsidRPr="003243BC" w14:paraId="694D5D9A" w14:textId="77777777" w:rsidTr="00F57D9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97" w:type="dxa"/>
          </w:tcPr>
          <w:p w14:paraId="4E3424F6" w14:textId="77777777" w:rsidR="004F5BEE" w:rsidRPr="003674EE" w:rsidRDefault="004F5BEE" w:rsidP="00F57D90">
            <w:pPr>
              <w:pStyle w:val="Bezmezer"/>
              <w:rPr>
                <w:rFonts w:cstheme="minorHAnsi"/>
                <w:b w:val="0"/>
                <w:bCs w:val="0"/>
                <w:sz w:val="14"/>
                <w:szCs w:val="14"/>
              </w:rPr>
            </w:pPr>
            <w:r>
              <w:rPr>
                <w:rFonts w:cstheme="minorHAnsi"/>
                <w:b w:val="0"/>
                <w:bCs w:val="0"/>
                <w:sz w:val="14"/>
                <w:szCs w:val="14"/>
              </w:rPr>
              <w:t xml:space="preserve"> 1</w:t>
            </w:r>
          </w:p>
        </w:tc>
        <w:tc>
          <w:tcPr>
            <w:tcW w:w="1134" w:type="dxa"/>
          </w:tcPr>
          <w:p w14:paraId="417AD519" w14:textId="77777777" w:rsidR="004F5BEE" w:rsidRDefault="004F5BEE" w:rsidP="00F57D90">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N5367150</w:t>
            </w:r>
          </w:p>
        </w:tc>
        <w:tc>
          <w:tcPr>
            <w:tcW w:w="2859" w:type="dxa"/>
          </w:tcPr>
          <w:p w14:paraId="204DF0DB" w14:textId="77777777" w:rsidR="004F5BEE" w:rsidRDefault="004F5BEE" w:rsidP="00F57D90">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GF-UCT180 EUS GASTROSCOPE</w:t>
            </w:r>
          </w:p>
        </w:tc>
        <w:tc>
          <w:tcPr>
            <w:tcW w:w="708" w:type="dxa"/>
          </w:tcPr>
          <w:p w14:paraId="691DD40D" w14:textId="77777777" w:rsidR="004F5BEE" w:rsidRDefault="004F5BEE" w:rsidP="00F57D90">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385CF667"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2 573 553,00</w:t>
            </w:r>
          </w:p>
        </w:tc>
        <w:tc>
          <w:tcPr>
            <w:tcW w:w="1276" w:type="dxa"/>
          </w:tcPr>
          <w:p w14:paraId="616594AC"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2 316 197,70</w:t>
            </w:r>
          </w:p>
        </w:tc>
        <w:tc>
          <w:tcPr>
            <w:tcW w:w="1276" w:type="dxa"/>
          </w:tcPr>
          <w:p w14:paraId="110580B9" w14:textId="77777777" w:rsidR="004F5BEE" w:rsidRDefault="004F5BEE" w:rsidP="00F57D90">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1B2804D0"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486 401,52</w:t>
            </w:r>
          </w:p>
        </w:tc>
      </w:tr>
      <w:tr w:rsidR="004F5BEE" w:rsidRPr="003243BC" w14:paraId="0BD81C64" w14:textId="77777777" w:rsidTr="00F57D90">
        <w:trPr>
          <w:trHeight w:val="121"/>
        </w:trPr>
        <w:tc>
          <w:tcPr>
            <w:cnfStyle w:val="001000000000" w:firstRow="0" w:lastRow="0" w:firstColumn="1" w:lastColumn="0" w:oddVBand="0" w:evenVBand="0" w:oddHBand="0" w:evenHBand="0" w:firstRowFirstColumn="0" w:firstRowLastColumn="0" w:lastRowFirstColumn="0" w:lastRowLastColumn="0"/>
            <w:tcW w:w="397" w:type="dxa"/>
          </w:tcPr>
          <w:p w14:paraId="580CC612" w14:textId="77777777" w:rsidR="004F5BEE" w:rsidRPr="003674EE" w:rsidRDefault="004F5BEE" w:rsidP="00F57D90">
            <w:pPr>
              <w:pStyle w:val="Bezmezer"/>
              <w:rPr>
                <w:rFonts w:cstheme="minorHAnsi"/>
                <w:b w:val="0"/>
                <w:bCs w:val="0"/>
                <w:sz w:val="14"/>
                <w:szCs w:val="14"/>
              </w:rPr>
            </w:pPr>
            <w:r>
              <w:rPr>
                <w:rFonts w:cstheme="minorHAnsi"/>
                <w:b w:val="0"/>
                <w:bCs w:val="0"/>
                <w:sz w:val="14"/>
                <w:szCs w:val="14"/>
              </w:rPr>
              <w:t xml:space="preserve"> 2</w:t>
            </w:r>
          </w:p>
        </w:tc>
        <w:tc>
          <w:tcPr>
            <w:tcW w:w="1134" w:type="dxa"/>
          </w:tcPr>
          <w:p w14:paraId="7D17744E" w14:textId="77777777" w:rsidR="004F5BEE" w:rsidRDefault="004F5BEE" w:rsidP="00F57D90">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N5361050</w:t>
            </w:r>
          </w:p>
        </w:tc>
        <w:tc>
          <w:tcPr>
            <w:tcW w:w="2859" w:type="dxa"/>
          </w:tcPr>
          <w:p w14:paraId="07D5D764" w14:textId="77777777" w:rsidR="004F5BEE" w:rsidRDefault="004F5BEE" w:rsidP="00F57D90">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MAJ-2056 ULTRASOUND CABLE</w:t>
            </w:r>
          </w:p>
        </w:tc>
        <w:tc>
          <w:tcPr>
            <w:tcW w:w="708" w:type="dxa"/>
          </w:tcPr>
          <w:p w14:paraId="31B4BEF7" w14:textId="77777777" w:rsidR="004F5BEE" w:rsidRDefault="004F5BEE" w:rsidP="00F57D90">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7E0EE6F0"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265 147,00</w:t>
            </w:r>
          </w:p>
        </w:tc>
        <w:tc>
          <w:tcPr>
            <w:tcW w:w="1276" w:type="dxa"/>
          </w:tcPr>
          <w:p w14:paraId="1CBE83E5"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238 632,30</w:t>
            </w:r>
          </w:p>
        </w:tc>
        <w:tc>
          <w:tcPr>
            <w:tcW w:w="1276" w:type="dxa"/>
          </w:tcPr>
          <w:p w14:paraId="53D6A1A9" w14:textId="77777777" w:rsidR="004F5BEE" w:rsidRDefault="004F5BEE" w:rsidP="00F57D90">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6C04B672"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50 112,78</w:t>
            </w:r>
          </w:p>
        </w:tc>
      </w:tr>
      <w:tr w:rsidR="004F5BEE" w:rsidRPr="003243BC" w14:paraId="1DD5831E" w14:textId="77777777" w:rsidTr="00F57D9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97" w:type="dxa"/>
          </w:tcPr>
          <w:p w14:paraId="7CC5EE3C" w14:textId="77777777" w:rsidR="004F5BEE" w:rsidRPr="003674EE" w:rsidRDefault="004F5BEE" w:rsidP="00F57D90">
            <w:pPr>
              <w:pStyle w:val="Bezmezer"/>
              <w:rPr>
                <w:rFonts w:cstheme="minorHAnsi"/>
                <w:b w:val="0"/>
                <w:bCs w:val="0"/>
                <w:sz w:val="14"/>
                <w:szCs w:val="14"/>
              </w:rPr>
            </w:pPr>
            <w:r>
              <w:rPr>
                <w:rFonts w:cstheme="minorHAnsi"/>
                <w:b w:val="0"/>
                <w:bCs w:val="0"/>
                <w:sz w:val="14"/>
                <w:szCs w:val="14"/>
              </w:rPr>
              <w:t xml:space="preserve"> 3</w:t>
            </w:r>
          </w:p>
        </w:tc>
        <w:tc>
          <w:tcPr>
            <w:tcW w:w="1134" w:type="dxa"/>
          </w:tcPr>
          <w:p w14:paraId="50515FB1" w14:textId="77777777" w:rsidR="004F5BEE" w:rsidRDefault="004F5BEE" w:rsidP="00F57D90">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N2485700</w:t>
            </w:r>
          </w:p>
        </w:tc>
        <w:tc>
          <w:tcPr>
            <w:tcW w:w="2859" w:type="dxa"/>
          </w:tcPr>
          <w:p w14:paraId="5CD0F8B8" w14:textId="77777777" w:rsidR="004F5BEE" w:rsidRDefault="004F5BEE" w:rsidP="00F57D90">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MAJ-1430 Videokabel</w:t>
            </w:r>
          </w:p>
        </w:tc>
        <w:tc>
          <w:tcPr>
            <w:tcW w:w="708" w:type="dxa"/>
          </w:tcPr>
          <w:p w14:paraId="57E28881" w14:textId="77777777" w:rsidR="004F5BEE" w:rsidRDefault="004F5BEE" w:rsidP="00F57D90">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289B98A7"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66 692,00</w:t>
            </w:r>
          </w:p>
        </w:tc>
        <w:tc>
          <w:tcPr>
            <w:tcW w:w="1276" w:type="dxa"/>
          </w:tcPr>
          <w:p w14:paraId="743C05B2"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60 022,80</w:t>
            </w:r>
          </w:p>
        </w:tc>
        <w:tc>
          <w:tcPr>
            <w:tcW w:w="1276" w:type="dxa"/>
          </w:tcPr>
          <w:p w14:paraId="3DB3855C" w14:textId="77777777" w:rsidR="004F5BEE" w:rsidRDefault="004F5BEE" w:rsidP="00F57D90">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2B0FF277"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12 604,79</w:t>
            </w:r>
          </w:p>
        </w:tc>
      </w:tr>
      <w:tr w:rsidR="004F5BEE" w:rsidRPr="003243BC" w14:paraId="6B01BB2B" w14:textId="77777777" w:rsidTr="00F57D90">
        <w:trPr>
          <w:trHeight w:val="121"/>
        </w:trPr>
        <w:tc>
          <w:tcPr>
            <w:cnfStyle w:val="001000000000" w:firstRow="0" w:lastRow="0" w:firstColumn="1" w:lastColumn="0" w:oddVBand="0" w:evenVBand="0" w:oddHBand="0" w:evenHBand="0" w:firstRowFirstColumn="0" w:firstRowLastColumn="0" w:lastRowFirstColumn="0" w:lastRowLastColumn="0"/>
            <w:tcW w:w="397" w:type="dxa"/>
          </w:tcPr>
          <w:p w14:paraId="2313DF1B" w14:textId="77777777" w:rsidR="004F5BEE" w:rsidRPr="003674EE" w:rsidRDefault="004F5BEE" w:rsidP="00F57D90">
            <w:pPr>
              <w:pStyle w:val="Bezmezer"/>
              <w:rPr>
                <w:rFonts w:cstheme="minorHAnsi"/>
                <w:b w:val="0"/>
                <w:bCs w:val="0"/>
                <w:sz w:val="14"/>
                <w:szCs w:val="14"/>
              </w:rPr>
            </w:pPr>
            <w:r>
              <w:rPr>
                <w:rFonts w:cstheme="minorHAnsi"/>
                <w:b w:val="0"/>
                <w:bCs w:val="0"/>
                <w:sz w:val="14"/>
                <w:szCs w:val="14"/>
              </w:rPr>
              <w:t xml:space="preserve"> 4</w:t>
            </w:r>
          </w:p>
        </w:tc>
        <w:tc>
          <w:tcPr>
            <w:tcW w:w="1134" w:type="dxa"/>
          </w:tcPr>
          <w:p w14:paraId="4C62D40B" w14:textId="77777777" w:rsidR="004F5BEE" w:rsidRDefault="004F5BEE" w:rsidP="00F57D90">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N5363530</w:t>
            </w:r>
          </w:p>
        </w:tc>
        <w:tc>
          <w:tcPr>
            <w:tcW w:w="2859" w:type="dxa"/>
          </w:tcPr>
          <w:p w14:paraId="066D7D8C" w14:textId="77777777" w:rsidR="004F5BEE" w:rsidRDefault="004F5BEE" w:rsidP="00F57D90">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MAJ-1444 autokláv. A/W ventil</w:t>
            </w:r>
          </w:p>
        </w:tc>
        <w:tc>
          <w:tcPr>
            <w:tcW w:w="708" w:type="dxa"/>
          </w:tcPr>
          <w:p w14:paraId="31760547" w14:textId="77777777" w:rsidR="004F5BEE" w:rsidRDefault="004F5BEE" w:rsidP="00F57D90">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17B54F16"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11 886,00</w:t>
            </w:r>
          </w:p>
        </w:tc>
        <w:tc>
          <w:tcPr>
            <w:tcW w:w="1276" w:type="dxa"/>
          </w:tcPr>
          <w:p w14:paraId="21A7ADC0"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10 697,40</w:t>
            </w:r>
          </w:p>
        </w:tc>
        <w:tc>
          <w:tcPr>
            <w:tcW w:w="1276" w:type="dxa"/>
          </w:tcPr>
          <w:p w14:paraId="38C15F6A" w14:textId="77777777" w:rsidR="004F5BEE" w:rsidRDefault="004F5BEE" w:rsidP="00F57D90">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6D7635FA"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2 246,45</w:t>
            </w:r>
          </w:p>
        </w:tc>
      </w:tr>
      <w:tr w:rsidR="004F5BEE" w:rsidRPr="003243BC" w14:paraId="7B76DE4A" w14:textId="77777777" w:rsidTr="00F57D9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97" w:type="dxa"/>
          </w:tcPr>
          <w:p w14:paraId="3C764A7F" w14:textId="77777777" w:rsidR="004F5BEE" w:rsidRPr="003674EE" w:rsidRDefault="004F5BEE" w:rsidP="00F57D90">
            <w:pPr>
              <w:pStyle w:val="Bezmezer"/>
              <w:rPr>
                <w:rFonts w:cstheme="minorHAnsi"/>
                <w:b w:val="0"/>
                <w:bCs w:val="0"/>
                <w:sz w:val="14"/>
                <w:szCs w:val="14"/>
              </w:rPr>
            </w:pPr>
            <w:r>
              <w:rPr>
                <w:rFonts w:cstheme="minorHAnsi"/>
                <w:b w:val="0"/>
                <w:bCs w:val="0"/>
                <w:sz w:val="14"/>
                <w:szCs w:val="14"/>
              </w:rPr>
              <w:t xml:space="preserve"> 5</w:t>
            </w:r>
          </w:p>
        </w:tc>
        <w:tc>
          <w:tcPr>
            <w:tcW w:w="1134" w:type="dxa"/>
          </w:tcPr>
          <w:p w14:paraId="2114B6F1" w14:textId="77777777" w:rsidR="004F5BEE" w:rsidRDefault="004F5BEE" w:rsidP="00F57D90">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N5363430</w:t>
            </w:r>
          </w:p>
        </w:tc>
        <w:tc>
          <w:tcPr>
            <w:tcW w:w="2859" w:type="dxa"/>
          </w:tcPr>
          <w:p w14:paraId="32BAF5FF" w14:textId="77777777" w:rsidR="004F5BEE" w:rsidRDefault="004F5BEE" w:rsidP="00F57D90">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MAJ-1443 autokláv. sací ventil</w:t>
            </w:r>
          </w:p>
        </w:tc>
        <w:tc>
          <w:tcPr>
            <w:tcW w:w="708" w:type="dxa"/>
          </w:tcPr>
          <w:p w14:paraId="497C0530" w14:textId="77777777" w:rsidR="004F5BEE" w:rsidRDefault="004F5BEE" w:rsidP="00F57D90">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35DFDC34"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9 736,00</w:t>
            </w:r>
          </w:p>
        </w:tc>
        <w:tc>
          <w:tcPr>
            <w:tcW w:w="1276" w:type="dxa"/>
          </w:tcPr>
          <w:p w14:paraId="680F8198"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8 762,40</w:t>
            </w:r>
          </w:p>
        </w:tc>
        <w:tc>
          <w:tcPr>
            <w:tcW w:w="1276" w:type="dxa"/>
          </w:tcPr>
          <w:p w14:paraId="35EB81BB" w14:textId="77777777" w:rsidR="004F5BEE" w:rsidRDefault="004F5BEE" w:rsidP="00F57D90">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26DCB0C9" w14:textId="77777777" w:rsidR="004F5BEE" w:rsidRDefault="004F5BEE" w:rsidP="00F57D90">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1 840,10</w:t>
            </w:r>
          </w:p>
        </w:tc>
      </w:tr>
      <w:tr w:rsidR="004F5BEE" w:rsidRPr="003243BC" w14:paraId="3EE4B5FD" w14:textId="77777777" w:rsidTr="00F57D90">
        <w:trPr>
          <w:trHeight w:val="121"/>
        </w:trPr>
        <w:tc>
          <w:tcPr>
            <w:cnfStyle w:val="001000000000" w:firstRow="0" w:lastRow="0" w:firstColumn="1" w:lastColumn="0" w:oddVBand="0" w:evenVBand="0" w:oddHBand="0" w:evenHBand="0" w:firstRowFirstColumn="0" w:firstRowLastColumn="0" w:lastRowFirstColumn="0" w:lastRowLastColumn="0"/>
            <w:tcW w:w="397" w:type="dxa"/>
          </w:tcPr>
          <w:p w14:paraId="1A3AC3D5" w14:textId="77777777" w:rsidR="004F5BEE" w:rsidRPr="003674EE" w:rsidRDefault="004F5BEE" w:rsidP="00F57D90">
            <w:pPr>
              <w:pStyle w:val="Bezmezer"/>
              <w:rPr>
                <w:rFonts w:cstheme="minorHAnsi"/>
                <w:b w:val="0"/>
                <w:bCs w:val="0"/>
                <w:sz w:val="14"/>
                <w:szCs w:val="14"/>
              </w:rPr>
            </w:pPr>
            <w:r>
              <w:rPr>
                <w:rFonts w:cstheme="minorHAnsi"/>
                <w:b w:val="0"/>
                <w:bCs w:val="0"/>
                <w:sz w:val="14"/>
                <w:szCs w:val="14"/>
              </w:rPr>
              <w:t xml:space="preserve"> 6</w:t>
            </w:r>
          </w:p>
        </w:tc>
        <w:tc>
          <w:tcPr>
            <w:tcW w:w="1134" w:type="dxa"/>
          </w:tcPr>
          <w:p w14:paraId="5B777B19" w14:textId="77777777" w:rsidR="004F5BEE" w:rsidRDefault="004F5BEE" w:rsidP="00F57D90">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N5369530</w:t>
            </w:r>
          </w:p>
        </w:tc>
        <w:tc>
          <w:tcPr>
            <w:tcW w:w="2859" w:type="dxa"/>
          </w:tcPr>
          <w:p w14:paraId="11BA5B2E" w14:textId="77777777" w:rsidR="004F5BEE" w:rsidRPr="004016A6" w:rsidRDefault="004F5BEE" w:rsidP="00F57D90">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lang w:val="da-DK"/>
              </w:rPr>
            </w:pPr>
            <w:r w:rsidRPr="004016A6">
              <w:rPr>
                <w:rFonts w:cstheme="minorHAnsi"/>
                <w:sz w:val="18"/>
                <w:szCs w:val="18"/>
                <w:lang w:val="da-DK"/>
              </w:rPr>
              <w:t>MAJ-249 (E) BALLOON FOR GF-UM30P (20pcs)</w:t>
            </w:r>
          </w:p>
        </w:tc>
        <w:tc>
          <w:tcPr>
            <w:tcW w:w="708" w:type="dxa"/>
          </w:tcPr>
          <w:p w14:paraId="3548B92C" w14:textId="77777777" w:rsidR="004F5BEE" w:rsidRDefault="004F5BEE" w:rsidP="00F57D90">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41F48F12"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13 864,00</w:t>
            </w:r>
          </w:p>
        </w:tc>
        <w:tc>
          <w:tcPr>
            <w:tcW w:w="1276" w:type="dxa"/>
          </w:tcPr>
          <w:p w14:paraId="5E218752"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12 477,60</w:t>
            </w:r>
          </w:p>
        </w:tc>
        <w:tc>
          <w:tcPr>
            <w:tcW w:w="1276" w:type="dxa"/>
          </w:tcPr>
          <w:p w14:paraId="47513034" w14:textId="77777777" w:rsidR="004F5BEE" w:rsidRDefault="004F5BEE" w:rsidP="00F57D90">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10B30573" w14:textId="77777777" w:rsidR="004F5BEE" w:rsidRDefault="004F5BEE" w:rsidP="00F57D90">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2 620,30</w:t>
            </w:r>
          </w:p>
        </w:tc>
      </w:tr>
    </w:tbl>
    <w:p w14:paraId="67268100" w14:textId="77777777" w:rsidR="004F5BEE" w:rsidRPr="00A62329" w:rsidRDefault="004F5BEE" w:rsidP="004F5BEE">
      <w:pPr>
        <w:keepNext/>
        <w:spacing w:before="100" w:beforeAutospacing="1" w:after="100" w:afterAutospacing="1" w:line="240" w:lineRule="auto"/>
        <w:rPr>
          <w:rFonts w:cstheme="minorHAnsi"/>
          <w:b/>
          <w:sz w:val="18"/>
          <w:szCs w:val="18"/>
        </w:rPr>
      </w:pPr>
    </w:p>
    <w:tbl>
      <w:tblPr>
        <w:tblStyle w:val="Mkatabulky"/>
        <w:tblW w:w="0" w:type="auto"/>
        <w:tblInd w:w="4390"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ayout w:type="fixed"/>
        <w:tblLook w:val="04A0" w:firstRow="1" w:lastRow="0" w:firstColumn="1" w:lastColumn="0" w:noHBand="0" w:noVBand="1"/>
      </w:tblPr>
      <w:tblGrid>
        <w:gridCol w:w="2693"/>
        <w:gridCol w:w="283"/>
        <w:gridCol w:w="2385"/>
      </w:tblGrid>
      <w:tr w:rsidR="004F5BEE" w14:paraId="02C5DF01" w14:textId="77777777" w:rsidTr="00F57D90">
        <w:trPr>
          <w:trHeight w:val="283"/>
        </w:trPr>
        <w:tc>
          <w:tcPr>
            <w:tcW w:w="2693" w:type="dxa"/>
            <w:vAlign w:val="center"/>
          </w:tcPr>
          <w:p w14:paraId="4B2FD1E3" w14:textId="77777777" w:rsidR="004F5BEE" w:rsidRPr="005A4254" w:rsidRDefault="004F5BEE" w:rsidP="00F57D90">
            <w:pPr>
              <w:spacing w:line="240" w:lineRule="auto"/>
              <w:jc w:val="right"/>
              <w:rPr>
                <w:rFonts w:cstheme="minorHAnsi"/>
                <w:bCs/>
                <w:sz w:val="18"/>
                <w:szCs w:val="18"/>
              </w:rPr>
            </w:pPr>
            <w:r w:rsidRPr="005A4254">
              <w:rPr>
                <w:rFonts w:cstheme="minorHAnsi"/>
                <w:bCs/>
                <w:sz w:val="18"/>
                <w:szCs w:val="18"/>
              </w:rPr>
              <w:t>Celková cena bez DPH:</w:t>
            </w:r>
          </w:p>
        </w:tc>
        <w:tc>
          <w:tcPr>
            <w:tcW w:w="283" w:type="dxa"/>
            <w:vAlign w:val="center"/>
          </w:tcPr>
          <w:p w14:paraId="0493D918" w14:textId="77777777" w:rsidR="004F5BEE" w:rsidRPr="005A4254" w:rsidRDefault="004F5BEE" w:rsidP="00F57D90">
            <w:pPr>
              <w:spacing w:line="240" w:lineRule="auto"/>
              <w:jc w:val="right"/>
              <w:rPr>
                <w:rFonts w:cstheme="minorHAnsi"/>
                <w:bCs/>
                <w:iCs/>
                <w:color w:val="000000" w:themeColor="text1"/>
                <w:sz w:val="18"/>
                <w:szCs w:val="18"/>
              </w:rPr>
            </w:pPr>
          </w:p>
        </w:tc>
        <w:tc>
          <w:tcPr>
            <w:tcW w:w="2385" w:type="dxa"/>
            <w:vAlign w:val="center"/>
          </w:tcPr>
          <w:p w14:paraId="36FC2936" w14:textId="77777777" w:rsidR="004F5BEE" w:rsidRDefault="004F5BEE" w:rsidP="00F57D90">
            <w:pPr>
              <w:spacing w:line="240" w:lineRule="auto"/>
              <w:jc w:val="right"/>
              <w:rPr>
                <w:rFonts w:cstheme="minorHAnsi"/>
                <w:bCs/>
                <w:sz w:val="18"/>
                <w:szCs w:val="18"/>
              </w:rPr>
            </w:pPr>
            <w:r>
              <w:rPr>
                <w:rFonts w:cstheme="minorHAnsi"/>
                <w:bCs/>
                <w:sz w:val="18"/>
                <w:szCs w:val="18"/>
              </w:rPr>
              <w:t>2 940 878,00</w:t>
            </w:r>
          </w:p>
        </w:tc>
      </w:tr>
      <w:tr w:rsidR="004F5BEE" w14:paraId="7553D7A7" w14:textId="77777777" w:rsidTr="00F57D90">
        <w:trPr>
          <w:trHeight w:val="283"/>
        </w:trPr>
        <w:tc>
          <w:tcPr>
            <w:tcW w:w="2693" w:type="dxa"/>
            <w:vAlign w:val="center"/>
          </w:tcPr>
          <w:p w14:paraId="7C08C96E" w14:textId="77777777" w:rsidR="004F5BEE" w:rsidRDefault="004F5BEE" w:rsidP="00F57D90">
            <w:pPr>
              <w:spacing w:line="240" w:lineRule="auto"/>
              <w:jc w:val="right"/>
              <w:rPr>
                <w:rFonts w:cstheme="minorHAnsi"/>
                <w:iCs/>
                <w:color w:val="000000" w:themeColor="text1"/>
                <w:sz w:val="18"/>
                <w:szCs w:val="18"/>
              </w:rPr>
            </w:pPr>
            <w:r w:rsidRPr="00A62329">
              <w:rPr>
                <w:rFonts w:cstheme="minorHAnsi"/>
                <w:b/>
                <w:sz w:val="18"/>
                <w:szCs w:val="18"/>
              </w:rPr>
              <w:t>Celková slev</w:t>
            </w:r>
            <w:r>
              <w:rPr>
                <w:rFonts w:cstheme="minorHAnsi"/>
                <w:b/>
                <w:sz w:val="18"/>
                <w:szCs w:val="18"/>
              </w:rPr>
              <w:t>a bez DPH</w:t>
            </w:r>
            <w:r w:rsidRPr="00A62329">
              <w:rPr>
                <w:rFonts w:cstheme="minorHAnsi"/>
                <w:b/>
                <w:sz w:val="18"/>
                <w:szCs w:val="18"/>
              </w:rPr>
              <w:t>:</w:t>
            </w:r>
          </w:p>
        </w:tc>
        <w:tc>
          <w:tcPr>
            <w:tcW w:w="283" w:type="dxa"/>
            <w:vAlign w:val="center"/>
          </w:tcPr>
          <w:p w14:paraId="78247746" w14:textId="77777777" w:rsidR="004F5BEE" w:rsidRDefault="004F5BEE" w:rsidP="00F57D90">
            <w:pPr>
              <w:spacing w:line="240" w:lineRule="auto"/>
              <w:jc w:val="right"/>
              <w:rPr>
                <w:rFonts w:cstheme="minorHAnsi"/>
                <w:iCs/>
                <w:color w:val="000000" w:themeColor="text1"/>
                <w:sz w:val="18"/>
                <w:szCs w:val="18"/>
              </w:rPr>
            </w:pPr>
          </w:p>
        </w:tc>
        <w:tc>
          <w:tcPr>
            <w:tcW w:w="2385" w:type="dxa"/>
            <w:vAlign w:val="center"/>
          </w:tcPr>
          <w:p w14:paraId="2A00A201" w14:textId="77777777" w:rsidR="004F5BEE" w:rsidRDefault="004F5BEE" w:rsidP="00F57D90">
            <w:pPr>
              <w:spacing w:line="240" w:lineRule="auto"/>
              <w:jc w:val="right"/>
              <w:rPr>
                <w:rFonts w:cstheme="minorHAnsi"/>
                <w:iCs/>
                <w:color w:val="000000" w:themeColor="text1"/>
                <w:sz w:val="18"/>
                <w:szCs w:val="18"/>
              </w:rPr>
            </w:pPr>
            <w:r>
              <w:rPr>
                <w:rFonts w:cstheme="minorHAnsi"/>
                <w:b/>
                <w:sz w:val="18"/>
                <w:szCs w:val="18"/>
              </w:rPr>
              <w:t>294 087,80</w:t>
            </w:r>
          </w:p>
        </w:tc>
      </w:tr>
      <w:tr w:rsidR="004F5BEE" w14:paraId="05B7C49C" w14:textId="77777777" w:rsidTr="00F57D90">
        <w:trPr>
          <w:trHeight w:val="283"/>
        </w:trPr>
        <w:tc>
          <w:tcPr>
            <w:tcW w:w="2693" w:type="dxa"/>
            <w:vAlign w:val="center"/>
          </w:tcPr>
          <w:p w14:paraId="2C8512F6" w14:textId="77777777" w:rsidR="004F5BEE" w:rsidRDefault="004F5BEE" w:rsidP="00F57D90">
            <w:pPr>
              <w:spacing w:line="240" w:lineRule="auto"/>
              <w:jc w:val="right"/>
              <w:rPr>
                <w:rFonts w:cstheme="minorHAnsi"/>
                <w:iCs/>
                <w:color w:val="000000" w:themeColor="text1"/>
                <w:sz w:val="18"/>
                <w:szCs w:val="18"/>
              </w:rPr>
            </w:pPr>
            <w:r w:rsidRPr="00A62329">
              <w:rPr>
                <w:rFonts w:cstheme="minorHAnsi"/>
                <w:b/>
                <w:sz w:val="18"/>
                <w:szCs w:val="18"/>
              </w:rPr>
              <w:t xml:space="preserve">Celková cena </w:t>
            </w:r>
            <w:r>
              <w:rPr>
                <w:rFonts w:cstheme="minorHAnsi"/>
                <w:b/>
                <w:sz w:val="18"/>
                <w:szCs w:val="18"/>
              </w:rPr>
              <w:t xml:space="preserve">po slevě </w:t>
            </w:r>
            <w:r w:rsidRPr="00675E6F">
              <w:rPr>
                <w:rFonts w:cstheme="minorHAnsi"/>
                <w:b/>
                <w:sz w:val="18"/>
                <w:szCs w:val="18"/>
              </w:rPr>
              <w:t>bez DPH</w:t>
            </w:r>
            <w:r w:rsidRPr="004016A6">
              <w:rPr>
                <w:rFonts w:cstheme="minorHAnsi"/>
                <w:b/>
                <w:sz w:val="18"/>
                <w:szCs w:val="18"/>
                <w:lang w:val="pl-PL"/>
              </w:rPr>
              <w:t>:</w:t>
            </w:r>
          </w:p>
        </w:tc>
        <w:tc>
          <w:tcPr>
            <w:tcW w:w="283" w:type="dxa"/>
            <w:vAlign w:val="center"/>
          </w:tcPr>
          <w:p w14:paraId="0835336C" w14:textId="77777777" w:rsidR="004F5BEE" w:rsidRDefault="004F5BEE" w:rsidP="00F57D90">
            <w:pPr>
              <w:spacing w:line="240" w:lineRule="auto"/>
              <w:jc w:val="right"/>
              <w:rPr>
                <w:rFonts w:cstheme="minorHAnsi"/>
                <w:iCs/>
                <w:color w:val="000000" w:themeColor="text1"/>
                <w:sz w:val="18"/>
                <w:szCs w:val="18"/>
              </w:rPr>
            </w:pPr>
          </w:p>
        </w:tc>
        <w:tc>
          <w:tcPr>
            <w:tcW w:w="2385" w:type="dxa"/>
            <w:vAlign w:val="center"/>
          </w:tcPr>
          <w:p w14:paraId="7C0277B8" w14:textId="77777777" w:rsidR="004F5BEE" w:rsidRDefault="004F5BEE" w:rsidP="00F57D90">
            <w:pPr>
              <w:spacing w:line="240" w:lineRule="auto"/>
              <w:jc w:val="right"/>
              <w:rPr>
                <w:rFonts w:cstheme="minorHAnsi"/>
                <w:iCs/>
                <w:color w:val="000000" w:themeColor="text1"/>
                <w:sz w:val="18"/>
                <w:szCs w:val="18"/>
              </w:rPr>
            </w:pPr>
            <w:r>
              <w:rPr>
                <w:rFonts w:cstheme="minorHAnsi"/>
                <w:b/>
                <w:sz w:val="18"/>
                <w:szCs w:val="18"/>
              </w:rPr>
              <w:t>2 646 790,20</w:t>
            </w:r>
          </w:p>
        </w:tc>
      </w:tr>
      <w:tr w:rsidR="004F5BEE" w14:paraId="66ECAA34" w14:textId="77777777" w:rsidTr="00F57D90">
        <w:trPr>
          <w:trHeight w:val="283"/>
        </w:trPr>
        <w:tc>
          <w:tcPr>
            <w:tcW w:w="2693" w:type="dxa"/>
            <w:vAlign w:val="center"/>
          </w:tcPr>
          <w:p w14:paraId="75FE4466" w14:textId="77777777" w:rsidR="004F5BEE" w:rsidRDefault="004F5BEE" w:rsidP="00F57D90">
            <w:pPr>
              <w:spacing w:line="240" w:lineRule="auto"/>
              <w:jc w:val="right"/>
              <w:rPr>
                <w:rFonts w:cstheme="minorHAnsi"/>
                <w:iCs/>
                <w:color w:val="000000" w:themeColor="text1"/>
                <w:sz w:val="18"/>
                <w:szCs w:val="18"/>
              </w:rPr>
            </w:pPr>
            <w:r>
              <w:rPr>
                <w:rFonts w:cstheme="minorHAnsi"/>
                <w:bCs/>
                <w:sz w:val="18"/>
                <w:szCs w:val="18"/>
              </w:rPr>
              <w:t>DPH 21%:</w:t>
            </w:r>
          </w:p>
        </w:tc>
        <w:tc>
          <w:tcPr>
            <w:tcW w:w="283" w:type="dxa"/>
            <w:vAlign w:val="center"/>
          </w:tcPr>
          <w:p w14:paraId="3692F1F2" w14:textId="77777777" w:rsidR="004F5BEE" w:rsidRDefault="004F5BEE" w:rsidP="00F57D90">
            <w:pPr>
              <w:spacing w:line="240" w:lineRule="auto"/>
              <w:jc w:val="right"/>
              <w:rPr>
                <w:rFonts w:cstheme="minorHAnsi"/>
                <w:iCs/>
                <w:color w:val="000000" w:themeColor="text1"/>
                <w:sz w:val="18"/>
                <w:szCs w:val="18"/>
              </w:rPr>
            </w:pPr>
          </w:p>
        </w:tc>
        <w:tc>
          <w:tcPr>
            <w:tcW w:w="2385" w:type="dxa"/>
            <w:vAlign w:val="center"/>
          </w:tcPr>
          <w:p w14:paraId="3E58922D" w14:textId="77777777" w:rsidR="004F5BEE" w:rsidRDefault="004F5BEE" w:rsidP="00F57D90">
            <w:pPr>
              <w:spacing w:line="240" w:lineRule="auto"/>
              <w:jc w:val="right"/>
              <w:rPr>
                <w:rFonts w:cstheme="minorHAnsi"/>
                <w:iCs/>
                <w:color w:val="000000" w:themeColor="text1"/>
                <w:sz w:val="18"/>
                <w:szCs w:val="18"/>
              </w:rPr>
            </w:pPr>
            <w:r>
              <w:rPr>
                <w:rFonts w:cstheme="minorHAnsi"/>
                <w:bCs/>
                <w:sz w:val="18"/>
                <w:szCs w:val="18"/>
              </w:rPr>
              <w:t>555 825,94</w:t>
            </w:r>
          </w:p>
        </w:tc>
      </w:tr>
      <w:tr w:rsidR="004F5BEE" w14:paraId="00000C5F" w14:textId="77777777" w:rsidTr="00F57D90">
        <w:trPr>
          <w:trHeight w:val="283"/>
        </w:trPr>
        <w:tc>
          <w:tcPr>
            <w:tcW w:w="2693" w:type="dxa"/>
            <w:shd w:val="clear" w:color="auto" w:fill="D9D9D9" w:themeFill="background1" w:themeFillShade="D9"/>
            <w:vAlign w:val="center"/>
          </w:tcPr>
          <w:p w14:paraId="204A6F46" w14:textId="77777777" w:rsidR="004F5BEE" w:rsidRPr="00E97274" w:rsidRDefault="004F5BEE" w:rsidP="00F57D90">
            <w:pPr>
              <w:spacing w:line="240" w:lineRule="auto"/>
              <w:jc w:val="right"/>
              <w:rPr>
                <w:rFonts w:cstheme="minorHAnsi"/>
                <w:b/>
                <w:iCs/>
                <w:color w:val="000000" w:themeColor="text1"/>
                <w:sz w:val="18"/>
                <w:szCs w:val="18"/>
              </w:rPr>
            </w:pPr>
            <w:r w:rsidRPr="00E97274">
              <w:rPr>
                <w:rFonts w:cstheme="minorHAnsi"/>
                <w:b/>
                <w:sz w:val="18"/>
                <w:szCs w:val="18"/>
              </w:rPr>
              <w:t>Celková cena včetně DPH:</w:t>
            </w:r>
          </w:p>
        </w:tc>
        <w:tc>
          <w:tcPr>
            <w:tcW w:w="283" w:type="dxa"/>
            <w:shd w:val="clear" w:color="auto" w:fill="D9D9D9" w:themeFill="background1" w:themeFillShade="D9"/>
            <w:vAlign w:val="center"/>
          </w:tcPr>
          <w:p w14:paraId="629B96DC" w14:textId="77777777" w:rsidR="004F5BEE" w:rsidRDefault="004F5BEE" w:rsidP="00F57D90">
            <w:pPr>
              <w:spacing w:line="240" w:lineRule="auto"/>
              <w:jc w:val="right"/>
              <w:rPr>
                <w:rFonts w:cstheme="minorHAnsi"/>
                <w:iCs/>
                <w:color w:val="000000" w:themeColor="text1"/>
                <w:sz w:val="18"/>
                <w:szCs w:val="18"/>
              </w:rPr>
            </w:pPr>
          </w:p>
        </w:tc>
        <w:tc>
          <w:tcPr>
            <w:tcW w:w="2385" w:type="dxa"/>
            <w:shd w:val="clear" w:color="auto" w:fill="D9D9D9" w:themeFill="background1" w:themeFillShade="D9"/>
            <w:vAlign w:val="center"/>
          </w:tcPr>
          <w:p w14:paraId="05F76C3D" w14:textId="77777777" w:rsidR="004F5BEE" w:rsidRDefault="004F5BEE" w:rsidP="00F57D90">
            <w:pPr>
              <w:keepNext/>
              <w:spacing w:line="240" w:lineRule="auto"/>
              <w:ind w:left="-284"/>
              <w:jc w:val="right"/>
              <w:rPr>
                <w:rFonts w:cstheme="minorHAnsi"/>
                <w:iCs/>
                <w:color w:val="000000" w:themeColor="text1"/>
                <w:sz w:val="18"/>
                <w:szCs w:val="18"/>
              </w:rPr>
            </w:pPr>
            <w:r>
              <w:rPr>
                <w:rFonts w:cstheme="minorHAnsi"/>
                <w:b/>
                <w:sz w:val="18"/>
                <w:szCs w:val="18"/>
              </w:rPr>
              <w:t>3 202 616,14</w:t>
            </w:r>
          </w:p>
        </w:tc>
      </w:tr>
    </w:tbl>
    <w:p w14:paraId="1CE7526F" w14:textId="77777777" w:rsidR="004F5BEE" w:rsidRPr="00A62329" w:rsidRDefault="004F5BEE" w:rsidP="004F5BEE">
      <w:pPr>
        <w:keepNext/>
        <w:spacing w:before="100" w:beforeAutospacing="1" w:after="100" w:afterAutospacing="1" w:line="240" w:lineRule="auto"/>
        <w:ind w:left="-284"/>
        <w:rPr>
          <w:rFonts w:cstheme="minorHAnsi"/>
          <w:b/>
          <w:sz w:val="18"/>
          <w:szCs w:val="18"/>
        </w:rPr>
      </w:pPr>
    </w:p>
    <w:p w14:paraId="71522F75" w14:textId="77777777" w:rsidR="004F5BEE" w:rsidRPr="00A62329" w:rsidRDefault="004F5BEE" w:rsidP="004F5BEE">
      <w:pPr>
        <w:spacing w:before="100" w:beforeAutospacing="1" w:after="100" w:afterAutospacing="1" w:line="240" w:lineRule="auto"/>
        <w:ind w:left="-284"/>
        <w:rPr>
          <w:rFonts w:cstheme="minorHAnsi"/>
          <w:b/>
          <w:color w:val="000000" w:themeColor="text1"/>
          <w:sz w:val="18"/>
          <w:szCs w:val="18"/>
        </w:rPr>
      </w:pPr>
      <w:r w:rsidRPr="00A62329">
        <w:rPr>
          <w:rFonts w:cstheme="minorHAnsi"/>
          <w:b/>
          <w:color w:val="000000" w:themeColor="text1"/>
          <w:sz w:val="18"/>
          <w:szCs w:val="18"/>
        </w:rPr>
        <w:t>Další informace, dodací a záruční podmínky</w:t>
      </w:r>
    </w:p>
    <w:p w14:paraId="78F39FE6" w14:textId="3788DB7A" w:rsidR="004F5BEE" w:rsidRDefault="004F5BEE" w:rsidP="004F5BEE">
      <w:pPr>
        <w:pStyle w:val="Odstavecseseznamem"/>
        <w:numPr>
          <w:ilvl w:val="0"/>
          <w:numId w:val="15"/>
        </w:numPr>
        <w:spacing w:before="100" w:beforeAutospacing="1" w:after="100" w:afterAutospacing="1" w:line="240" w:lineRule="auto"/>
        <w:jc w:val="left"/>
        <w:rPr>
          <w:rFonts w:cstheme="minorHAnsi"/>
          <w:bCs/>
          <w:color w:val="000000" w:themeColor="text1"/>
          <w:sz w:val="18"/>
          <w:szCs w:val="18"/>
        </w:rPr>
      </w:pPr>
      <w:r w:rsidRPr="00937474">
        <w:rPr>
          <w:rFonts w:cstheme="minorHAnsi"/>
          <w:bCs/>
          <w:color w:val="000000" w:themeColor="text1"/>
          <w:sz w:val="18"/>
          <w:szCs w:val="18"/>
        </w:rPr>
        <w:t xml:space="preserve">dodací lhůta: 6 týdnů od </w:t>
      </w:r>
      <w:r w:rsidR="000530F0">
        <w:rPr>
          <w:rFonts w:cstheme="minorHAnsi"/>
          <w:bCs/>
          <w:color w:val="000000" w:themeColor="text1"/>
          <w:sz w:val="18"/>
          <w:szCs w:val="18"/>
        </w:rPr>
        <w:t>účinnosti</w:t>
      </w:r>
      <w:r w:rsidRPr="00937474">
        <w:rPr>
          <w:rFonts w:cstheme="minorHAnsi"/>
          <w:bCs/>
          <w:color w:val="000000" w:themeColor="text1"/>
          <w:sz w:val="18"/>
          <w:szCs w:val="18"/>
        </w:rPr>
        <w:t xml:space="preserve"> kupní smlouvy, záruka: 24 měsíců.  </w:t>
      </w:r>
    </w:p>
    <w:p w14:paraId="354A3942" w14:textId="77777777" w:rsidR="004F5BEE" w:rsidRDefault="004F5BEE" w:rsidP="004F5BEE">
      <w:pPr>
        <w:pStyle w:val="Odstavecseseznamem"/>
        <w:numPr>
          <w:ilvl w:val="0"/>
          <w:numId w:val="15"/>
        </w:numPr>
        <w:spacing w:before="100" w:beforeAutospacing="1" w:after="100" w:afterAutospacing="1" w:line="240" w:lineRule="auto"/>
        <w:jc w:val="left"/>
        <w:rPr>
          <w:rFonts w:cstheme="minorHAnsi"/>
          <w:bCs/>
          <w:color w:val="000000" w:themeColor="text1"/>
          <w:sz w:val="18"/>
          <w:szCs w:val="18"/>
        </w:rPr>
      </w:pPr>
      <w:r w:rsidRPr="00937474">
        <w:rPr>
          <w:rFonts w:cstheme="minorHAnsi"/>
          <w:bCs/>
          <w:color w:val="000000" w:themeColor="text1"/>
          <w:sz w:val="18"/>
          <w:szCs w:val="18"/>
        </w:rPr>
        <w:t>Doprava, instalace a zaškolení obsluhy jsou v ceně dodávky, servis zajišťuje Olympus Czech Group, s.r.o., člen koncernu.</w:t>
      </w:r>
    </w:p>
    <w:p w14:paraId="652F20A5" w14:textId="67F959C9" w:rsidR="00094B12" w:rsidRDefault="00094B12" w:rsidP="00094B12">
      <w:pPr>
        <w:ind w:left="284" w:hanging="5"/>
      </w:pP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09218B0C" w14:textId="77240B5E" w:rsidR="00C268BD" w:rsidRPr="00994A9C" w:rsidRDefault="00994A9C" w:rsidP="00994A9C">
      <w:pPr>
        <w:pStyle w:val="Default"/>
        <w:rPr>
          <w:rFonts w:asciiTheme="minorHAnsi" w:hAnsiTheme="minorHAnsi" w:cstheme="minorHAnsi"/>
          <w:b/>
          <w:bCs/>
          <w:u w:val="single"/>
          <w:lang w:val="cs-CZ"/>
        </w:rPr>
      </w:pPr>
      <w:r w:rsidRPr="00994A9C">
        <w:rPr>
          <w:rFonts w:asciiTheme="minorHAnsi" w:hAnsiTheme="minorHAnsi" w:cstheme="minorHAnsi"/>
          <w:b/>
          <w:bCs/>
          <w:u w:val="single"/>
          <w:lang w:val="cs-CZ"/>
        </w:rPr>
        <w:t xml:space="preserve">Nabízený </w:t>
      </w:r>
      <w:r w:rsidRPr="00994A9C">
        <w:rPr>
          <w:rFonts w:asciiTheme="minorHAnsi" w:eastAsia="Calibri" w:hAnsiTheme="minorHAnsi" w:cstheme="minorHAnsi"/>
          <w:b/>
          <w:bCs/>
          <w:u w:val="single"/>
          <w:lang w:val="cs-CZ"/>
        </w:rPr>
        <w:t xml:space="preserve"> lineární endoskop neumožňuje připojení do datové sítě a proto není k nabídce přiloženo komunikační schema.</w:t>
      </w:r>
    </w:p>
    <w:p w14:paraId="01232893" w14:textId="77777777" w:rsidR="00A05D45" w:rsidRDefault="00A05D45"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3D0ED9FE" w:rsidR="00A05D45" w:rsidRDefault="00A05D45" w:rsidP="00A05D45">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w:t>
      </w:r>
      <w:r w:rsidR="00842E64">
        <w:t>nejpozději 2 týdny před koncem lhůty sjednané pro dodání Zboží</w:t>
      </w:r>
      <w:r>
        <w:t>.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77777777" w:rsidR="00A05D45" w:rsidRPr="002C402F" w:rsidRDefault="00A05D45" w:rsidP="00A05D45">
      <w:pPr>
        <w:spacing w:line="240" w:lineRule="auto"/>
      </w:pPr>
      <w:r w:rsidRPr="002C402F">
        <w:t xml:space="preserve">Pokud Zboží nebude využívat antivirové ochrany Kupujícího (Microsoft Defender),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29D8AB7B" w14:textId="77777777" w:rsidR="00F17CE6" w:rsidRDefault="00F17CE6" w:rsidP="00F17CE6">
      <w:pPr>
        <w:spacing w:line="240" w:lineRule="auto"/>
        <w:rPr>
          <w:b/>
        </w:rPr>
      </w:pPr>
      <w:r>
        <w:rPr>
          <w:b/>
        </w:rPr>
        <w:t>Jestliže je součástí předmětu smlouvy:</w:t>
      </w:r>
    </w:p>
    <w:p w14:paraId="78375FF4" w14:textId="77777777" w:rsidR="00F17CE6" w:rsidRDefault="00F17CE6" w:rsidP="00F17CE6">
      <w:pPr>
        <w:pStyle w:val="Odstavecseseznamem"/>
        <w:numPr>
          <w:ilvl w:val="0"/>
          <w:numId w:val="5"/>
        </w:numPr>
        <w:spacing w:after="0" w:line="240" w:lineRule="auto"/>
        <w:rPr>
          <w:b/>
          <w:bCs/>
        </w:rPr>
      </w:pPr>
      <w:r w:rsidRPr="13D23AA9">
        <w:rPr>
          <w:rFonts w:ascii="Arial" w:hAnsi="Arial"/>
          <w:b/>
          <w:bCs/>
        </w:rPr>
        <w:lastRenderedPageBreak/>
        <w:t>dodávka počítačů, fyzických serverů, virtuálních appliance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7F68FE69" w14:textId="77777777" w:rsidR="00F17CE6" w:rsidRDefault="00F17CE6" w:rsidP="00F17CE6">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79F4FC33" w14:textId="77777777" w:rsidR="00F17CE6" w:rsidRPr="005C28FE" w:rsidRDefault="00F17CE6" w:rsidP="00F17CE6">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67C2CAF"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24CB0EAA"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1B5421">
        <w:rPr>
          <w:rFonts w:ascii="Arial" w:hAnsi="Arial"/>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CFE687A"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6FAC631"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3D9236A5"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D47208C" w14:textId="77777777" w:rsidR="00F17CE6" w:rsidRDefault="00F17CE6" w:rsidP="00F17CE6">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1CB87513" w14:textId="77777777" w:rsidR="00F17CE6" w:rsidRPr="005F3510" w:rsidRDefault="00F17CE6" w:rsidP="00F17CE6">
      <w:pPr>
        <w:pStyle w:val="Odstavecseseznamem"/>
        <w:numPr>
          <w:ilvl w:val="0"/>
          <w:numId w:val="5"/>
        </w:numPr>
        <w:spacing w:after="0" w:line="240" w:lineRule="auto"/>
        <w:ind w:left="1068"/>
        <w:rPr>
          <w:rFonts w:ascii="Arial" w:hAnsi="Arial"/>
        </w:rPr>
      </w:pPr>
      <w:r>
        <w:rPr>
          <w:rFonts w:ascii="Arial" w:hAnsi="Arial"/>
        </w:rPr>
        <w:t>Na počítači musí být možné instalovat a používat antivirový systém zadavatele (Microsoft Defender).</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B70280D"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48BD65DF" w14:textId="77777777" w:rsidR="00F17CE6" w:rsidRPr="00331521" w:rsidRDefault="00F17CE6" w:rsidP="00F17CE6">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1B5421">
        <w:rPr>
          <w:rFonts w:ascii="Arial" w:hAnsi="Arial"/>
        </w:rPr>
        <w:t>(LTS) a garantovanou podporou výrobce minimálně 2 roky</w:t>
      </w:r>
      <w:r w:rsidRPr="00331521">
        <w:rPr>
          <w:rFonts w:ascii="Arial" w:hAnsi="Arial"/>
        </w:rPr>
        <w:t>.</w:t>
      </w:r>
    </w:p>
    <w:p w14:paraId="24F9EC43"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2E98E6C"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5099508" w14:textId="77777777" w:rsidR="00F17CE6" w:rsidRDefault="00F17CE6" w:rsidP="00F17CE6">
      <w:pPr>
        <w:pStyle w:val="Odstavecseseznamem"/>
        <w:numPr>
          <w:ilvl w:val="0"/>
          <w:numId w:val="5"/>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BA73EE8" w14:textId="77777777" w:rsidR="00F17CE6" w:rsidRDefault="00F17CE6" w:rsidP="00F17CE6">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2A250C72" w14:textId="77777777" w:rsidR="00F17CE6" w:rsidRDefault="00F17CE6" w:rsidP="00F17CE6">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6A5B33CC"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47DF16C4"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54792821"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47056C67"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361C9345"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využívat soubor lmhosts;</w:t>
      </w:r>
    </w:p>
    <w:p w14:paraId="014A8E78"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2448414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připojovat se nebo odesílat data přes telefonní (FAX) linku;</w:t>
      </w:r>
    </w:p>
    <w:p w14:paraId="02FBFBD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7F80516"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lastRenderedPageBreak/>
        <w:t>instalovat ani používat:</w:t>
      </w:r>
    </w:p>
    <w:p w14:paraId="20E7E6C3"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7B8C9DCA"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Flash player;</w:t>
      </w:r>
    </w:p>
    <w:p w14:paraId="5C8E59DC"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Active X; ani</w:t>
      </w:r>
    </w:p>
    <w:p w14:paraId="5C1A3EBD" w14:textId="77777777" w:rsidR="00F17CE6" w:rsidRPr="00515C03" w:rsidRDefault="00F17CE6" w:rsidP="00F17CE6">
      <w:pPr>
        <w:pStyle w:val="Odstavecseseznamem"/>
        <w:numPr>
          <w:ilvl w:val="0"/>
          <w:numId w:val="7"/>
        </w:numPr>
        <w:spacing w:after="0" w:line="240" w:lineRule="auto"/>
        <w:ind w:left="1068"/>
        <w:rPr>
          <w:rFonts w:ascii="Arial" w:hAnsi="Arial"/>
        </w:rPr>
      </w:pPr>
      <w:r w:rsidRPr="00515C03">
        <w:rPr>
          <w:rFonts w:ascii="Arial" w:hAnsi="Arial"/>
        </w:rPr>
        <w:t>Microsoft Silverlight.</w:t>
      </w:r>
    </w:p>
    <w:p w14:paraId="75E5AF20" w14:textId="77777777" w:rsidR="00F17CE6" w:rsidRPr="003C1D9B" w:rsidRDefault="00F17CE6" w:rsidP="00F17CE6">
      <w:pPr>
        <w:spacing w:line="240" w:lineRule="auto"/>
        <w:jc w:val="left"/>
        <w:rPr>
          <w:color w:val="FF0000"/>
        </w:rPr>
      </w:pPr>
    </w:p>
    <w:p w14:paraId="077C4FFF" w14:textId="77777777" w:rsidR="00F17CE6" w:rsidRDefault="00F17CE6" w:rsidP="00F17CE6">
      <w:pPr>
        <w:spacing w:line="240" w:lineRule="auto"/>
        <w:rPr>
          <w:b/>
        </w:rPr>
      </w:pPr>
      <w:r>
        <w:rPr>
          <w:b/>
        </w:rPr>
        <w:t>Jestliže je součástí předmětu smlouvy:</w:t>
      </w:r>
    </w:p>
    <w:p w14:paraId="4715965E"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2367ED9"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1FAD177C" w14:textId="77777777" w:rsidR="00F17CE6" w:rsidRPr="003262F9" w:rsidRDefault="00F17CE6" w:rsidP="00F17CE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E6AC2EB" w14:textId="77777777" w:rsidR="00F17CE6" w:rsidRPr="005F3510" w:rsidRDefault="00F17CE6" w:rsidP="00F17CE6">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0C48729"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E822F46"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235C622E"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2A2F38B5"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709F41DB"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28AE610D" w14:textId="77777777" w:rsidR="00F17CE6" w:rsidRDefault="00F17CE6" w:rsidP="00F17CE6">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CD70BC8" w14:textId="3043A485" w:rsidR="00A05D45" w:rsidRDefault="00F17CE6" w:rsidP="00A05D45">
      <w:pPr>
        <w:pStyle w:val="Odstavecseseznamem"/>
        <w:numPr>
          <w:ilvl w:val="0"/>
          <w:numId w:val="5"/>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5FCAB1B5" w14:textId="77777777" w:rsidR="00A05D45" w:rsidRPr="00FC19B2" w:rsidRDefault="00A05D45" w:rsidP="00A05D45">
      <w:pPr>
        <w:spacing w:line="240" w:lineRule="auto"/>
      </w:pPr>
      <w:r w:rsidRPr="00FC19B2">
        <w:tab/>
      </w:r>
      <w:r w:rsidRPr="00FC19B2">
        <w:tab/>
      </w:r>
      <w:r w:rsidRPr="00FC19B2">
        <w:tab/>
      </w:r>
      <w:r w:rsidRPr="00FC19B2">
        <w:tab/>
      </w: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lastRenderedPageBreak/>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7E14C8E4" w:rsidR="00A05D45" w:rsidRDefault="00A05D45" w:rsidP="00A05D45">
      <w:pPr>
        <w:spacing w:line="240" w:lineRule="auto"/>
      </w:pPr>
    </w:p>
    <w:p w14:paraId="3CA5ADEE" w14:textId="77777777" w:rsidR="0096600E" w:rsidRPr="00340413" w:rsidRDefault="0096600E" w:rsidP="0096600E">
      <w:pPr>
        <w:spacing w:line="240" w:lineRule="auto"/>
        <w:jc w:val="center"/>
        <w:rPr>
          <w:b/>
          <w:u w:val="single"/>
        </w:rPr>
      </w:pPr>
      <w:r w:rsidRPr="00340413">
        <w:rPr>
          <w:b/>
          <w:u w:val="single"/>
        </w:rPr>
        <w:t>Požadavky zadavatele na komunikaci s PACS</w:t>
      </w:r>
    </w:p>
    <w:p w14:paraId="3B0E51B0" w14:textId="77777777" w:rsidR="0096600E" w:rsidRDefault="0096600E" w:rsidP="0096600E">
      <w:pPr>
        <w:spacing w:line="240" w:lineRule="auto"/>
      </w:pPr>
    </w:p>
    <w:p w14:paraId="2F6098B1" w14:textId="77777777" w:rsidR="0096600E" w:rsidRPr="00340413" w:rsidRDefault="0096600E" w:rsidP="0096600E">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7CE8A48" w14:textId="77777777" w:rsidR="0096600E" w:rsidRDefault="0096600E" w:rsidP="0096600E">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399BA6AD" w14:textId="77777777" w:rsidR="0096600E" w:rsidRPr="00BC3BA9" w:rsidRDefault="0096600E" w:rsidP="0096600E">
      <w:pPr>
        <w:pStyle w:val="Odstavecseseznamem"/>
        <w:numPr>
          <w:ilvl w:val="0"/>
          <w:numId w:val="14"/>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23560F5E" w14:textId="77777777" w:rsidR="0096600E" w:rsidRDefault="0096600E" w:rsidP="0096600E">
      <w:pPr>
        <w:pStyle w:val="Odstavecseseznamem"/>
        <w:rPr>
          <w:highlight w:val="yellow"/>
        </w:rPr>
      </w:pPr>
    </w:p>
    <w:p w14:paraId="37985ECB" w14:textId="77777777" w:rsidR="0096600E" w:rsidRPr="00BC3BA9" w:rsidRDefault="0096600E" w:rsidP="0096600E">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7E6BE011" w14:textId="77777777" w:rsidR="0096600E" w:rsidRDefault="0096600E"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 xml:space="preserve">V případě, že Zařízení nesplňuje některé z požadavků uvedených v této příloze nebo neumožňuje splnění pokynů udělených Prodávajícímu na základě ujednání uvedených </w:t>
      </w:r>
      <w:r w:rsidRPr="00B21F1B">
        <w:rPr>
          <w:b/>
        </w:rPr>
        <w:lastRenderedPageBreak/>
        <w:t>v této příloze, jedná se o podstatné porušení smlouvy, pro které je Kupující oprávněn odstoupit od smlouvy.</w:t>
      </w:r>
    </w:p>
    <w:p w14:paraId="139CD13C" w14:textId="141900CA" w:rsidR="00A05D45" w:rsidRDefault="00A05D45" w:rsidP="00A05D45">
      <w:pPr>
        <w:pStyle w:val="paragraph"/>
        <w:spacing w:before="0" w:beforeAutospacing="0" w:after="0" w:afterAutospacing="0"/>
        <w:jc w:val="both"/>
        <w:textAlignment w:val="baseline"/>
        <w:rPr>
          <w:rFonts w:ascii="Segoe UI" w:hAnsi="Segoe UI" w:cs="Segoe UI"/>
          <w:sz w:val="18"/>
          <w:szCs w:val="18"/>
        </w:rPr>
      </w:pPr>
    </w:p>
    <w:p w14:paraId="1E3FEF1F" w14:textId="3333F3B0"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B186A4C" w14:textId="0F9E079D"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3C96DE8A" w14:textId="28506AAE"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30194CE2" w14:textId="0CE50748"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9551392" w14:textId="2D847F8B"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F1DD0A9" w14:textId="5BBB1F5B"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34AEBEB3" w14:textId="31831681"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0D032750" w14:textId="65DF0B8B"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38CABA26" w14:textId="22867150"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1AB5D6F1" w14:textId="65184CA8"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7041B5AD" w14:textId="57DA294E"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76F6A14" w14:textId="14B94054"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21E59D7A" w14:textId="58E45024"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9E36219" w14:textId="371D1800"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722E7A75" w14:textId="10E26A6C"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59196E4D" w14:textId="07F0107F"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1FB59102" w14:textId="4843B32E"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83DD9DA" w14:textId="480FF322"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26EF3D50" w14:textId="70170424"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3E06BCE2" w14:textId="19583675"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82DF554" w14:textId="1217766F"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29274077" w14:textId="1BFFB81A"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3C466E13" w14:textId="2CDD710F"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6470F6F" w14:textId="23EA21EF"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82480A0" w14:textId="4F707DAC"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29920175" w14:textId="5B6A7512"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1E1A0942" w14:textId="273EB863"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2C3471C7" w14:textId="67CB0326"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7244C136" w14:textId="590A8E61"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05050405" w14:textId="6177AFB7"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79CEE00" w14:textId="58C4BDFC"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0EB94112" w14:textId="044439BB"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8675AEE" w14:textId="1E799CC1"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3A7F6D28" w14:textId="14B90864"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1983AB4A" w14:textId="44A3976B"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52F4BBB0" w14:textId="3520AAAE"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140B352" w14:textId="44E7AA69"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06816759" w14:textId="7C410D16"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69FFE13" w14:textId="4240A250"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49FBE8A" w14:textId="6A262D03"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5599C972" w14:textId="50B6E5CB"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139A7B29" w14:textId="73A7D8E5"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0938CABF" w14:textId="4583201D"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5273D213" w14:textId="46BA16AA"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C045198" w14:textId="3F231B68"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0DF2F43" w14:textId="70667323"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255BF0DD" w14:textId="61995672"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52963412" w14:textId="67587C84" w:rsidR="00994A9C" w:rsidRDefault="00994A9C" w:rsidP="00A05D45">
      <w:pPr>
        <w:pStyle w:val="paragraph"/>
        <w:spacing w:before="0" w:beforeAutospacing="0" w:after="0" w:afterAutospacing="0"/>
        <w:jc w:val="both"/>
        <w:textAlignment w:val="baseline"/>
        <w:rPr>
          <w:rFonts w:ascii="Segoe UI" w:hAnsi="Segoe UI" w:cs="Segoe UI"/>
          <w:sz w:val="18"/>
          <w:szCs w:val="18"/>
        </w:rPr>
      </w:pPr>
    </w:p>
    <w:p w14:paraId="48ADB5F6" w14:textId="4B2A6852" w:rsidR="00994A9C" w:rsidRDefault="00994A9C" w:rsidP="00A05D45">
      <w:pPr>
        <w:pStyle w:val="paragraph"/>
        <w:spacing w:before="0" w:beforeAutospacing="0" w:after="0" w:afterAutospacing="0"/>
        <w:jc w:val="both"/>
        <w:textAlignment w:val="baseline"/>
        <w:rPr>
          <w:rFonts w:ascii="Segoe UI" w:hAnsi="Segoe UI" w:cs="Segoe UI"/>
          <w:sz w:val="18"/>
          <w:szCs w:val="18"/>
        </w:rPr>
      </w:pPr>
    </w:p>
    <w:p w14:paraId="34F0F658" w14:textId="1B275EAB" w:rsidR="00994A9C" w:rsidRDefault="00994A9C" w:rsidP="00A05D45">
      <w:pPr>
        <w:pStyle w:val="paragraph"/>
        <w:spacing w:before="0" w:beforeAutospacing="0" w:after="0" w:afterAutospacing="0"/>
        <w:jc w:val="both"/>
        <w:textAlignment w:val="baseline"/>
        <w:rPr>
          <w:rFonts w:ascii="Segoe UI" w:hAnsi="Segoe UI" w:cs="Segoe UI"/>
          <w:sz w:val="18"/>
          <w:szCs w:val="18"/>
        </w:rPr>
      </w:pPr>
    </w:p>
    <w:p w14:paraId="506791A6" w14:textId="304B6ABE" w:rsidR="00994A9C" w:rsidRDefault="00994A9C" w:rsidP="00A05D45">
      <w:pPr>
        <w:pStyle w:val="paragraph"/>
        <w:spacing w:before="0" w:beforeAutospacing="0" w:after="0" w:afterAutospacing="0"/>
        <w:jc w:val="both"/>
        <w:textAlignment w:val="baseline"/>
        <w:rPr>
          <w:rFonts w:ascii="Segoe UI" w:hAnsi="Segoe UI" w:cs="Segoe UI"/>
          <w:sz w:val="18"/>
          <w:szCs w:val="18"/>
        </w:rPr>
      </w:pPr>
    </w:p>
    <w:p w14:paraId="584AC1E8" w14:textId="77777777" w:rsidR="00994A9C" w:rsidRDefault="00994A9C" w:rsidP="00A05D45">
      <w:pPr>
        <w:pStyle w:val="paragraph"/>
        <w:spacing w:before="0" w:beforeAutospacing="0" w:after="0" w:afterAutospacing="0"/>
        <w:jc w:val="both"/>
        <w:textAlignment w:val="baseline"/>
        <w:rPr>
          <w:rFonts w:ascii="Segoe UI" w:hAnsi="Segoe UI" w:cs="Segoe UI"/>
          <w:sz w:val="18"/>
          <w:szCs w:val="18"/>
        </w:rPr>
      </w:pPr>
    </w:p>
    <w:p w14:paraId="21C2EA46" w14:textId="7AC4DF99"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6DC2E1DF" w14:textId="18747F0C"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83AC141" w14:textId="07F2CC1B"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088CE93A" w14:textId="1ADBD1BE" w:rsidR="002647EA" w:rsidRDefault="002647EA" w:rsidP="00A05D45">
      <w:pPr>
        <w:pStyle w:val="paragraph"/>
        <w:spacing w:before="0" w:beforeAutospacing="0" w:after="0" w:afterAutospacing="0"/>
        <w:jc w:val="both"/>
        <w:textAlignment w:val="baseline"/>
        <w:rPr>
          <w:rFonts w:ascii="Segoe UI" w:hAnsi="Segoe UI" w:cs="Segoe UI"/>
          <w:sz w:val="18"/>
          <w:szCs w:val="18"/>
        </w:rPr>
      </w:pPr>
    </w:p>
    <w:p w14:paraId="4AAEDFC7" w14:textId="38C346FD" w:rsidR="002647EA" w:rsidRPr="000729CF" w:rsidRDefault="002647EA" w:rsidP="002647EA">
      <w:pPr>
        <w:jc w:val="center"/>
        <w:rPr>
          <w:b/>
        </w:rPr>
      </w:pPr>
      <w:r w:rsidRPr="000729CF">
        <w:rPr>
          <w:b/>
        </w:rPr>
        <w:lastRenderedPageBreak/>
        <w:t xml:space="preserve">PŘÍLOHA Č. </w:t>
      </w:r>
      <w:r>
        <w:rPr>
          <w:b/>
        </w:rPr>
        <w:t>3</w:t>
      </w:r>
    </w:p>
    <w:p w14:paraId="31CBA937" w14:textId="77777777" w:rsidR="002647EA" w:rsidRPr="000729CF" w:rsidRDefault="002647EA" w:rsidP="002647EA">
      <w:pPr>
        <w:jc w:val="center"/>
        <w:rPr>
          <w:b/>
        </w:rPr>
      </w:pPr>
    </w:p>
    <w:p w14:paraId="7B024E0D" w14:textId="77777777" w:rsidR="00F37FDC" w:rsidRDefault="002647EA" w:rsidP="002647EA">
      <w:pPr>
        <w:jc w:val="center"/>
        <w:rPr>
          <w:b/>
        </w:rPr>
      </w:pPr>
      <w:r>
        <w:rPr>
          <w:b/>
        </w:rPr>
        <w:t xml:space="preserve">Prohlášení o shodě dle zákona č. 22/1997 Sb., </w:t>
      </w:r>
    </w:p>
    <w:p w14:paraId="1BB07B36" w14:textId="602414C0" w:rsidR="002647EA" w:rsidRDefault="002647EA" w:rsidP="002647EA">
      <w:pPr>
        <w:jc w:val="center"/>
        <w:rPr>
          <w:b/>
        </w:rPr>
      </w:pPr>
      <w:r>
        <w:rPr>
          <w:b/>
        </w:rPr>
        <w:t>o technických požadavcích na výrobky a dle ZoZP</w:t>
      </w:r>
    </w:p>
    <w:p w14:paraId="633D0202" w14:textId="77777777" w:rsidR="00F37FDC" w:rsidRDefault="00F37FDC" w:rsidP="002647EA">
      <w:pPr>
        <w:jc w:val="center"/>
      </w:pPr>
    </w:p>
    <w:sectPr w:rsidR="00F37FDC"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rPr>
    </w:sdtEndPr>
    <w:sdtContent>
      <w:p w14:paraId="456928CB" w14:textId="06D6A88C"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00A10" w:rsidRPr="00C00A10">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0E144A"/>
    <w:multiLevelType w:val="hybridMultilevel"/>
    <w:tmpl w:val="0B8EAC4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6067243">
    <w:abstractNumId w:val="6"/>
  </w:num>
  <w:num w:numId="2" w16cid:durableId="563872689">
    <w:abstractNumId w:val="6"/>
  </w:num>
  <w:num w:numId="3" w16cid:durableId="405493874">
    <w:abstractNumId w:val="10"/>
  </w:num>
  <w:num w:numId="4" w16cid:durableId="1550604107">
    <w:abstractNumId w:val="7"/>
  </w:num>
  <w:num w:numId="5" w16cid:durableId="719089275">
    <w:abstractNumId w:val="1"/>
  </w:num>
  <w:num w:numId="6" w16cid:durableId="944922820">
    <w:abstractNumId w:val="4"/>
  </w:num>
  <w:num w:numId="7" w16cid:durableId="1312909726">
    <w:abstractNumId w:val="11"/>
  </w:num>
  <w:num w:numId="8" w16cid:durableId="2053185880">
    <w:abstractNumId w:val="3"/>
  </w:num>
  <w:num w:numId="9" w16cid:durableId="1368526786">
    <w:abstractNumId w:val="8"/>
  </w:num>
  <w:num w:numId="10" w16cid:durableId="1151602372">
    <w:abstractNumId w:val="9"/>
  </w:num>
  <w:num w:numId="11" w16cid:durableId="99689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481114">
    <w:abstractNumId w:val="6"/>
  </w:num>
  <w:num w:numId="13" w16cid:durableId="944534896">
    <w:abstractNumId w:val="0"/>
  </w:num>
  <w:num w:numId="14" w16cid:durableId="1025667292">
    <w:abstractNumId w:val="2"/>
  </w:num>
  <w:num w:numId="15" w16cid:durableId="166423757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30B47"/>
    <w:rsid w:val="00032F0B"/>
    <w:rsid w:val="000333EF"/>
    <w:rsid w:val="000376D7"/>
    <w:rsid w:val="000476DB"/>
    <w:rsid w:val="000530F0"/>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065A"/>
    <w:rsid w:val="00153522"/>
    <w:rsid w:val="00154F85"/>
    <w:rsid w:val="00160D16"/>
    <w:rsid w:val="001725F8"/>
    <w:rsid w:val="00181B85"/>
    <w:rsid w:val="00182640"/>
    <w:rsid w:val="00183226"/>
    <w:rsid w:val="00183727"/>
    <w:rsid w:val="00185F96"/>
    <w:rsid w:val="001874D4"/>
    <w:rsid w:val="00196060"/>
    <w:rsid w:val="00196288"/>
    <w:rsid w:val="001966F7"/>
    <w:rsid w:val="001A2256"/>
    <w:rsid w:val="001A3D28"/>
    <w:rsid w:val="001B4519"/>
    <w:rsid w:val="001B5421"/>
    <w:rsid w:val="001D1D81"/>
    <w:rsid w:val="001D38E0"/>
    <w:rsid w:val="001D3902"/>
    <w:rsid w:val="001D3F7C"/>
    <w:rsid w:val="001D4983"/>
    <w:rsid w:val="001D6C04"/>
    <w:rsid w:val="001D7781"/>
    <w:rsid w:val="001E485C"/>
    <w:rsid w:val="001F13BA"/>
    <w:rsid w:val="001F2069"/>
    <w:rsid w:val="001F6852"/>
    <w:rsid w:val="00202E4E"/>
    <w:rsid w:val="002039E1"/>
    <w:rsid w:val="00207B51"/>
    <w:rsid w:val="00222AEA"/>
    <w:rsid w:val="00233A39"/>
    <w:rsid w:val="00236BD3"/>
    <w:rsid w:val="002373A7"/>
    <w:rsid w:val="00243FE4"/>
    <w:rsid w:val="002456A0"/>
    <w:rsid w:val="00250E90"/>
    <w:rsid w:val="00250F85"/>
    <w:rsid w:val="0025204E"/>
    <w:rsid w:val="0025616B"/>
    <w:rsid w:val="002575A6"/>
    <w:rsid w:val="002647EA"/>
    <w:rsid w:val="00271FDF"/>
    <w:rsid w:val="00277ACF"/>
    <w:rsid w:val="002812F7"/>
    <w:rsid w:val="002834BC"/>
    <w:rsid w:val="00283E98"/>
    <w:rsid w:val="00290EF9"/>
    <w:rsid w:val="002943FF"/>
    <w:rsid w:val="0029524D"/>
    <w:rsid w:val="00296488"/>
    <w:rsid w:val="00297406"/>
    <w:rsid w:val="00297EE2"/>
    <w:rsid w:val="002A29DA"/>
    <w:rsid w:val="002C2981"/>
    <w:rsid w:val="002C640D"/>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1575"/>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4F5BEE"/>
    <w:rsid w:val="005013EF"/>
    <w:rsid w:val="00503008"/>
    <w:rsid w:val="005153A4"/>
    <w:rsid w:val="0051540C"/>
    <w:rsid w:val="005203B5"/>
    <w:rsid w:val="00521953"/>
    <w:rsid w:val="005371E9"/>
    <w:rsid w:val="00546C21"/>
    <w:rsid w:val="005515B0"/>
    <w:rsid w:val="00552FD4"/>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4CA8"/>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D76F0"/>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10BD"/>
    <w:rsid w:val="0085307C"/>
    <w:rsid w:val="00857071"/>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A9C"/>
    <w:rsid w:val="00997C0A"/>
    <w:rsid w:val="009A3D16"/>
    <w:rsid w:val="009A4F9F"/>
    <w:rsid w:val="009A640C"/>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6194"/>
    <w:rsid w:val="00A8095F"/>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6901"/>
    <w:rsid w:val="00BF750F"/>
    <w:rsid w:val="00C006A4"/>
    <w:rsid w:val="00C00A10"/>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D5440"/>
    <w:rsid w:val="00CD60EF"/>
    <w:rsid w:val="00CD61FC"/>
    <w:rsid w:val="00CF0B12"/>
    <w:rsid w:val="00CF49B2"/>
    <w:rsid w:val="00CF4F35"/>
    <w:rsid w:val="00D000FE"/>
    <w:rsid w:val="00D039A9"/>
    <w:rsid w:val="00D04283"/>
    <w:rsid w:val="00D04CE9"/>
    <w:rsid w:val="00D071E8"/>
    <w:rsid w:val="00D07D37"/>
    <w:rsid w:val="00D13E92"/>
    <w:rsid w:val="00D17289"/>
    <w:rsid w:val="00D203A0"/>
    <w:rsid w:val="00D24015"/>
    <w:rsid w:val="00D308D9"/>
    <w:rsid w:val="00D50BBE"/>
    <w:rsid w:val="00D60C1A"/>
    <w:rsid w:val="00D70368"/>
    <w:rsid w:val="00D7425C"/>
    <w:rsid w:val="00D813B7"/>
    <w:rsid w:val="00D818EC"/>
    <w:rsid w:val="00D82704"/>
    <w:rsid w:val="00D859C2"/>
    <w:rsid w:val="00D86891"/>
    <w:rsid w:val="00D927B5"/>
    <w:rsid w:val="00DA1353"/>
    <w:rsid w:val="00DA5A63"/>
    <w:rsid w:val="00DA7CB9"/>
    <w:rsid w:val="00DB1C9B"/>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724F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37FDC"/>
    <w:rsid w:val="00F42D93"/>
    <w:rsid w:val="00F45113"/>
    <w:rsid w:val="00F5269B"/>
    <w:rsid w:val="00F63181"/>
    <w:rsid w:val="00F7334F"/>
    <w:rsid w:val="00F74782"/>
    <w:rsid w:val="00F8343D"/>
    <w:rsid w:val="00F83E0D"/>
    <w:rsid w:val="00F86F9D"/>
    <w:rsid w:val="00F91A23"/>
    <w:rsid w:val="00F93EC1"/>
    <w:rsid w:val="00F958D2"/>
    <w:rsid w:val="00F96C73"/>
    <w:rsid w:val="00F97FE0"/>
    <w:rsid w:val="00FB373A"/>
    <w:rsid w:val="00FB43BE"/>
    <w:rsid w:val="00FC0959"/>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uiPriority w:val="3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table" w:styleId="Tabulkasmkou4zvraznn3">
    <w:name w:val="Grid Table 4 Accent 3"/>
    <w:basedOn w:val="Normlntabulka"/>
    <w:uiPriority w:val="49"/>
    <w:rsid w:val="004F5BEE"/>
    <w:rPr>
      <w:rFonts w:asciiTheme="minorHAnsi" w:eastAsiaTheme="minorHAnsi" w:hAnsiTheme="minorHAnsi" w:cstheme="minorBidi"/>
      <w:sz w:val="22"/>
      <w:szCs w:val="22"/>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127">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0A31F-C57A-4478-9BF3-E0B4FA15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8154</Words>
  <Characters>48109</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2023-07-17T20:51:00Z</dcterms:created>
  <dcterms:modified xsi:type="dcterms:W3CDTF">2023-10-04T10:44:00Z</dcterms:modified>
</cp:coreProperties>
</file>