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05AE" w:rsidRDefault="00000000">
      <w:pPr>
        <w:pStyle w:val="Style2"/>
        <w:keepNext/>
        <w:keepLines/>
        <w:shd w:val="clear" w:color="auto" w:fill="auto"/>
        <w:spacing w:after="0"/>
        <w:jc w:val="center"/>
      </w:pPr>
      <w:bookmarkStart w:id="0" w:name="bookmark0"/>
      <w:bookmarkStart w:id="1" w:name="bookmark1"/>
      <w:bookmarkStart w:id="2" w:name="bookmark2"/>
      <w:r>
        <w:t>POJISTNÁ SMLOUVA 2038600702</w:t>
      </w:r>
      <w:bookmarkEnd w:id="0"/>
      <w:bookmarkEnd w:id="1"/>
      <w:bookmarkEnd w:id="2"/>
    </w:p>
    <w:p w:rsidR="008F05AE" w:rsidRDefault="00000000">
      <w:pPr>
        <w:pStyle w:val="Style8"/>
        <w:shd w:val="clear" w:color="auto" w:fill="auto"/>
      </w:pPr>
      <w:r>
        <w:t>Pojištění předmětů umělecké a sběratelské hodnoty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8136"/>
      </w:tblGrid>
      <w:tr w:rsidR="008F05AE">
        <w:tblPrEx>
          <w:tblCellMar>
            <w:top w:w="0" w:type="dxa"/>
            <w:bottom w:w="0" w:type="dxa"/>
          </w:tblCellMar>
        </w:tblPrEx>
        <w:trPr>
          <w:trHeight w:hRule="exact" w:val="3000"/>
          <w:jc w:val="center"/>
        </w:trPr>
        <w:tc>
          <w:tcPr>
            <w:tcW w:w="1166" w:type="dxa"/>
            <w:shd w:val="clear" w:color="auto" w:fill="FFFFFF"/>
          </w:tcPr>
          <w:p w:rsidR="008F05AE" w:rsidRDefault="00000000">
            <w:pPr>
              <w:pStyle w:val="Style14"/>
              <w:shd w:val="clear" w:color="auto" w:fill="auto"/>
              <w:spacing w:after="0" w:line="240" w:lineRule="auto"/>
              <w:ind w:firstLine="0"/>
              <w:rPr>
                <w:sz w:val="18"/>
                <w:szCs w:val="18"/>
              </w:rPr>
            </w:pPr>
            <w:r>
              <w:rPr>
                <w:b/>
                <w:bCs/>
                <w:sz w:val="18"/>
                <w:szCs w:val="18"/>
              </w:rPr>
              <w:t>Pojistitel:</w:t>
            </w:r>
          </w:p>
        </w:tc>
        <w:tc>
          <w:tcPr>
            <w:tcW w:w="8136" w:type="dxa"/>
            <w:shd w:val="clear" w:color="auto" w:fill="FFFFFF"/>
          </w:tcPr>
          <w:p w:rsidR="008F05AE" w:rsidRDefault="00000000">
            <w:pPr>
              <w:pStyle w:val="Style14"/>
              <w:shd w:val="clear" w:color="auto" w:fill="auto"/>
              <w:spacing w:after="0" w:line="329" w:lineRule="auto"/>
              <w:ind w:firstLine="820"/>
              <w:rPr>
                <w:sz w:val="18"/>
                <w:szCs w:val="18"/>
              </w:rPr>
            </w:pPr>
            <w:r>
              <w:rPr>
                <w:b/>
                <w:bCs/>
                <w:sz w:val="18"/>
                <w:szCs w:val="18"/>
              </w:rPr>
              <w:t>UNIQA pojišťovna, a. s.</w:t>
            </w:r>
          </w:p>
          <w:p w:rsidR="008F05AE" w:rsidRDefault="00000000">
            <w:pPr>
              <w:pStyle w:val="Style14"/>
              <w:shd w:val="clear" w:color="auto" w:fill="auto"/>
              <w:spacing w:after="0" w:line="348" w:lineRule="auto"/>
              <w:ind w:firstLine="820"/>
            </w:pPr>
            <w:r>
              <w:t>Evropská 810/136, 160 00 Praha 6</w:t>
            </w:r>
          </w:p>
          <w:p w:rsidR="008F05AE" w:rsidRDefault="00000000">
            <w:pPr>
              <w:pStyle w:val="Style14"/>
              <w:shd w:val="clear" w:color="auto" w:fill="auto"/>
              <w:spacing w:after="0" w:line="348" w:lineRule="auto"/>
              <w:ind w:firstLine="820"/>
            </w:pPr>
            <w:r>
              <w:t>IČ: 492 40 480</w:t>
            </w:r>
          </w:p>
          <w:p w:rsidR="008F05AE" w:rsidRDefault="00000000">
            <w:pPr>
              <w:pStyle w:val="Style14"/>
              <w:shd w:val="clear" w:color="auto" w:fill="auto"/>
              <w:spacing w:after="0" w:line="348" w:lineRule="auto"/>
              <w:ind w:left="820" w:firstLine="20"/>
            </w:pPr>
            <w:r>
              <w:t>zapsán v obchodním rejstříku, vedeném Městským soudem v Praze oddíl B, vložka 2012</w:t>
            </w:r>
          </w:p>
          <w:p w:rsidR="008F05AE" w:rsidRDefault="00000000">
            <w:pPr>
              <w:pStyle w:val="Style14"/>
              <w:shd w:val="clear" w:color="auto" w:fill="auto"/>
              <w:spacing w:after="0" w:line="276" w:lineRule="auto"/>
              <w:ind w:left="820" w:firstLine="20"/>
            </w:pPr>
            <w:r>
              <w:t>zastoupení; Ing. Martina Plíhalová Vršecká, manažer pojištění mezinárodních rizik a fakultativního zajištění ČR &amp; SR</w:t>
            </w:r>
          </w:p>
          <w:p w:rsidR="008F05AE" w:rsidRDefault="00000000">
            <w:pPr>
              <w:pStyle w:val="Style14"/>
              <w:shd w:val="clear" w:color="auto" w:fill="auto"/>
              <w:spacing w:after="0" w:line="276" w:lineRule="auto"/>
              <w:ind w:firstLine="820"/>
            </w:pPr>
            <w:r>
              <w:t xml:space="preserve">Renáta </w:t>
            </w:r>
            <w:proofErr w:type="spellStart"/>
            <w:r>
              <w:t>Klesnilová</w:t>
            </w:r>
            <w:proofErr w:type="spellEnd"/>
            <w:r>
              <w:t>, junior upisovatel, oddělení mezinárodních rizik</w:t>
            </w:r>
          </w:p>
          <w:p w:rsidR="008F05AE" w:rsidRDefault="00000000">
            <w:pPr>
              <w:pStyle w:val="Style14"/>
              <w:shd w:val="clear" w:color="auto" w:fill="auto"/>
              <w:spacing w:after="0" w:line="276" w:lineRule="auto"/>
              <w:ind w:firstLine="820"/>
            </w:pPr>
            <w:r>
              <w:t>a fakultativního zajištění ČR &amp; SR</w:t>
            </w:r>
          </w:p>
          <w:p w:rsidR="008F05AE" w:rsidRDefault="00000000">
            <w:pPr>
              <w:pStyle w:val="Style14"/>
              <w:shd w:val="clear" w:color="auto" w:fill="auto"/>
              <w:spacing w:after="40" w:line="276" w:lineRule="auto"/>
              <w:ind w:firstLine="820"/>
            </w:pPr>
            <w:r>
              <w:t>bankovní spojení:</w:t>
            </w:r>
          </w:p>
          <w:p w:rsidR="008F05AE" w:rsidRDefault="00000000">
            <w:pPr>
              <w:pStyle w:val="Style14"/>
              <w:shd w:val="clear" w:color="auto" w:fill="auto"/>
              <w:spacing w:after="0" w:line="312" w:lineRule="auto"/>
              <w:ind w:firstLine="820"/>
            </w:pPr>
            <w:r>
              <w:t xml:space="preserve">č. </w:t>
            </w:r>
            <w:proofErr w:type="spellStart"/>
            <w:r>
              <w:t>ú.</w:t>
            </w:r>
            <w:proofErr w:type="spellEnd"/>
            <w:r>
              <w:t>:</w:t>
            </w:r>
          </w:p>
        </w:tc>
      </w:tr>
      <w:tr w:rsidR="008F05AE">
        <w:tblPrEx>
          <w:tblCellMar>
            <w:top w:w="0" w:type="dxa"/>
            <w:bottom w:w="0" w:type="dxa"/>
          </w:tblCellMar>
        </w:tblPrEx>
        <w:trPr>
          <w:trHeight w:hRule="exact" w:val="2194"/>
          <w:jc w:val="center"/>
        </w:trPr>
        <w:tc>
          <w:tcPr>
            <w:tcW w:w="1166" w:type="dxa"/>
            <w:tcBorders>
              <w:bottom w:val="single" w:sz="4" w:space="0" w:color="auto"/>
            </w:tcBorders>
            <w:shd w:val="clear" w:color="auto" w:fill="FFFFFF"/>
          </w:tcPr>
          <w:p w:rsidR="008F05AE" w:rsidRDefault="00000000">
            <w:pPr>
              <w:pStyle w:val="Style14"/>
              <w:shd w:val="clear" w:color="auto" w:fill="auto"/>
              <w:spacing w:after="340" w:line="240" w:lineRule="auto"/>
              <w:ind w:firstLine="0"/>
            </w:pPr>
            <w:r>
              <w:t>a</w:t>
            </w:r>
          </w:p>
          <w:p w:rsidR="008F05AE" w:rsidRDefault="00000000">
            <w:pPr>
              <w:pStyle w:val="Style14"/>
              <w:shd w:val="clear" w:color="auto" w:fill="auto"/>
              <w:spacing w:after="0" w:line="240" w:lineRule="auto"/>
              <w:ind w:firstLine="0"/>
              <w:rPr>
                <w:sz w:val="18"/>
                <w:szCs w:val="18"/>
              </w:rPr>
            </w:pPr>
            <w:proofErr w:type="spellStart"/>
            <w:r>
              <w:rPr>
                <w:b/>
                <w:bCs/>
                <w:sz w:val="18"/>
                <w:szCs w:val="18"/>
              </w:rPr>
              <w:t>Poiistník</w:t>
            </w:r>
            <w:proofErr w:type="spellEnd"/>
            <w:r>
              <w:rPr>
                <w:b/>
                <w:bCs/>
                <w:sz w:val="18"/>
                <w:szCs w:val="18"/>
              </w:rPr>
              <w:t>:</w:t>
            </w:r>
          </w:p>
        </w:tc>
        <w:tc>
          <w:tcPr>
            <w:tcW w:w="8136" w:type="dxa"/>
            <w:tcBorders>
              <w:bottom w:val="single" w:sz="4" w:space="0" w:color="auto"/>
            </w:tcBorders>
            <w:shd w:val="clear" w:color="auto" w:fill="FFFFFF"/>
            <w:vAlign w:val="center"/>
          </w:tcPr>
          <w:p w:rsidR="008F05AE" w:rsidRDefault="00000000">
            <w:pPr>
              <w:pStyle w:val="Style14"/>
              <w:shd w:val="clear" w:color="auto" w:fill="auto"/>
              <w:spacing w:after="0" w:line="240" w:lineRule="auto"/>
              <w:ind w:firstLine="820"/>
              <w:rPr>
                <w:sz w:val="18"/>
                <w:szCs w:val="18"/>
              </w:rPr>
            </w:pPr>
            <w:r>
              <w:rPr>
                <w:b/>
                <w:bCs/>
                <w:sz w:val="18"/>
                <w:szCs w:val="18"/>
              </w:rPr>
              <w:t>Národní muzeum</w:t>
            </w:r>
          </w:p>
          <w:p w:rsidR="008F05AE" w:rsidRDefault="00000000">
            <w:pPr>
              <w:pStyle w:val="Style14"/>
              <w:shd w:val="clear" w:color="auto" w:fill="auto"/>
              <w:spacing w:after="0" w:line="240" w:lineRule="auto"/>
              <w:ind w:firstLine="820"/>
            </w:pPr>
            <w:r>
              <w:t>Václavské náměstí 1700/68</w:t>
            </w:r>
          </w:p>
          <w:p w:rsidR="008F05AE" w:rsidRDefault="00000000">
            <w:pPr>
              <w:pStyle w:val="Style14"/>
              <w:shd w:val="clear" w:color="auto" w:fill="auto"/>
              <w:spacing w:after="0" w:line="240" w:lineRule="auto"/>
              <w:ind w:firstLine="820"/>
            </w:pPr>
            <w:r>
              <w:t xml:space="preserve">110 00 </w:t>
            </w:r>
            <w:proofErr w:type="gramStart"/>
            <w:r>
              <w:t>Praha - Nové</w:t>
            </w:r>
            <w:proofErr w:type="gramEnd"/>
            <w:r>
              <w:t xml:space="preserve"> Město</w:t>
            </w:r>
          </w:p>
          <w:p w:rsidR="008F05AE" w:rsidRDefault="00000000">
            <w:pPr>
              <w:pStyle w:val="Style14"/>
              <w:shd w:val="clear" w:color="auto" w:fill="auto"/>
              <w:spacing w:after="0" w:line="240" w:lineRule="auto"/>
              <w:ind w:firstLine="820"/>
            </w:pPr>
            <w:r>
              <w:t>IČ: 000 23 272</w:t>
            </w:r>
          </w:p>
          <w:p w:rsidR="008F05AE" w:rsidRDefault="00000000">
            <w:pPr>
              <w:pStyle w:val="Style14"/>
              <w:shd w:val="clear" w:color="auto" w:fill="auto"/>
              <w:spacing w:after="0" w:line="240" w:lineRule="auto"/>
              <w:ind w:firstLine="820"/>
            </w:pPr>
            <w:proofErr w:type="spellStart"/>
            <w:r>
              <w:t>prof.PhDr</w:t>
            </w:r>
            <w:proofErr w:type="spellEnd"/>
            <w:r>
              <w:t>. Michal Stehlík, Ph.D., náměstek pro centrální sbírkovou a výstavní činnost</w:t>
            </w:r>
          </w:p>
        </w:tc>
      </w:tr>
    </w:tbl>
    <w:p w:rsidR="008F05AE" w:rsidRDefault="00000000">
      <w:pPr>
        <w:pStyle w:val="Style10"/>
        <w:shd w:val="clear" w:color="auto" w:fill="auto"/>
        <w:ind w:left="278"/>
        <w:rPr>
          <w:sz w:val="18"/>
          <w:szCs w:val="18"/>
        </w:rPr>
      </w:pPr>
      <w:r>
        <w:t xml:space="preserve">uzavírají prostřednictvím pojišťovacího makléře MAJÁK, s.r.o. tuto smlouvu o pojištění předmětů umělecké a sběratelské hodnoty ve prospěch </w:t>
      </w:r>
      <w:r>
        <w:rPr>
          <w:b/>
          <w:bCs/>
          <w:sz w:val="18"/>
          <w:szCs w:val="18"/>
        </w:rPr>
        <w:t xml:space="preserve">pojištěného </w:t>
      </w:r>
      <w:r>
        <w:rPr>
          <w:i/>
          <w:iCs/>
        </w:rPr>
        <w:t>I</w:t>
      </w:r>
      <w:r>
        <w:rPr>
          <w:b/>
          <w:bCs/>
          <w:sz w:val="18"/>
          <w:szCs w:val="18"/>
        </w:rPr>
        <w:t xml:space="preserve"> oprávněné osoby: Vlastnici předmětů pojištěni</w:t>
      </w:r>
    </w:p>
    <w:p w:rsidR="008F05AE" w:rsidRDefault="008F05AE">
      <w:pPr>
        <w:spacing w:after="519" w:line="1" w:lineRule="exact"/>
      </w:pPr>
    </w:p>
    <w:p w:rsidR="008F05AE" w:rsidRDefault="00000000">
      <w:pPr>
        <w:pStyle w:val="Style17"/>
        <w:keepNext/>
        <w:keepLines/>
        <w:shd w:val="clear" w:color="auto" w:fill="auto"/>
        <w:spacing w:after="0"/>
      </w:pPr>
      <w:bookmarkStart w:id="3" w:name="bookmark5"/>
      <w:r>
        <w:rPr>
          <w:u w:val="none"/>
        </w:rPr>
        <w:t>Článek I</w:t>
      </w:r>
      <w:bookmarkEnd w:id="3"/>
    </w:p>
    <w:p w:rsidR="008F05AE" w:rsidRDefault="00000000">
      <w:pPr>
        <w:pStyle w:val="Style17"/>
        <w:keepNext/>
        <w:keepLines/>
        <w:shd w:val="clear" w:color="auto" w:fill="auto"/>
        <w:spacing w:after="220" w:line="221" w:lineRule="auto"/>
      </w:pPr>
      <w:bookmarkStart w:id="4" w:name="bookmark3"/>
      <w:bookmarkStart w:id="5" w:name="bookmark4"/>
      <w:bookmarkStart w:id="6" w:name="bookmark6"/>
      <w:r>
        <w:t>Předmět pojištění</w:t>
      </w:r>
      <w:bookmarkEnd w:id="4"/>
      <w:bookmarkEnd w:id="5"/>
      <w:bookmarkEnd w:id="6"/>
    </w:p>
    <w:p w:rsidR="008F05AE" w:rsidRDefault="00000000">
      <w:pPr>
        <w:pStyle w:val="Style20"/>
        <w:numPr>
          <w:ilvl w:val="0"/>
          <w:numId w:val="1"/>
        </w:numPr>
        <w:shd w:val="clear" w:color="auto" w:fill="auto"/>
        <w:tabs>
          <w:tab w:val="left" w:pos="334"/>
        </w:tabs>
        <w:spacing w:after="0" w:line="288" w:lineRule="auto"/>
        <w:ind w:firstLine="0"/>
      </w:pPr>
      <w:r>
        <w:t>Předmětem tohoto pojištění jsou díla umělecké a sběratelské hodnoty dle Přílohy č. 1 k pojistné smlouvě</w:t>
      </w:r>
    </w:p>
    <w:p w:rsidR="008F05AE" w:rsidRDefault="00000000">
      <w:pPr>
        <w:pStyle w:val="Style20"/>
        <w:shd w:val="clear" w:color="auto" w:fill="auto"/>
        <w:tabs>
          <w:tab w:val="left" w:pos="3206"/>
        </w:tabs>
        <w:spacing w:after="220" w:line="288" w:lineRule="auto"/>
        <w:ind w:firstLine="340"/>
      </w:pPr>
      <w:r>
        <w:t>v pojistné hodnotě</w:t>
      </w:r>
      <w:r>
        <w:tab/>
        <w:t>dle sjednaného rozsahu krytí.</w:t>
      </w:r>
    </w:p>
    <w:p w:rsidR="008F05AE" w:rsidRDefault="00000000">
      <w:pPr>
        <w:pStyle w:val="Style20"/>
        <w:numPr>
          <w:ilvl w:val="0"/>
          <w:numId w:val="1"/>
        </w:numPr>
        <w:shd w:val="clear" w:color="auto" w:fill="auto"/>
        <w:tabs>
          <w:tab w:val="left" w:pos="334"/>
        </w:tabs>
        <w:spacing w:after="0" w:line="288" w:lineRule="auto"/>
        <w:ind w:firstLine="0"/>
      </w:pPr>
      <w:r>
        <w:t>Pojištění se sjednává za účelem pojištění exponátů na výstavě</w:t>
      </w:r>
    </w:p>
    <w:p w:rsidR="008F05AE" w:rsidRDefault="00000000">
      <w:pPr>
        <w:pStyle w:val="Style20"/>
        <w:shd w:val="clear" w:color="auto" w:fill="auto"/>
        <w:tabs>
          <w:tab w:val="left" w:pos="7910"/>
        </w:tabs>
        <w:spacing w:after="0" w:line="288" w:lineRule="auto"/>
        <w:ind w:firstLine="340"/>
      </w:pPr>
      <w:r>
        <w:t xml:space="preserve">konanou v prostorách Národního </w:t>
      </w:r>
      <w:proofErr w:type="gramStart"/>
      <w:r>
        <w:t>muzea</w:t>
      </w:r>
      <w:proofErr w:type="gramEnd"/>
      <w:r>
        <w:t xml:space="preserve"> a to ve dnech</w:t>
      </w:r>
      <w:r>
        <w:tab/>
        <w:t>■ a pro přepravu</w:t>
      </w:r>
    </w:p>
    <w:p w:rsidR="008F05AE" w:rsidRDefault="00000000">
      <w:pPr>
        <w:pStyle w:val="Style20"/>
        <w:shd w:val="clear" w:color="auto" w:fill="auto"/>
        <w:spacing w:after="0" w:line="288" w:lineRule="auto"/>
        <w:ind w:left="340"/>
      </w:pPr>
      <w:r>
        <w:t>předmětů pojištění na tuto výstavu a zpět Přeprava exponátů proběhne dle ujednání v Příloze č. 1 - Přeprava.</w:t>
      </w:r>
    </w:p>
    <w:p w:rsidR="008F05AE" w:rsidRDefault="00000000">
      <w:pPr>
        <w:pStyle w:val="Style20"/>
        <w:shd w:val="clear" w:color="auto" w:fill="auto"/>
        <w:spacing w:after="0" w:line="288" w:lineRule="auto"/>
        <w:ind w:firstLine="340"/>
      </w:pPr>
      <w:r>
        <w:t>Zároveň se ujednává, že výluka dle č</w:t>
      </w:r>
      <w:r w:rsidR="003A0414">
        <w:t>l</w:t>
      </w:r>
      <w:r>
        <w:t>. 6, odst. 6.2 bod m) a n) (JCZ/T/14 neplatí.</w:t>
      </w:r>
    </w:p>
    <w:p w:rsidR="008F05AE" w:rsidRDefault="00000000">
      <w:pPr>
        <w:pStyle w:val="Style20"/>
        <w:shd w:val="clear" w:color="auto" w:fill="auto"/>
        <w:spacing w:after="220" w:line="266" w:lineRule="auto"/>
        <w:ind w:left="340"/>
      </w:pPr>
      <w:r>
        <w:t>* Případná změna data zpětného transportu bude nahlášena pojistiteli prostřednictvím zplnomocněného makléře minimálně 48 hodin před plánovaným započetím transportu.</w:t>
      </w:r>
    </w:p>
    <w:p w:rsidR="008F05AE" w:rsidRDefault="00000000">
      <w:pPr>
        <w:pStyle w:val="Style20"/>
        <w:shd w:val="clear" w:color="auto" w:fill="auto"/>
        <w:spacing w:after="220"/>
        <w:ind w:left="240" w:hanging="240"/>
        <w:sectPr w:rsidR="008F05AE">
          <w:headerReference w:type="default" r:id="rId7"/>
          <w:footerReference w:type="default" r:id="rId8"/>
          <w:pgSz w:w="11942" w:h="16862"/>
          <w:pgMar w:top="3197" w:right="1248" w:bottom="2208" w:left="1381" w:header="0" w:footer="3" w:gutter="0"/>
          <w:pgNumType w:start="1"/>
          <w:cols w:space="720"/>
          <w:noEndnote/>
          <w:docGrid w:linePitch="360"/>
        </w:sectPr>
      </w:pPr>
      <w:r>
        <w:t>3. Předměty pojištěni budou zapůjčeny na zák</w:t>
      </w:r>
      <w:r w:rsidR="003A0414">
        <w:t>l</w:t>
      </w:r>
      <w:r>
        <w:t>adě Smlouvy o výpůjčce, uzavřené mezi pojištěným a Pojistníkem.</w:t>
      </w:r>
    </w:p>
    <w:p w:rsidR="008F05AE" w:rsidRDefault="003A0414">
      <w:pPr>
        <w:pStyle w:val="Style20"/>
        <w:shd w:val="clear" w:color="auto" w:fill="auto"/>
        <w:spacing w:after="0" w:line="240" w:lineRule="auto"/>
        <w:ind w:firstLine="0"/>
        <w:rPr>
          <w:sz w:val="18"/>
          <w:szCs w:val="18"/>
        </w:rPr>
      </w:pPr>
      <w:r>
        <w:rPr>
          <w:b/>
          <w:bCs/>
          <w:sz w:val="18"/>
          <w:szCs w:val="18"/>
        </w:rPr>
        <w:lastRenderedPageBreak/>
        <w:t>Č</w:t>
      </w:r>
      <w:r w:rsidR="00000000">
        <w:rPr>
          <w:b/>
          <w:bCs/>
          <w:sz w:val="18"/>
          <w:szCs w:val="18"/>
        </w:rPr>
        <w:t xml:space="preserve">lánek </w:t>
      </w:r>
      <w:r w:rsidR="00000000">
        <w:rPr>
          <w:b/>
          <w:bCs/>
          <w:sz w:val="18"/>
          <w:szCs w:val="18"/>
          <w:lang w:val="en-US" w:eastAsia="en-US" w:bidi="en-US"/>
        </w:rPr>
        <w:t>II</w:t>
      </w:r>
    </w:p>
    <w:p w:rsidR="008F05AE" w:rsidRDefault="00000000">
      <w:pPr>
        <w:pStyle w:val="Style20"/>
        <w:shd w:val="clear" w:color="auto" w:fill="auto"/>
        <w:spacing w:after="200" w:line="240" w:lineRule="auto"/>
        <w:ind w:firstLine="0"/>
        <w:rPr>
          <w:sz w:val="18"/>
          <w:szCs w:val="18"/>
        </w:rPr>
      </w:pPr>
      <w:r>
        <w:rPr>
          <w:b/>
          <w:bCs/>
          <w:sz w:val="18"/>
          <w:szCs w:val="18"/>
          <w:u w:val="single"/>
        </w:rPr>
        <w:t>Rozsah pojištění</w:t>
      </w:r>
    </w:p>
    <w:p w:rsidR="008F05AE" w:rsidRDefault="00000000">
      <w:pPr>
        <w:pStyle w:val="Style17"/>
        <w:keepNext/>
        <w:keepLines/>
        <w:shd w:val="clear" w:color="auto" w:fill="auto"/>
        <w:spacing w:after="240"/>
      </w:pPr>
      <w:bookmarkStart w:id="7" w:name="bookmark10"/>
      <w:bookmarkStart w:id="8" w:name="bookmark11"/>
      <w:bookmarkStart w:id="9" w:name="bookmark12"/>
      <w:r>
        <w:rPr>
          <w:u w:val="none"/>
        </w:rPr>
        <w:t xml:space="preserve">Část </w:t>
      </w:r>
      <w:proofErr w:type="gramStart"/>
      <w:r>
        <w:rPr>
          <w:u w:val="none"/>
        </w:rPr>
        <w:t>A :</w:t>
      </w:r>
      <w:bookmarkEnd w:id="7"/>
      <w:bookmarkEnd w:id="8"/>
      <w:bookmarkEnd w:id="9"/>
      <w:proofErr w:type="gramEnd"/>
    </w:p>
    <w:p w:rsidR="008F05AE" w:rsidRDefault="00000000">
      <w:pPr>
        <w:pStyle w:val="Style20"/>
        <w:numPr>
          <w:ilvl w:val="0"/>
          <w:numId w:val="2"/>
        </w:numPr>
        <w:shd w:val="clear" w:color="auto" w:fill="auto"/>
        <w:tabs>
          <w:tab w:val="left" w:pos="302"/>
        </w:tabs>
        <w:spacing w:after="0" w:line="262" w:lineRule="auto"/>
        <w:ind w:firstLine="0"/>
      </w:pPr>
      <w:r>
        <w:t>Pojištění předmětů se sjednává v souladu s pojistnými podmínkami:</w:t>
      </w:r>
    </w:p>
    <w:p w:rsidR="008F05AE" w:rsidRDefault="00000000">
      <w:pPr>
        <w:pStyle w:val="Style20"/>
        <w:numPr>
          <w:ilvl w:val="0"/>
          <w:numId w:val="3"/>
        </w:numPr>
        <w:shd w:val="clear" w:color="auto" w:fill="auto"/>
        <w:tabs>
          <w:tab w:val="left" w:pos="653"/>
        </w:tabs>
        <w:spacing w:after="0" w:line="262" w:lineRule="auto"/>
        <w:ind w:firstLine="300"/>
      </w:pPr>
      <w:r>
        <w:t xml:space="preserve">Všeobecné pojistné </w:t>
      </w:r>
      <w:proofErr w:type="gramStart"/>
      <w:r>
        <w:t>podmínky - obecná</w:t>
      </w:r>
      <w:proofErr w:type="gramEnd"/>
      <w:r>
        <w:t xml:space="preserve"> část (dále jen „UCZ/14'')</w:t>
      </w:r>
    </w:p>
    <w:p w:rsidR="008F05AE" w:rsidRDefault="00000000">
      <w:pPr>
        <w:pStyle w:val="Style20"/>
        <w:numPr>
          <w:ilvl w:val="0"/>
          <w:numId w:val="3"/>
        </w:numPr>
        <w:shd w:val="clear" w:color="auto" w:fill="auto"/>
        <w:tabs>
          <w:tab w:val="left" w:pos="653"/>
        </w:tabs>
        <w:spacing w:after="0" w:line="262" w:lineRule="auto"/>
        <w:ind w:left="680" w:hanging="340"/>
      </w:pPr>
      <w:r>
        <w:t xml:space="preserve">Všeobecné pojistné podmínky pro pojištění předmětů umělecké a/nebo sběratelské </w:t>
      </w:r>
      <w:proofErr w:type="gramStart"/>
      <w:r>
        <w:t>hodnoty - zvláštní</w:t>
      </w:r>
      <w:proofErr w:type="gramEnd"/>
      <w:r>
        <w:t xml:space="preserve"> část (dále jen „UCZ/Um/14")</w:t>
      </w:r>
    </w:p>
    <w:p w:rsidR="008F05AE" w:rsidRDefault="00000000">
      <w:pPr>
        <w:pStyle w:val="Style20"/>
        <w:numPr>
          <w:ilvl w:val="0"/>
          <w:numId w:val="3"/>
        </w:numPr>
        <w:shd w:val="clear" w:color="auto" w:fill="auto"/>
        <w:tabs>
          <w:tab w:val="left" w:pos="653"/>
        </w:tabs>
        <w:spacing w:after="0" w:line="262" w:lineRule="auto"/>
        <w:ind w:left="680" w:hanging="340"/>
      </w:pPr>
      <w:r>
        <w:t>Všeobecné podmínky pro pojištění přepravy zásilek (dále jen „UCZ/T/14“) - zvláštní část (dále jen „UC27T/14“) v rozsahu čl.4, odst. 4.2.1</w:t>
      </w:r>
    </w:p>
    <w:p w:rsidR="008F05AE" w:rsidRDefault="00000000">
      <w:pPr>
        <w:pStyle w:val="Style20"/>
        <w:numPr>
          <w:ilvl w:val="0"/>
          <w:numId w:val="3"/>
        </w:numPr>
        <w:shd w:val="clear" w:color="auto" w:fill="auto"/>
        <w:tabs>
          <w:tab w:val="left" w:pos="653"/>
        </w:tabs>
        <w:spacing w:after="0" w:line="262" w:lineRule="auto"/>
        <w:ind w:left="680" w:hanging="340"/>
      </w:pPr>
      <w:r>
        <w:t xml:space="preserve">Všeobecné pojistné podmínky pojištění majetku pro případ </w:t>
      </w:r>
      <w:proofErr w:type="gramStart"/>
      <w:r>
        <w:t>odcizení - zvláštní</w:t>
      </w:r>
      <w:proofErr w:type="gramEnd"/>
      <w:r>
        <w:t xml:space="preserve"> část (dále jen „UCZ/</w:t>
      </w:r>
      <w:proofErr w:type="spellStart"/>
      <w:r>
        <w:t>Odc</w:t>
      </w:r>
      <w:proofErr w:type="spellEnd"/>
      <w:r>
        <w:t>/14“) - výklad pojmů</w:t>
      </w:r>
    </w:p>
    <w:p w:rsidR="008F05AE" w:rsidRDefault="00000000">
      <w:pPr>
        <w:pStyle w:val="Style20"/>
        <w:numPr>
          <w:ilvl w:val="0"/>
          <w:numId w:val="3"/>
        </w:numPr>
        <w:shd w:val="clear" w:color="auto" w:fill="auto"/>
        <w:tabs>
          <w:tab w:val="left" w:pos="653"/>
        </w:tabs>
        <w:spacing w:after="0" w:line="262" w:lineRule="auto"/>
        <w:ind w:firstLine="300"/>
      </w:pPr>
      <w:r>
        <w:t>Doplňkové pojistné podmínky k pojištěni majetku pro případ odcizení LIM/14</w:t>
      </w:r>
    </w:p>
    <w:p w:rsidR="008F05AE" w:rsidRDefault="00000000">
      <w:pPr>
        <w:pStyle w:val="Style20"/>
        <w:numPr>
          <w:ilvl w:val="0"/>
          <w:numId w:val="3"/>
        </w:numPr>
        <w:shd w:val="clear" w:color="auto" w:fill="auto"/>
        <w:tabs>
          <w:tab w:val="left" w:pos="653"/>
        </w:tabs>
        <w:spacing w:after="200" w:line="262" w:lineRule="auto"/>
        <w:ind w:firstLine="300"/>
      </w:pPr>
      <w:r>
        <w:t>Požadavky na způsob zabezpečení</w:t>
      </w:r>
    </w:p>
    <w:p w:rsidR="008F05AE" w:rsidRDefault="00000000">
      <w:pPr>
        <w:pStyle w:val="Style20"/>
        <w:numPr>
          <w:ilvl w:val="0"/>
          <w:numId w:val="2"/>
        </w:numPr>
        <w:shd w:val="clear" w:color="auto" w:fill="auto"/>
        <w:tabs>
          <w:tab w:val="left" w:pos="302"/>
          <w:tab w:val="left" w:pos="5083"/>
        </w:tabs>
        <w:spacing w:after="0" w:line="262" w:lineRule="auto"/>
        <w:ind w:firstLine="0"/>
      </w:pPr>
      <w:r>
        <w:t>Pro předměty pojištění v pojistné hodnotě</w:t>
      </w:r>
      <w:r>
        <w:tab/>
      </w:r>
      <w:r w:rsidR="003A0414">
        <w:t>v</w:t>
      </w:r>
      <w:r>
        <w:t>iz. Příloha č. 1 se dle této pojistné smlouvy</w:t>
      </w:r>
    </w:p>
    <w:p w:rsidR="008F05AE" w:rsidRDefault="00000000">
      <w:pPr>
        <w:pStyle w:val="Style20"/>
        <w:shd w:val="clear" w:color="auto" w:fill="auto"/>
        <w:spacing w:after="0" w:line="262" w:lineRule="auto"/>
        <w:ind w:left="300"/>
      </w:pPr>
      <w:r>
        <w:t>sjednává pojistná ochrana „z hřebíku na hřebík“, tj. pro pojištěni přepravy na místo výstavy a zpět a dále pro pojištění v místě výstavy (ve výstavních prostorách, případně uskladnění v depozitáři). Pojištění zahrnuje případ vzniku škody na předmětech pojištění vzniklou jakoukoli nahodilou škodnou událostí nastalou v době přepravy a bezprostředních úkonů s tím souvisejících, včetně nakládky a vykládky, dále výstavy, včetně instalace, deinstalace a úkonů bezprostředně s tím souvisejících, př</w:t>
      </w:r>
      <w:r w:rsidR="003A0414">
        <w:t>í</w:t>
      </w:r>
      <w:r>
        <w:t>p. uskladněni v depozitáři), která není dále v příslušných pojistných podmínkách nebo pojistné sm</w:t>
      </w:r>
      <w:r w:rsidR="003A0414">
        <w:t>l</w:t>
      </w:r>
      <w:r>
        <w:t>ouvě z pojištění vyloučena.</w:t>
      </w:r>
    </w:p>
    <w:p w:rsidR="008F05AE" w:rsidRDefault="00000000">
      <w:pPr>
        <w:pStyle w:val="Style20"/>
        <w:shd w:val="clear" w:color="auto" w:fill="auto"/>
        <w:spacing w:after="200" w:line="252" w:lineRule="auto"/>
        <w:ind w:left="260" w:firstLine="20"/>
        <w:jc w:val="both"/>
        <w:rPr>
          <w:sz w:val="18"/>
          <w:szCs w:val="18"/>
        </w:rPr>
      </w:pPr>
      <w:r>
        <w:rPr>
          <w:b/>
          <w:bCs/>
          <w:sz w:val="18"/>
          <w:szCs w:val="18"/>
        </w:rPr>
        <w:t xml:space="preserve">Pojistné krytí se nevztahuje na nebezpečí prostá krádež </w:t>
      </w:r>
      <w:r>
        <w:t xml:space="preserve">(pojištění se nevztahuje na případy odcizení pojištěné věci / předmětu pojištění způsobené prostou krádeží - tzn. odcizení pojištěné věci bez překonání překážek. Pojištění se vztahuje pouze na škody způsobené krádeží </w:t>
      </w:r>
      <w:proofErr w:type="gramStart"/>
      <w:r>
        <w:t>vloupáním - definice</w:t>
      </w:r>
      <w:proofErr w:type="gramEnd"/>
      <w:r>
        <w:t xml:space="preserve"> v ČI. 15 UCZ/</w:t>
      </w:r>
      <w:proofErr w:type="spellStart"/>
      <w:r>
        <w:t>Odc</w:t>
      </w:r>
      <w:proofErr w:type="spellEnd"/>
      <w:r>
        <w:t xml:space="preserve">/14), </w:t>
      </w:r>
      <w:r>
        <w:rPr>
          <w:b/>
          <w:bCs/>
          <w:sz w:val="18"/>
          <w:szCs w:val="18"/>
        </w:rPr>
        <w:t xml:space="preserve">zpronevěra </w:t>
      </w:r>
      <w:r>
        <w:t xml:space="preserve">(tj. čin, kterým si pachatel přisvojí nebo poškodí věc, která mu byla svěřena do péče anebo správy), </w:t>
      </w:r>
      <w:r>
        <w:rPr>
          <w:b/>
          <w:bCs/>
          <w:sz w:val="18"/>
          <w:szCs w:val="18"/>
        </w:rPr>
        <w:t>nevysvětlitelná ztráta, hrubá nedbalost, pohřešování, vydírání.</w:t>
      </w:r>
    </w:p>
    <w:p w:rsidR="008F05AE" w:rsidRDefault="00000000">
      <w:pPr>
        <w:pStyle w:val="Style20"/>
        <w:numPr>
          <w:ilvl w:val="0"/>
          <w:numId w:val="2"/>
        </w:numPr>
        <w:shd w:val="clear" w:color="auto" w:fill="auto"/>
        <w:tabs>
          <w:tab w:val="left" w:pos="302"/>
        </w:tabs>
        <w:spacing w:after="200" w:line="262" w:lineRule="auto"/>
        <w:ind w:left="260" w:hanging="260"/>
      </w:pPr>
      <w:r>
        <w:t>Podmínky pojistitele pro převzetí pojistné ochrany pro případ odcizeni předmětů umělecké sběratelské hodnoty v době pobytu v místě výstavy jsou uvedeny v Příloze č. 3 této pojistné smlouvy.</w:t>
      </w:r>
    </w:p>
    <w:p w:rsidR="008F05AE" w:rsidRDefault="00000000">
      <w:pPr>
        <w:pStyle w:val="Style20"/>
        <w:numPr>
          <w:ilvl w:val="0"/>
          <w:numId w:val="2"/>
        </w:numPr>
        <w:shd w:val="clear" w:color="auto" w:fill="auto"/>
        <w:tabs>
          <w:tab w:val="left" w:pos="302"/>
        </w:tabs>
        <w:spacing w:after="200"/>
        <w:ind w:left="260" w:hanging="260"/>
      </w:pPr>
      <w:r>
        <w:t>Ujednává se, že díla jsou při přebírání a předávání zpět podrobena fyzické kontro</w:t>
      </w:r>
      <w:r w:rsidR="003A0414">
        <w:t>l</w:t>
      </w:r>
      <w:r>
        <w:t>e a jejich stav je zaznamenán do protokolu o stavu díla.</w:t>
      </w:r>
    </w:p>
    <w:p w:rsidR="008F05AE" w:rsidRDefault="00000000">
      <w:pPr>
        <w:pStyle w:val="Style17"/>
        <w:keepNext/>
        <w:keepLines/>
        <w:shd w:val="clear" w:color="auto" w:fill="auto"/>
        <w:spacing w:after="0"/>
      </w:pPr>
      <w:bookmarkStart w:id="10" w:name="bookmark15"/>
      <w:r>
        <w:rPr>
          <w:u w:val="none"/>
        </w:rPr>
        <w:t xml:space="preserve">Článek </w:t>
      </w:r>
      <w:r>
        <w:rPr>
          <w:u w:val="none"/>
          <w:lang w:val="en-US" w:eastAsia="en-US" w:bidi="en-US"/>
        </w:rPr>
        <w:t>III</w:t>
      </w:r>
      <w:bookmarkEnd w:id="10"/>
    </w:p>
    <w:p w:rsidR="008F05AE" w:rsidRDefault="00000000">
      <w:pPr>
        <w:pStyle w:val="Style17"/>
        <w:keepNext/>
        <w:keepLines/>
        <w:shd w:val="clear" w:color="auto" w:fill="auto"/>
        <w:spacing w:after="200"/>
      </w:pPr>
      <w:bookmarkStart w:id="11" w:name="bookmark13"/>
      <w:bookmarkStart w:id="12" w:name="bookmark14"/>
      <w:bookmarkStart w:id="13" w:name="bookmark16"/>
      <w:r>
        <w:t>Pojistná hodnota, pojistná částka, limit plnění, spoluúčast, pojistné</w:t>
      </w:r>
      <w:bookmarkEnd w:id="11"/>
      <w:bookmarkEnd w:id="12"/>
      <w:bookmarkEnd w:id="13"/>
    </w:p>
    <w:p w:rsidR="008F05AE" w:rsidRDefault="00000000">
      <w:pPr>
        <w:pStyle w:val="Style20"/>
        <w:numPr>
          <w:ilvl w:val="0"/>
          <w:numId w:val="4"/>
        </w:numPr>
        <w:shd w:val="clear" w:color="auto" w:fill="auto"/>
        <w:tabs>
          <w:tab w:val="left" w:pos="302"/>
        </w:tabs>
        <w:spacing w:after="0" w:line="254" w:lineRule="auto"/>
        <w:ind w:firstLine="0"/>
      </w:pPr>
      <w:r>
        <w:t xml:space="preserve">Pojistná hodnota </w:t>
      </w:r>
      <w:r w:rsidR="003A0414">
        <w:t>/</w:t>
      </w:r>
      <w:r>
        <w:t xml:space="preserve"> Pojistná částka</w:t>
      </w:r>
    </w:p>
    <w:p w:rsidR="008F05AE" w:rsidRDefault="00000000">
      <w:pPr>
        <w:pStyle w:val="Style20"/>
        <w:shd w:val="clear" w:color="auto" w:fill="auto"/>
        <w:spacing w:after="0" w:line="254" w:lineRule="auto"/>
        <w:ind w:left="300"/>
      </w:pPr>
      <w:r>
        <w:t>Pojištění se sjednává na pojistnou hodnotu předmětu pojištěni v souladu s Přílohou č.1. Určená pojistná hodnota je horní hranicí plnění pojistitele pro plnění ze všech pojistných událostí nastalých v průběhu doby trvání pojištění.</w:t>
      </w:r>
    </w:p>
    <w:p w:rsidR="008F05AE" w:rsidRDefault="00000000">
      <w:pPr>
        <w:pStyle w:val="Style20"/>
        <w:shd w:val="clear" w:color="auto" w:fill="auto"/>
        <w:tabs>
          <w:tab w:val="left" w:pos="7207"/>
        </w:tabs>
        <w:spacing w:after="0" w:line="254" w:lineRule="auto"/>
        <w:ind w:firstLine="300"/>
      </w:pPr>
      <w:r>
        <w:t>Celková pojistná hodnota / pojistná částka předmětů pojištění činí</w:t>
      </w:r>
      <w:r>
        <w:tab/>
        <w:t>Určená pojistná hodnota</w:t>
      </w:r>
    </w:p>
    <w:p w:rsidR="008F05AE" w:rsidRDefault="00000000">
      <w:pPr>
        <w:pStyle w:val="Style20"/>
        <w:shd w:val="clear" w:color="auto" w:fill="auto"/>
        <w:spacing w:after="200" w:line="254" w:lineRule="auto"/>
        <w:ind w:left="300"/>
      </w:pPr>
      <w:r>
        <w:t>je horní hranicí plnění pojistitele pro plněni ze všech pojistných událostí nastalých v průběhu doby trvání pojištění za všechny předměty pojištěni celkem.</w:t>
      </w:r>
    </w:p>
    <w:p w:rsidR="008F05AE" w:rsidRDefault="00000000">
      <w:pPr>
        <w:pStyle w:val="Style20"/>
        <w:numPr>
          <w:ilvl w:val="0"/>
          <w:numId w:val="4"/>
        </w:numPr>
        <w:shd w:val="clear" w:color="auto" w:fill="auto"/>
        <w:tabs>
          <w:tab w:val="left" w:pos="302"/>
        </w:tabs>
        <w:spacing w:after="1800" w:line="262" w:lineRule="auto"/>
        <w:ind w:firstLine="0"/>
      </w:pPr>
      <w:r>
        <w:t>Pojištěni se sjednává se spoluúčastí ve výši</w:t>
      </w:r>
    </w:p>
    <w:p w:rsidR="008F05AE" w:rsidRDefault="00000000">
      <w:pPr>
        <w:pStyle w:val="Style20"/>
        <w:numPr>
          <w:ilvl w:val="0"/>
          <w:numId w:val="4"/>
        </w:numPr>
        <w:shd w:val="clear" w:color="auto" w:fill="auto"/>
        <w:tabs>
          <w:tab w:val="left" w:pos="330"/>
        </w:tabs>
        <w:spacing w:before="260" w:after="100" w:line="262" w:lineRule="auto"/>
        <w:ind w:firstLine="0"/>
      </w:pPr>
      <w:r>
        <w:lastRenderedPageBreak/>
        <w:t>Pojistné;</w:t>
      </w:r>
    </w:p>
    <w:p w:rsidR="008F05AE" w:rsidRDefault="00000000">
      <w:pPr>
        <w:pStyle w:val="Style20"/>
        <w:shd w:val="clear" w:color="auto" w:fill="auto"/>
        <w:tabs>
          <w:tab w:val="left" w:pos="6278"/>
        </w:tabs>
        <w:spacing w:after="0" w:line="252" w:lineRule="auto"/>
        <w:ind w:firstLine="0"/>
      </w:pPr>
      <w:r>
        <w:t>Jednorázové pojistné za dobu pojištění činí ce</w:t>
      </w:r>
      <w:r w:rsidR="003A0414">
        <w:t>l</w:t>
      </w:r>
      <w:r>
        <w:t xml:space="preserve">kem </w:t>
      </w:r>
      <w:proofErr w:type="gramStart"/>
      <w:r>
        <w:rPr>
          <w:b/>
          <w:bCs/>
          <w:sz w:val="18"/>
          <w:szCs w:val="18"/>
        </w:rPr>
        <w:t>212.800,-</w:t>
      </w:r>
      <w:proofErr w:type="gramEnd"/>
      <w:r>
        <w:rPr>
          <w:b/>
          <w:bCs/>
          <w:sz w:val="18"/>
          <w:szCs w:val="18"/>
        </w:rPr>
        <w:t xml:space="preserve"> Kč </w:t>
      </w:r>
      <w:r>
        <w:t>a je splatné s 45 denn</w:t>
      </w:r>
      <w:r w:rsidR="003A0414">
        <w:t>í</w:t>
      </w:r>
      <w:r>
        <w:t xml:space="preserve"> splatností od data počátku pojištění na účet pojistitele:</w:t>
      </w:r>
      <w:r>
        <w:tab/>
        <w:t>.</w:t>
      </w:r>
    </w:p>
    <w:p w:rsidR="008F05AE" w:rsidRDefault="00000000">
      <w:pPr>
        <w:pStyle w:val="Style20"/>
        <w:shd w:val="clear" w:color="auto" w:fill="auto"/>
        <w:ind w:firstLine="0"/>
      </w:pPr>
      <w:r>
        <w:t>Takto stanovené pojistné je úplatou za poskytnutou pojistnou ochranu pojištěných věcí po dobu trvání pojištění.</w:t>
      </w:r>
    </w:p>
    <w:p w:rsidR="008F05AE" w:rsidRDefault="00000000">
      <w:pPr>
        <w:pStyle w:val="Style17"/>
        <w:keepNext/>
        <w:keepLines/>
        <w:shd w:val="clear" w:color="auto" w:fill="auto"/>
        <w:spacing w:after="0"/>
      </w:pPr>
      <w:bookmarkStart w:id="14" w:name="bookmark19"/>
      <w:r>
        <w:rPr>
          <w:u w:val="none"/>
        </w:rPr>
        <w:t>Článek IV</w:t>
      </w:r>
      <w:bookmarkEnd w:id="14"/>
    </w:p>
    <w:p w:rsidR="008F05AE" w:rsidRDefault="00000000">
      <w:pPr>
        <w:pStyle w:val="Style17"/>
        <w:keepNext/>
        <w:keepLines/>
        <w:shd w:val="clear" w:color="auto" w:fill="auto"/>
        <w:spacing w:after="180" w:line="221" w:lineRule="auto"/>
      </w:pPr>
      <w:bookmarkStart w:id="15" w:name="bookmark17"/>
      <w:bookmarkStart w:id="16" w:name="bookmark18"/>
      <w:bookmarkStart w:id="17" w:name="bookmark20"/>
      <w:r>
        <w:t>Doba trvání pojištění</w:t>
      </w:r>
      <w:bookmarkEnd w:id="15"/>
      <w:bookmarkEnd w:id="16"/>
      <w:bookmarkEnd w:id="17"/>
    </w:p>
    <w:p w:rsidR="008F05AE" w:rsidRDefault="00000000">
      <w:pPr>
        <w:pStyle w:val="Style20"/>
        <w:shd w:val="clear" w:color="auto" w:fill="auto"/>
        <w:spacing w:after="0" w:line="262" w:lineRule="auto"/>
        <w:ind w:firstLine="0"/>
      </w:pPr>
      <w:r>
        <w:t>Počátek pojištění:</w:t>
      </w:r>
    </w:p>
    <w:p w:rsidR="008F05AE" w:rsidRDefault="00000000">
      <w:pPr>
        <w:pStyle w:val="Style20"/>
        <w:shd w:val="clear" w:color="auto" w:fill="auto"/>
        <w:spacing w:line="262" w:lineRule="auto"/>
        <w:ind w:firstLine="0"/>
      </w:pPr>
      <w:r>
        <w:t>Konec pojištěni:</w:t>
      </w:r>
    </w:p>
    <w:p w:rsidR="008F05AE" w:rsidRDefault="00000000">
      <w:pPr>
        <w:pStyle w:val="Style17"/>
        <w:keepNext/>
        <w:keepLines/>
        <w:shd w:val="clear" w:color="auto" w:fill="auto"/>
        <w:spacing w:after="0"/>
      </w:pPr>
      <w:bookmarkStart w:id="18" w:name="bookmark23"/>
      <w:r>
        <w:rPr>
          <w:u w:val="none"/>
        </w:rPr>
        <w:t>Článek V</w:t>
      </w:r>
      <w:bookmarkEnd w:id="18"/>
    </w:p>
    <w:p w:rsidR="008F05AE" w:rsidRDefault="00000000">
      <w:pPr>
        <w:pStyle w:val="Style17"/>
        <w:keepNext/>
        <w:keepLines/>
        <w:shd w:val="clear" w:color="auto" w:fill="auto"/>
        <w:spacing w:after="180"/>
      </w:pPr>
      <w:bookmarkStart w:id="19" w:name="bookmark21"/>
      <w:bookmarkStart w:id="20" w:name="bookmark22"/>
      <w:bookmarkStart w:id="21" w:name="bookmark24"/>
      <w:r>
        <w:t>Makléřská doložka</w:t>
      </w:r>
      <w:bookmarkEnd w:id="19"/>
      <w:bookmarkEnd w:id="20"/>
      <w:bookmarkEnd w:id="21"/>
    </w:p>
    <w:p w:rsidR="008F05AE" w:rsidRDefault="00000000">
      <w:pPr>
        <w:pStyle w:val="Style20"/>
        <w:shd w:val="clear" w:color="auto" w:fill="auto"/>
        <w:spacing w:line="240" w:lineRule="auto"/>
        <w:ind w:firstLine="0"/>
      </w:pPr>
      <w:r>
        <w:t>Správu pojištěn</w:t>
      </w:r>
      <w:r w:rsidR="003A0414">
        <w:t>í</w:t>
      </w:r>
      <w:r>
        <w:t xml:space="preserve"> v průběhu pojistného období bude provádět zplnomocněná pojišťovací makléřská společnost MAJÁK, s.r.o., ICO: 61855383, registrační č. ČNB 031979PM, se sídlem Václavské náměstí 21, 110 00 Praha 1.</w:t>
      </w:r>
    </w:p>
    <w:p w:rsidR="008F05AE" w:rsidRDefault="00000000">
      <w:pPr>
        <w:pStyle w:val="Style17"/>
        <w:keepNext/>
        <w:keepLines/>
        <w:shd w:val="clear" w:color="auto" w:fill="auto"/>
        <w:spacing w:after="0"/>
      </w:pPr>
      <w:bookmarkStart w:id="22" w:name="bookmark27"/>
      <w:r>
        <w:rPr>
          <w:u w:val="none"/>
        </w:rPr>
        <w:t>Článek VI</w:t>
      </w:r>
      <w:bookmarkEnd w:id="22"/>
    </w:p>
    <w:p w:rsidR="008F05AE" w:rsidRDefault="00000000">
      <w:pPr>
        <w:pStyle w:val="Style17"/>
        <w:keepNext/>
        <w:keepLines/>
        <w:shd w:val="clear" w:color="auto" w:fill="auto"/>
        <w:spacing w:after="180" w:line="216" w:lineRule="auto"/>
      </w:pPr>
      <w:bookmarkStart w:id="23" w:name="bookmark25"/>
      <w:bookmarkStart w:id="24" w:name="bookmark26"/>
      <w:bookmarkStart w:id="25" w:name="bookmark28"/>
      <w:r>
        <w:t>Ujednání pro případ vzniku škodné události</w:t>
      </w:r>
      <w:bookmarkEnd w:id="23"/>
      <w:bookmarkEnd w:id="24"/>
      <w:bookmarkEnd w:id="25"/>
    </w:p>
    <w:p w:rsidR="008F05AE" w:rsidRDefault="00000000">
      <w:pPr>
        <w:pStyle w:val="Style20"/>
        <w:numPr>
          <w:ilvl w:val="0"/>
          <w:numId w:val="5"/>
        </w:numPr>
        <w:shd w:val="clear" w:color="auto" w:fill="auto"/>
        <w:tabs>
          <w:tab w:val="left" w:pos="330"/>
        </w:tabs>
        <w:spacing w:after="0" w:line="266" w:lineRule="auto"/>
        <w:ind w:firstLine="0"/>
      </w:pPr>
      <w:r>
        <w:t>Po</w:t>
      </w:r>
      <w:r w:rsidR="003A0414">
        <w:t>ji</w:t>
      </w:r>
      <w:r>
        <w:t>štěn</w:t>
      </w:r>
      <w:r w:rsidR="003A0414">
        <w:t>ý</w:t>
      </w:r>
      <w:r>
        <w:t xml:space="preserve">. Případně zplnomocněný zástupce, telefonicky nahlásí na </w:t>
      </w:r>
      <w:r>
        <w:rPr>
          <w:lang w:val="en-US" w:eastAsia="en-US" w:bidi="en-US"/>
        </w:rPr>
        <w:t xml:space="preserve">Call </w:t>
      </w:r>
      <w:r>
        <w:t>centrum UNIQA pojišťovny a.s. (</w:t>
      </w:r>
      <w:proofErr w:type="spellStart"/>
      <w:r>
        <w:t>tel.č</w:t>
      </w:r>
      <w:proofErr w:type="spellEnd"/>
      <w:r>
        <w:t>.:</w:t>
      </w:r>
    </w:p>
    <w:p w:rsidR="008F05AE" w:rsidRDefault="00000000">
      <w:pPr>
        <w:pStyle w:val="Style20"/>
        <w:shd w:val="clear" w:color="auto" w:fill="auto"/>
        <w:spacing w:after="100" w:line="266" w:lineRule="auto"/>
        <w:ind w:left="320" w:firstLine="1060"/>
      </w:pPr>
      <w:r>
        <w:t>) vznik škodné události, kde bude tato událost registrována a sděleno registrační číslo události). Případně tak lze učinit písemně emailem: I</w:t>
      </w:r>
    </w:p>
    <w:p w:rsidR="008F05AE" w:rsidRDefault="00000000">
      <w:pPr>
        <w:pStyle w:val="Style20"/>
        <w:numPr>
          <w:ilvl w:val="0"/>
          <w:numId w:val="5"/>
        </w:numPr>
        <w:shd w:val="clear" w:color="auto" w:fill="auto"/>
        <w:tabs>
          <w:tab w:val="left" w:pos="330"/>
        </w:tabs>
        <w:spacing w:after="100" w:line="262" w:lineRule="auto"/>
        <w:ind w:firstLine="0"/>
      </w:pPr>
      <w:r>
        <w:t>Příslušnému pracovníkovi linky je třeba sdělit následující:</w:t>
      </w:r>
    </w:p>
    <w:p w:rsidR="008F05AE" w:rsidRDefault="00000000">
      <w:pPr>
        <w:pStyle w:val="Style20"/>
        <w:shd w:val="clear" w:color="auto" w:fill="auto"/>
        <w:spacing w:after="0"/>
        <w:ind w:left="660" w:hanging="300"/>
      </w:pPr>
      <w:r>
        <w:t>v jméno, adresu, číslo pojistné smlouvy, kontaktní spojení vč. emailové adresy, stručně jak a kdy k PU došlo, pravděpodobnou výši škody,</w:t>
      </w:r>
    </w:p>
    <w:p w:rsidR="008F05AE" w:rsidRDefault="00000000">
      <w:pPr>
        <w:pStyle w:val="Style20"/>
        <w:shd w:val="clear" w:color="auto" w:fill="auto"/>
        <w:ind w:left="660" w:firstLine="20"/>
      </w:pPr>
      <w:r>
        <w:t>adresu, místo, kde se poškozené předměty pojištěni nacházejí, kontaktní osobu pro zajištění prohlídky a posouzení rozsahu takto vzniklé škody (nutné k přizvání technika, případné soudního znalce).</w:t>
      </w:r>
    </w:p>
    <w:p w:rsidR="008F05AE" w:rsidRDefault="00000000">
      <w:pPr>
        <w:pStyle w:val="Style17"/>
        <w:keepNext/>
        <w:keepLines/>
        <w:shd w:val="clear" w:color="auto" w:fill="auto"/>
        <w:spacing w:after="0"/>
      </w:pPr>
      <w:bookmarkStart w:id="26" w:name="bookmark31"/>
      <w:r>
        <w:rPr>
          <w:u w:val="none"/>
        </w:rPr>
        <w:t>Článek VII</w:t>
      </w:r>
      <w:bookmarkEnd w:id="26"/>
    </w:p>
    <w:p w:rsidR="008F05AE" w:rsidRDefault="00000000">
      <w:pPr>
        <w:pStyle w:val="Style17"/>
        <w:keepNext/>
        <w:keepLines/>
        <w:shd w:val="clear" w:color="auto" w:fill="auto"/>
        <w:spacing w:after="180" w:line="216" w:lineRule="auto"/>
      </w:pPr>
      <w:bookmarkStart w:id="27" w:name="bookmark29"/>
      <w:bookmarkStart w:id="28" w:name="bookmark30"/>
      <w:bookmarkStart w:id="29" w:name="bookmark32"/>
      <w:r>
        <w:t>Závěrečná ustanovení a ujednání</w:t>
      </w:r>
      <w:bookmarkEnd w:id="27"/>
      <w:bookmarkEnd w:id="28"/>
      <w:bookmarkEnd w:id="29"/>
    </w:p>
    <w:p w:rsidR="008F05AE" w:rsidRDefault="00000000">
      <w:pPr>
        <w:pStyle w:val="Style20"/>
        <w:numPr>
          <w:ilvl w:val="0"/>
          <w:numId w:val="6"/>
        </w:numPr>
        <w:shd w:val="clear" w:color="auto" w:fill="auto"/>
        <w:tabs>
          <w:tab w:val="left" w:pos="330"/>
        </w:tabs>
        <w:spacing w:line="240" w:lineRule="auto"/>
        <w:ind w:left="320" w:hanging="320"/>
      </w:pPr>
      <w:r>
        <w:t xml:space="preserve">Tato pojistná smlouva obsahuje 5 stran textu a 4 přílohy a je vystavena ve třech vyhotoveních, z nichž vždy po jednom </w:t>
      </w:r>
      <w:proofErr w:type="gramStart"/>
      <w:r>
        <w:t>obdrží</w:t>
      </w:r>
      <w:proofErr w:type="gramEnd"/>
      <w:r>
        <w:t xml:space="preserve"> pojistník, pojištěný a pojistitel.</w:t>
      </w:r>
    </w:p>
    <w:p w:rsidR="008F05AE" w:rsidRDefault="00000000">
      <w:pPr>
        <w:pStyle w:val="Style20"/>
        <w:numPr>
          <w:ilvl w:val="0"/>
          <w:numId w:val="6"/>
        </w:numPr>
        <w:shd w:val="clear" w:color="auto" w:fill="auto"/>
        <w:tabs>
          <w:tab w:val="left" w:pos="330"/>
        </w:tabs>
        <w:spacing w:line="262" w:lineRule="auto"/>
        <w:ind w:firstLine="0"/>
      </w:pPr>
      <w:r>
        <w:t>Přílohy pojistné smlouvy:</w:t>
      </w:r>
    </w:p>
    <w:p w:rsidR="008F05AE" w:rsidRDefault="00000000">
      <w:pPr>
        <w:pStyle w:val="Style20"/>
        <w:shd w:val="clear" w:color="auto" w:fill="auto"/>
        <w:spacing w:line="262" w:lineRule="auto"/>
        <w:ind w:firstLine="0"/>
      </w:pPr>
      <w:r>
        <w:t>Příloha č. 1 - Seznam pojištěných exponátů</w:t>
      </w:r>
    </w:p>
    <w:p w:rsidR="008F05AE" w:rsidRDefault="00000000">
      <w:pPr>
        <w:pStyle w:val="Style20"/>
        <w:shd w:val="clear" w:color="auto" w:fill="auto"/>
        <w:spacing w:after="0" w:line="269" w:lineRule="auto"/>
        <w:ind w:firstLine="0"/>
      </w:pPr>
      <w:r>
        <w:t>Příloha č. 2 - Pojistné podmínky</w:t>
      </w:r>
    </w:p>
    <w:p w:rsidR="008F05AE" w:rsidRDefault="003A0414">
      <w:pPr>
        <w:pStyle w:val="Style20"/>
        <w:shd w:val="clear" w:color="auto" w:fill="auto"/>
        <w:spacing w:after="0" w:line="269" w:lineRule="auto"/>
        <w:ind w:firstLine="980"/>
      </w:pPr>
      <w:r>
        <w:t>-</w:t>
      </w:r>
      <w:r w:rsidR="00000000">
        <w:t xml:space="preserve"> Všeobecné pojistné </w:t>
      </w:r>
      <w:proofErr w:type="gramStart"/>
      <w:r w:rsidR="00000000">
        <w:t>podmínky - obecná</w:t>
      </w:r>
      <w:proofErr w:type="gramEnd"/>
      <w:r w:rsidR="00000000">
        <w:t xml:space="preserve"> část („UCZ/14‘')</w:t>
      </w:r>
    </w:p>
    <w:p w:rsidR="008F05AE" w:rsidRDefault="003A0414" w:rsidP="003A0414">
      <w:pPr>
        <w:pStyle w:val="Style20"/>
        <w:shd w:val="clear" w:color="auto" w:fill="auto"/>
        <w:tabs>
          <w:tab w:val="left" w:pos="1320"/>
        </w:tabs>
        <w:spacing w:after="0" w:line="269" w:lineRule="auto"/>
        <w:ind w:firstLine="993"/>
      </w:pPr>
      <w:r>
        <w:t xml:space="preserve">- </w:t>
      </w:r>
      <w:r w:rsidR="00000000">
        <w:t xml:space="preserve">Všeobecné pojistné podmínky </w:t>
      </w:r>
      <w:r w:rsidR="00000000">
        <w:rPr>
          <w:i/>
          <w:iCs/>
        </w:rPr>
        <w:t>pro</w:t>
      </w:r>
      <w:r w:rsidR="00000000">
        <w:t xml:space="preserve"> pojištěni předmětů umělecké a/nebo sběratelské hodnoty {„UC2/Um/14“)</w:t>
      </w:r>
    </w:p>
    <w:p w:rsidR="008F05AE" w:rsidRDefault="003A0414">
      <w:pPr>
        <w:pStyle w:val="Style20"/>
        <w:shd w:val="clear" w:color="auto" w:fill="auto"/>
        <w:spacing w:after="0" w:line="269" w:lineRule="auto"/>
        <w:ind w:left="1300" w:hanging="300"/>
      </w:pPr>
      <w:r>
        <w:t xml:space="preserve">- </w:t>
      </w:r>
      <w:r w:rsidR="00000000">
        <w:t xml:space="preserve">Všeobecné pojistné podmínky pojištění majetku pro případ </w:t>
      </w:r>
      <w:proofErr w:type="gramStart"/>
      <w:r w:rsidR="00000000">
        <w:t>odcizení - zvláštní</w:t>
      </w:r>
      <w:proofErr w:type="gramEnd"/>
      <w:r w:rsidR="00000000">
        <w:t xml:space="preserve"> část (dále jen „UCZ/</w:t>
      </w:r>
      <w:proofErr w:type="spellStart"/>
      <w:r w:rsidR="00000000">
        <w:t>Odc</w:t>
      </w:r>
      <w:proofErr w:type="spellEnd"/>
      <w:r w:rsidR="00000000">
        <w:t>/14“)</w:t>
      </w:r>
    </w:p>
    <w:p w:rsidR="008F05AE" w:rsidRDefault="003A0414" w:rsidP="003A0414">
      <w:pPr>
        <w:pStyle w:val="Style20"/>
        <w:shd w:val="clear" w:color="auto" w:fill="auto"/>
        <w:tabs>
          <w:tab w:val="left" w:pos="1307"/>
        </w:tabs>
        <w:spacing w:after="0" w:line="269" w:lineRule="auto"/>
        <w:ind w:left="980" w:firstLine="13"/>
      </w:pPr>
      <w:r>
        <w:t xml:space="preserve">- </w:t>
      </w:r>
      <w:r w:rsidR="00000000">
        <w:t>Doplňkové pojistné podmínky k pojištění majetku pro případ odcizení LIM/14</w:t>
      </w:r>
    </w:p>
    <w:p w:rsidR="008F05AE" w:rsidRDefault="00000000">
      <w:pPr>
        <w:pStyle w:val="Style20"/>
        <w:shd w:val="clear" w:color="auto" w:fill="auto"/>
        <w:spacing w:line="269" w:lineRule="auto"/>
        <w:ind w:left="1300" w:firstLine="0"/>
      </w:pPr>
      <w:r>
        <w:t xml:space="preserve">Všeobecné podmínky pro pojištění přepravy zásilek (dále jen „UCZ/T/14“) - zvláštní část (dále </w:t>
      </w:r>
      <w:proofErr w:type="gramStart"/>
      <w:r>
        <w:t>jen ,</w:t>
      </w:r>
      <w:proofErr w:type="spellStart"/>
      <w:r>
        <w:t>UCZn</w:t>
      </w:r>
      <w:proofErr w:type="spellEnd"/>
      <w:proofErr w:type="gramEnd"/>
      <w:r>
        <w:t>’/14“)</w:t>
      </w:r>
    </w:p>
    <w:p w:rsidR="008F05AE" w:rsidRDefault="00000000">
      <w:pPr>
        <w:pStyle w:val="Style20"/>
        <w:shd w:val="clear" w:color="auto" w:fill="auto"/>
        <w:spacing w:line="262" w:lineRule="auto"/>
        <w:ind w:firstLine="0"/>
      </w:pPr>
      <w:r>
        <w:t>Příloha č. 3 - Požadavky na způsob zabezpečení</w:t>
      </w:r>
    </w:p>
    <w:p w:rsidR="008F05AE" w:rsidRDefault="00000000">
      <w:pPr>
        <w:pStyle w:val="Style20"/>
        <w:shd w:val="clear" w:color="auto" w:fill="auto"/>
        <w:spacing w:line="262" w:lineRule="auto"/>
        <w:ind w:firstLine="0"/>
      </w:pPr>
      <w:r>
        <w:t>Příloha č. 4 - Informace o zpracování osobních údajů</w:t>
      </w:r>
    </w:p>
    <w:p w:rsidR="008F05AE" w:rsidRDefault="00000000">
      <w:pPr>
        <w:pStyle w:val="Style20"/>
        <w:shd w:val="clear" w:color="auto" w:fill="auto"/>
        <w:spacing w:after="0" w:line="214" w:lineRule="auto"/>
        <w:ind w:firstLine="240"/>
      </w:pPr>
      <w:r>
        <w:rPr>
          <w:b/>
          <w:bCs/>
        </w:rPr>
        <w:lastRenderedPageBreak/>
        <w:t>Dále se ujednává, že se na pojištění vztahuje sankční doložka, jejíž znění je uvedeno níže.</w:t>
      </w:r>
    </w:p>
    <w:p w:rsidR="008F05AE" w:rsidRDefault="00000000">
      <w:pPr>
        <w:pStyle w:val="Style29"/>
        <w:shd w:val="clear" w:color="auto" w:fill="auto"/>
      </w:pPr>
      <w:r>
        <w:t>sankční doložka</w:t>
      </w:r>
    </w:p>
    <w:p w:rsidR="008F05AE" w:rsidRDefault="00000000">
      <w:pPr>
        <w:pStyle w:val="Style20"/>
        <w:shd w:val="clear" w:color="auto" w:fill="auto"/>
        <w:spacing w:after="380" w:line="233" w:lineRule="auto"/>
        <w:ind w:left="240"/>
      </w:pPr>
      <w:r>
        <w:t>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americkými nebo jinými zeměmi, není-li to v rozporu s právními předpisy Evropské unie nebo vnitrostátními právními předpisy.</w:t>
      </w:r>
    </w:p>
    <w:p w:rsidR="008F05AE" w:rsidRDefault="00000000">
      <w:pPr>
        <w:pStyle w:val="Style20"/>
        <w:shd w:val="clear" w:color="auto" w:fill="auto"/>
        <w:spacing w:line="240" w:lineRule="auto"/>
        <w:ind w:firstLine="240"/>
      </w:pPr>
      <w:r>
        <w:t>Za UNIQA pojišťovnu, a.s.</w:t>
      </w:r>
    </w:p>
    <w:p w:rsidR="008F05AE" w:rsidRDefault="00000000">
      <w:pPr>
        <w:pStyle w:val="Style20"/>
        <w:shd w:val="clear" w:color="auto" w:fill="auto"/>
        <w:spacing w:after="780" w:line="240" w:lineRule="auto"/>
        <w:ind w:firstLine="240"/>
      </w:pPr>
      <w:r>
        <w:t>V Praze, dne 11.09.2023</w:t>
      </w:r>
    </w:p>
    <w:p w:rsidR="008F05AE" w:rsidRDefault="00000000">
      <w:pPr>
        <w:pStyle w:val="Style20"/>
        <w:shd w:val="clear" w:color="auto" w:fill="auto"/>
        <w:tabs>
          <w:tab w:val="left" w:pos="5070"/>
        </w:tabs>
        <w:spacing w:after="0" w:line="240" w:lineRule="auto"/>
        <w:ind w:firstLine="980"/>
      </w:pPr>
      <w:r>
        <w:rPr>
          <w:b/>
          <w:bCs/>
        </w:rPr>
        <w:t xml:space="preserve">Renáta </w:t>
      </w:r>
      <w:proofErr w:type="spellStart"/>
      <w:r>
        <w:rPr>
          <w:b/>
          <w:bCs/>
        </w:rPr>
        <w:t>Klesnilová</w:t>
      </w:r>
      <w:proofErr w:type="spellEnd"/>
      <w:r>
        <w:rPr>
          <w:b/>
          <w:bCs/>
        </w:rPr>
        <w:tab/>
        <w:t>Ing. Martina Plíhalová Vršecká</w:t>
      </w:r>
    </w:p>
    <w:p w:rsidR="008F05AE" w:rsidRDefault="00000000">
      <w:pPr>
        <w:pStyle w:val="Style20"/>
        <w:shd w:val="clear" w:color="auto" w:fill="auto"/>
        <w:tabs>
          <w:tab w:val="left" w:pos="4105"/>
        </w:tabs>
        <w:spacing w:after="0" w:line="240" w:lineRule="auto"/>
        <w:ind w:firstLine="980"/>
      </w:pPr>
      <w:r>
        <w:t>oddělení mezinárodních rizik</w:t>
      </w:r>
      <w:r>
        <w:tab/>
        <w:t>manažer pojištění mezinárodních rizik</w:t>
      </w:r>
    </w:p>
    <w:p w:rsidR="008F05AE" w:rsidRDefault="00000000">
      <w:pPr>
        <w:pStyle w:val="Style20"/>
        <w:shd w:val="clear" w:color="auto" w:fill="auto"/>
        <w:spacing w:after="380" w:line="240" w:lineRule="auto"/>
        <w:ind w:firstLine="980"/>
      </w:pPr>
      <w:r>
        <w:t>a fakultativního zajištění ČR &amp; SR a fakultativního zajištění ČR &amp; SR</w:t>
      </w:r>
    </w:p>
    <w:p w:rsidR="008F05AE" w:rsidRDefault="00000000">
      <w:pPr>
        <w:pStyle w:val="Style20"/>
        <w:shd w:val="clear" w:color="auto" w:fill="auto"/>
        <w:spacing w:after="0" w:line="240" w:lineRule="auto"/>
        <w:ind w:left="240"/>
      </w:pPr>
      <w:r>
        <w:t xml:space="preserve">Potvrzuji, že jsem převzal a souhlasím s níže uvedenými všeobecnými pojistnými podmínkami a doplňkovými pojistnými podmínkami, která </w:t>
      </w:r>
      <w:proofErr w:type="gramStart"/>
      <w:r>
        <w:t>tvoří</w:t>
      </w:r>
      <w:proofErr w:type="gramEnd"/>
      <w:r>
        <w:t xml:space="preserve"> nedílnou součást této pojistné smlouvy:</w:t>
      </w:r>
    </w:p>
    <w:p w:rsidR="008F05AE" w:rsidRDefault="00000000">
      <w:pPr>
        <w:pStyle w:val="Style20"/>
        <w:shd w:val="clear" w:color="auto" w:fill="auto"/>
        <w:spacing w:after="380" w:line="216" w:lineRule="auto"/>
        <w:ind w:firstLine="240"/>
      </w:pPr>
      <w:r>
        <w:t>UÓZ/14 UCZ/Um/14 UCZ/</w:t>
      </w:r>
      <w:proofErr w:type="spellStart"/>
      <w:r>
        <w:t>Odc</w:t>
      </w:r>
      <w:proofErr w:type="spellEnd"/>
      <w:r>
        <w:t>/14 LIM/14 UCZ/T/14 Požadavky na způsob zabezpečeni</w:t>
      </w:r>
    </w:p>
    <w:p w:rsidR="008F05AE" w:rsidRDefault="00000000">
      <w:pPr>
        <w:pStyle w:val="Style20"/>
        <w:shd w:val="clear" w:color="auto" w:fill="auto"/>
        <w:spacing w:line="240" w:lineRule="auto"/>
        <w:ind w:left="240"/>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uzavřeni pojištění odpovídá mému pojistnému zájmu, mým pojistným potřebám a požadavkům, že všechny mé dotazy, které jsem položil pojistiteli nebo jím pověřenému zástupci, byly náležitě zodpovězeny a že s rozsahem a podmínkami pojištěni jsem srozuměn/a.</w:t>
      </w:r>
    </w:p>
    <w:p w:rsidR="008F05AE" w:rsidRDefault="00000000">
      <w:pPr>
        <w:pStyle w:val="Style20"/>
        <w:shd w:val="clear" w:color="auto" w:fill="auto"/>
        <w:spacing w:line="240" w:lineRule="auto"/>
        <w:ind w:left="240"/>
      </w:pPr>
      <w:r>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w:t>
      </w:r>
      <w:r w:rsidR="00045955">
        <w:t>í</w:t>
      </w:r>
      <w:r>
        <w:t>k je povinen pojištěného, resp. pojištěné, jakož i všechny další oprávněné třetí osoby, řádně a včas informovat o zpracováni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anebo jiným vhodným způsobem.</w:t>
      </w:r>
    </w:p>
    <w:p w:rsidR="008F05AE" w:rsidRDefault="00000000">
      <w:pPr>
        <w:pStyle w:val="Style20"/>
        <w:shd w:val="clear" w:color="auto" w:fill="auto"/>
        <w:spacing w:line="240" w:lineRule="auto"/>
        <w:ind w:left="240"/>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rsidR="008F05AE" w:rsidRDefault="00000000">
      <w:pPr>
        <w:pStyle w:val="Style20"/>
        <w:shd w:val="clear" w:color="auto" w:fill="auto"/>
        <w:spacing w:line="240" w:lineRule="auto"/>
        <w:ind w:left="240"/>
      </w:pPr>
      <w:r>
        <w:t>Jsou-li pojistn</w:t>
      </w:r>
      <w:r w:rsidR="00045955">
        <w:t>í</w:t>
      </w:r>
      <w:r>
        <w:t>k a pojištěný odlišnými osobami, pak pojištěný svým podpisem výslovně osvědčuje pojistný zájem pojistníka uvedeného výše.</w:t>
      </w:r>
    </w:p>
    <w:p w:rsidR="008F05AE" w:rsidRDefault="00000000">
      <w:pPr>
        <w:pStyle w:val="Style20"/>
        <w:shd w:val="clear" w:color="auto" w:fill="auto"/>
        <w:spacing w:after="280" w:line="240" w:lineRule="auto"/>
        <w:ind w:left="240"/>
        <w:sectPr w:rsidR="008F05AE" w:rsidSect="00045955">
          <w:headerReference w:type="default" r:id="rId9"/>
          <w:footerReference w:type="default" r:id="rId10"/>
          <w:headerReference w:type="first" r:id="rId11"/>
          <w:footerReference w:type="first" r:id="rId12"/>
          <w:pgSz w:w="11947" w:h="16862"/>
          <w:pgMar w:top="3970" w:right="1273" w:bottom="2268" w:left="1414" w:header="0" w:footer="3" w:gutter="0"/>
          <w:cols w:space="720"/>
          <w:noEndnote/>
          <w:titlePg/>
          <w:docGrid w:linePitch="360"/>
        </w:sectPr>
      </w:pPr>
      <w:r>
        <w:t>Pojistn</w:t>
      </w:r>
      <w:r w:rsidR="00045955">
        <w:t>í</w:t>
      </w:r>
      <w:r>
        <w:t>k prohlašuje, že jeho pojistný zájem na pojištění majetku pojištěného/oprávněné osoby je dán uzavřenou Smlouvou o výpůjčce mezi pojistníkem a pojištěným/oprávněnou osobou.</w:t>
      </w:r>
    </w:p>
    <w:p w:rsidR="008F05AE" w:rsidRDefault="00000000">
      <w:pPr>
        <w:pStyle w:val="Style20"/>
        <w:shd w:val="clear" w:color="auto" w:fill="auto"/>
        <w:spacing w:after="0" w:line="262" w:lineRule="auto"/>
        <w:ind w:firstLine="0"/>
        <w:jc w:val="both"/>
      </w:pPr>
      <w:proofErr w:type="spellStart"/>
      <w:r>
        <w:rPr>
          <w:lang w:val="en-US" w:eastAsia="en-US" w:bidi="en-US"/>
        </w:rPr>
        <w:lastRenderedPageBreak/>
        <w:t>Po</w:t>
      </w:r>
      <w:r w:rsidR="00045955">
        <w:rPr>
          <w:lang w:val="en-US" w:eastAsia="en-US" w:bidi="en-US"/>
        </w:rPr>
        <w:t>j</w:t>
      </w:r>
      <w:r>
        <w:rPr>
          <w:lang w:val="en-US" w:eastAsia="en-US" w:bidi="en-US"/>
        </w:rPr>
        <w:t>istn</w:t>
      </w:r>
      <w:r w:rsidR="00045955">
        <w:rPr>
          <w:lang w:val="en-US" w:eastAsia="en-US" w:bidi="en-US"/>
        </w:rPr>
        <w:t>í</w:t>
      </w:r>
      <w:r>
        <w:rPr>
          <w:lang w:val="en-US" w:eastAsia="en-US" w:bidi="en-US"/>
        </w:rPr>
        <w:t>k</w:t>
      </w:r>
      <w:proofErr w:type="spellEnd"/>
      <w:r>
        <w:rPr>
          <w:lang w:val="en-US" w:eastAsia="en-US" w:bidi="en-US"/>
        </w:rPr>
        <w:t xml:space="preserve"> </w:t>
      </w:r>
      <w:r>
        <w:t xml:space="preserve">prohlašuje, že je povinným subjektem ve smyslu zákona č. 340/2015 Sb., o registru smluv (dále jen „povinný </w:t>
      </w:r>
      <w:proofErr w:type="gramStart"/>
      <w:r>
        <w:t>subjekt“</w:t>
      </w:r>
      <w:proofErr w:type="gramEnd"/>
      <w:r>
        <w:t>), a tedy že tato pojistná smlouva (dále jen „smlouva“) podléhá povinnosti uveřejněni v registru smluv ve smyslu zákona č. 340/2015 Sb., o registru smluv (dále jen „registr smluv“).</w:t>
      </w:r>
    </w:p>
    <w:p w:rsidR="008F05AE" w:rsidRDefault="00000000">
      <w:pPr>
        <w:pStyle w:val="Style20"/>
        <w:shd w:val="clear" w:color="auto" w:fill="auto"/>
        <w:spacing w:after="980" w:line="262" w:lineRule="auto"/>
        <w:ind w:firstLine="0"/>
        <w:jc w:val="both"/>
      </w:pPr>
      <w:r>
        <w:t>Pojistn</w:t>
      </w:r>
      <w:r w:rsidR="00045955">
        <w:t>í</w:t>
      </w:r>
      <w:r>
        <w:t>k bere na vědomi, že pokud se výše uvedené prohlášení nezakládá na pravdě, odpovídá společnosti UNIQA pojišťovna, a. s. (dále jen „UNIQA") za škodu, která UNIQA v důsledku tohoto nepravdivého prohlášeni vznikne."</w:t>
      </w:r>
    </w:p>
    <w:p w:rsidR="008F05AE" w:rsidRDefault="00000000">
      <w:pPr>
        <w:pStyle w:val="Style20"/>
        <w:shd w:val="clear" w:color="auto" w:fill="auto"/>
        <w:spacing w:after="120" w:line="240" w:lineRule="auto"/>
        <w:ind w:firstLine="0"/>
      </w:pPr>
      <w:r>
        <w:rPr>
          <w:noProof/>
        </w:rPr>
        <mc:AlternateContent>
          <mc:Choice Requires="wps">
            <w:drawing>
              <wp:anchor distT="152400" distB="0" distL="114300" distR="114300" simplePos="0" relativeHeight="125829378" behindDoc="0" locked="0" layoutInCell="1" allowOverlap="1">
                <wp:simplePos x="0" y="0"/>
                <wp:positionH relativeFrom="page">
                  <wp:posOffset>2061845</wp:posOffset>
                </wp:positionH>
                <wp:positionV relativeFrom="paragraph">
                  <wp:posOffset>368300</wp:posOffset>
                </wp:positionV>
                <wp:extent cx="277495" cy="1403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77495" cy="140335"/>
                        </a:xfrm>
                        <a:prstGeom prst="rect">
                          <a:avLst/>
                        </a:prstGeom>
                        <a:noFill/>
                      </wps:spPr>
                      <wps:txbx>
                        <w:txbxContent>
                          <w:p w:rsidR="008F05AE" w:rsidRDefault="00000000">
                            <w:pPr>
                              <w:pStyle w:val="Style20"/>
                              <w:shd w:val="clear" w:color="auto" w:fill="auto"/>
                              <w:spacing w:after="0" w:line="240" w:lineRule="auto"/>
                              <w:ind w:firstLine="0"/>
                            </w:pPr>
                            <w:r>
                              <w:t>,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162.35pt;margin-top:29pt;width:21.85pt;height:11.05pt;z-index:125829378;visibility:visible;mso-wrap-style:none;mso-wrap-distance-left:9pt;mso-wrap-distance-top:12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" filled="f" stroked="f">
                <v:textbox inset="0,0,0,0">
                  <w:txbxContent>
                    <w:p w:rsidR="008F05AE" w:rsidRDefault="00000000">
                      <w:pPr>
                        <w:pStyle w:val="Style20"/>
                        <w:shd w:val="clear" w:color="auto" w:fill="auto"/>
                        <w:spacing w:after="0" w:line="240" w:lineRule="auto"/>
                        <w:ind w:firstLine="0"/>
                      </w:pPr>
                      <w:r>
                        <w:t>, dne</w:t>
                      </w:r>
                    </w:p>
                  </w:txbxContent>
                </v:textbox>
                <w10:wrap type="topAndBottom" anchorx="page"/>
              </v:shape>
            </w:pict>
          </mc:Fallback>
        </mc:AlternateContent>
      </w:r>
      <w:r>
        <w:t>Za pojistn</w:t>
      </w:r>
      <w:r w:rsidR="00045955">
        <w:t>í</w:t>
      </w:r>
      <w:r>
        <w:t>ka</w:t>
      </w:r>
    </w:p>
    <w:p w:rsidR="008F05AE" w:rsidRDefault="00000000">
      <w:pPr>
        <w:pStyle w:val="Style20"/>
        <w:shd w:val="clear" w:color="auto" w:fill="auto"/>
        <w:spacing w:after="9060" w:line="240" w:lineRule="auto"/>
        <w:ind w:firstLine="0"/>
        <w:jc w:val="center"/>
      </w:pPr>
      <w:r>
        <w:t>podpis pojistn</w:t>
      </w:r>
      <w:r w:rsidR="00045955">
        <w:t>í</w:t>
      </w:r>
      <w:r>
        <w:t>ka</w:t>
      </w:r>
    </w:p>
    <w:p w:rsidR="00045955" w:rsidRDefault="00045955">
      <w:pPr>
        <w:pStyle w:val="Style20"/>
        <w:shd w:val="clear" w:color="auto" w:fill="auto"/>
        <w:spacing w:after="0" w:line="240" w:lineRule="auto"/>
        <w:ind w:left="2800" w:firstLine="0"/>
        <w:rPr>
          <w:b/>
          <w:bCs/>
          <w:sz w:val="18"/>
          <w:szCs w:val="18"/>
        </w:rPr>
      </w:pPr>
    </w:p>
    <w:p w:rsidR="00045955" w:rsidRDefault="00045955">
      <w:pPr>
        <w:pStyle w:val="Style20"/>
        <w:shd w:val="clear" w:color="auto" w:fill="auto"/>
        <w:spacing w:after="0" w:line="240" w:lineRule="auto"/>
        <w:ind w:left="2800" w:firstLine="0"/>
        <w:rPr>
          <w:b/>
          <w:bCs/>
          <w:sz w:val="18"/>
          <w:szCs w:val="18"/>
        </w:rPr>
      </w:pPr>
    </w:p>
    <w:p w:rsidR="008F05AE" w:rsidRDefault="00000000">
      <w:pPr>
        <w:pStyle w:val="Style20"/>
        <w:shd w:val="clear" w:color="auto" w:fill="auto"/>
        <w:spacing w:after="0" w:line="240" w:lineRule="auto"/>
        <w:ind w:left="2800" w:firstLine="0"/>
        <w:rPr>
          <w:sz w:val="18"/>
          <w:szCs w:val="18"/>
        </w:rPr>
        <w:sectPr w:rsidR="008F05AE" w:rsidSect="00045955">
          <w:headerReference w:type="default" r:id="rId13"/>
          <w:footerReference w:type="default" r:id="rId14"/>
          <w:headerReference w:type="first" r:id="rId15"/>
          <w:footerReference w:type="first" r:id="rId16"/>
          <w:pgSz w:w="11947" w:h="16862"/>
          <w:pgMar w:top="2839" w:right="1273" w:bottom="1473" w:left="1414" w:header="0" w:footer="3" w:gutter="0"/>
          <w:cols w:space="720"/>
          <w:noEndnote/>
          <w:titlePg/>
          <w:docGrid w:linePitch="360"/>
        </w:sectPr>
      </w:pPr>
      <w:r>
        <w:rPr>
          <w:b/>
          <w:bCs/>
          <w:sz w:val="18"/>
          <w:szCs w:val="18"/>
        </w:rPr>
        <w:lastRenderedPageBreak/>
        <w:t xml:space="preserve">Příloha č. </w:t>
      </w:r>
      <w:r>
        <w:rPr>
          <w:b/>
          <w:bCs/>
          <w:sz w:val="18"/>
          <w:szCs w:val="18"/>
          <w:lang w:val="en-US" w:eastAsia="en-US" w:bidi="en-US"/>
        </w:rPr>
        <w:t xml:space="preserve">2 - </w:t>
      </w:r>
      <w:r>
        <w:rPr>
          <w:b/>
          <w:bCs/>
          <w:sz w:val="18"/>
          <w:szCs w:val="18"/>
        </w:rPr>
        <w:t>Pojistné podmínky:</w:t>
      </w:r>
    </w:p>
    <w:p w:rsidR="008F05AE" w:rsidRDefault="00000000">
      <w:pPr>
        <w:pStyle w:val="Style17"/>
        <w:keepNext/>
        <w:keepLines/>
        <w:framePr w:w="4694" w:h="240" w:wrap="none" w:hAnchor="page" w:x="3463" w:y="1364"/>
        <w:shd w:val="clear" w:color="auto" w:fill="auto"/>
        <w:spacing w:after="0"/>
      </w:pPr>
      <w:bookmarkStart w:id="30" w:name="bookmark39"/>
      <w:bookmarkStart w:id="31" w:name="bookmark40"/>
      <w:bookmarkStart w:id="32" w:name="bookmark41"/>
      <w:r>
        <w:rPr>
          <w:u w:val="none"/>
        </w:rPr>
        <w:lastRenderedPageBreak/>
        <w:t xml:space="preserve">Příloha č. </w:t>
      </w:r>
      <w:r>
        <w:rPr>
          <w:u w:val="none"/>
          <w:lang w:val="en-US" w:eastAsia="en-US" w:bidi="en-US"/>
        </w:rPr>
        <w:t xml:space="preserve">4- </w:t>
      </w:r>
      <w:r>
        <w:rPr>
          <w:u w:val="none"/>
        </w:rPr>
        <w:t>informace o zpracování osobních údajů:</w:t>
      </w:r>
      <w:bookmarkEnd w:id="30"/>
      <w:bookmarkEnd w:id="31"/>
      <w:bookmarkEnd w:id="32"/>
    </w:p>
    <w:p w:rsidR="008F05AE" w:rsidRDefault="008F05AE" w:rsidP="00045955">
      <w:pPr>
        <w:spacing w:line="1" w:lineRule="exact"/>
      </w:pPr>
    </w:p>
    <w:sectPr w:rsidR="008F05AE">
      <w:headerReference w:type="default" r:id="rId17"/>
      <w:footerReference w:type="default" r:id="rId18"/>
      <w:pgSz w:w="11957" w:h="16872"/>
      <w:pgMar w:top="1671" w:right="3093" w:bottom="1186" w:left="1345" w:header="124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169" w:rsidRDefault="00B35169">
      <w:r>
        <w:separator/>
      </w:r>
    </w:p>
  </w:endnote>
  <w:endnote w:type="continuationSeparator" w:id="0">
    <w:p w:rsidR="00B35169" w:rsidRDefault="00B3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1898015</wp:posOffset>
              </wp:positionH>
              <wp:positionV relativeFrom="page">
                <wp:posOffset>9790430</wp:posOffset>
              </wp:positionV>
              <wp:extent cx="3676015" cy="311150"/>
              <wp:effectExtent l="0" t="0" r="0" b="0"/>
              <wp:wrapNone/>
              <wp:docPr id="3" name="Shape 3"/>
              <wp:cNvGraphicFramePr/>
              <a:graphic xmlns:a="http://schemas.openxmlformats.org/drawingml/2006/main">
                <a:graphicData uri="http://schemas.microsoft.com/office/word/2010/wordprocessingShape">
                  <wps:wsp>
                    <wps:cNvSpPr txBox="1"/>
                    <wps:spPr>
                      <a:xfrm>
                        <a:off x="0" y="0"/>
                        <a:ext cx="3676015" cy="311150"/>
                      </a:xfrm>
                      <a:prstGeom prst="rect">
                        <a:avLst/>
                      </a:prstGeom>
                      <a:noFill/>
                    </wps:spPr>
                    <wps:txbx>
                      <w:txbxContent>
                        <w:p w:rsidR="008F05AE" w:rsidRDefault="00000000">
                          <w:pPr>
                            <w:pStyle w:val="Style4"/>
                            <w:shd w:val="clear" w:color="auto" w:fill="auto"/>
                            <w:rPr>
                              <w:sz w:val="12"/>
                              <w:szCs w:val="12"/>
                            </w:rPr>
                          </w:pPr>
                          <w:r>
                            <w:rPr>
                              <w:rFonts w:ascii="Arial" w:eastAsia="Arial" w:hAnsi="Arial" w:cs="Arial"/>
                              <w:sz w:val="12"/>
                              <w:szCs w:val="12"/>
                            </w:rPr>
                            <w:t>UN</w:t>
                          </w:r>
                          <w:r w:rsidR="003A0414">
                            <w:rPr>
                              <w:rFonts w:ascii="Arial" w:eastAsia="Arial" w:hAnsi="Arial" w:cs="Arial"/>
                              <w:sz w:val="12"/>
                              <w:szCs w:val="12"/>
                            </w:rPr>
                            <w:t>I</w:t>
                          </w:r>
                          <w:r>
                            <w:rPr>
                              <w:rFonts w:ascii="Arial" w:eastAsia="Arial" w:hAnsi="Arial" w:cs="Arial"/>
                              <w:sz w:val="12"/>
                              <w:szCs w:val="12"/>
                            </w:rPr>
                            <w:t xml:space="preserve">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w:t>
                          </w:r>
                          <w:r w:rsidR="003A0414">
                            <w:rPr>
                              <w:rFonts w:ascii="Arial" w:eastAsia="Arial" w:hAnsi="Arial" w:cs="Arial"/>
                              <w:sz w:val="12"/>
                              <w:szCs w:val="12"/>
                            </w:rPr>
                            <w:t>f</w:t>
                          </w:r>
                          <w:r>
                            <w:rPr>
                              <w:rFonts w:ascii="Arial" w:eastAsia="Arial" w:hAnsi="Arial" w:cs="Arial"/>
                              <w:sz w:val="12"/>
                              <w:szCs w:val="12"/>
                            </w:rPr>
                            <w:t>o@un</w:t>
                          </w:r>
                          <w:r w:rsidR="003A0414">
                            <w:rPr>
                              <w:rFonts w:ascii="Arial" w:eastAsia="Arial" w:hAnsi="Arial" w:cs="Arial"/>
                              <w:sz w:val="12"/>
                              <w:szCs w:val="12"/>
                            </w:rPr>
                            <w:t>i</w:t>
                          </w:r>
                          <w:r>
                            <w:rPr>
                              <w:rFonts w:ascii="Arial" w:eastAsia="Arial" w:hAnsi="Arial" w:cs="Arial"/>
                              <w:sz w:val="12"/>
                              <w:szCs w:val="12"/>
                            </w:rPr>
                            <w:t>qa.c</w:t>
                          </w:r>
                          <w:r w:rsidR="00045955">
                            <w:rPr>
                              <w:rFonts w:ascii="Arial" w:eastAsia="Arial" w:hAnsi="Arial" w:cs="Arial"/>
                              <w:sz w:val="12"/>
                              <w:szCs w:val="12"/>
                            </w:rPr>
                            <w:t>z</w:t>
                          </w:r>
                          <w:r>
                            <w:rPr>
                              <w:rFonts w:ascii="Arial" w:eastAsia="Arial" w:hAnsi="Arial" w:cs="Arial"/>
                              <w:sz w:val="12"/>
                              <w:szCs w:val="12"/>
                            </w:rPr>
                            <w:t xml:space="preserve"> www.un</w:t>
                          </w:r>
                          <w:r w:rsidR="003A0414">
                            <w:rPr>
                              <w:rFonts w:ascii="Arial" w:eastAsia="Arial" w:hAnsi="Arial" w:cs="Arial"/>
                              <w:sz w:val="12"/>
                              <w:szCs w:val="12"/>
                            </w:rPr>
                            <w:t>i</w:t>
                          </w:r>
                          <w:r>
                            <w:rPr>
                              <w:rFonts w:ascii="Arial" w:eastAsia="Arial" w:hAnsi="Arial" w:cs="Arial"/>
                              <w:sz w:val="12"/>
                              <w:szCs w:val="12"/>
                            </w:rPr>
                            <w:t>qa.cz</w:t>
                          </w:r>
                        </w:p>
                        <w:p w:rsidR="008F05AE" w:rsidRDefault="00000000">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8F05AE" w:rsidRDefault="00000000">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149.45pt;margin-top:770.9pt;width:289.45pt;height:2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" filled="f" stroked="f">
              <v:textbox style="mso-fit-shape-to-text:t" inset="0,0,0,0">
                <w:txbxContent>
                  <w:p w:rsidR="008F05AE" w:rsidRDefault="00000000">
                    <w:pPr>
                      <w:pStyle w:val="Style4"/>
                      <w:shd w:val="clear" w:color="auto" w:fill="auto"/>
                      <w:rPr>
                        <w:sz w:val="12"/>
                        <w:szCs w:val="12"/>
                      </w:rPr>
                    </w:pPr>
                    <w:r>
                      <w:rPr>
                        <w:rFonts w:ascii="Arial" w:eastAsia="Arial" w:hAnsi="Arial" w:cs="Arial"/>
                        <w:sz w:val="12"/>
                        <w:szCs w:val="12"/>
                      </w:rPr>
                      <w:t>UN</w:t>
                    </w:r>
                    <w:r w:rsidR="003A0414">
                      <w:rPr>
                        <w:rFonts w:ascii="Arial" w:eastAsia="Arial" w:hAnsi="Arial" w:cs="Arial"/>
                        <w:sz w:val="12"/>
                        <w:szCs w:val="12"/>
                      </w:rPr>
                      <w:t>I</w:t>
                    </w:r>
                    <w:r>
                      <w:rPr>
                        <w:rFonts w:ascii="Arial" w:eastAsia="Arial" w:hAnsi="Arial" w:cs="Arial"/>
                        <w:sz w:val="12"/>
                        <w:szCs w:val="12"/>
                      </w:rPr>
                      <w:t xml:space="preserve">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w:t>
                    </w:r>
                    <w:r w:rsidR="003A0414">
                      <w:rPr>
                        <w:rFonts w:ascii="Arial" w:eastAsia="Arial" w:hAnsi="Arial" w:cs="Arial"/>
                        <w:sz w:val="12"/>
                        <w:szCs w:val="12"/>
                      </w:rPr>
                      <w:t>f</w:t>
                    </w:r>
                    <w:r>
                      <w:rPr>
                        <w:rFonts w:ascii="Arial" w:eastAsia="Arial" w:hAnsi="Arial" w:cs="Arial"/>
                        <w:sz w:val="12"/>
                        <w:szCs w:val="12"/>
                      </w:rPr>
                      <w:t>o@un</w:t>
                    </w:r>
                    <w:r w:rsidR="003A0414">
                      <w:rPr>
                        <w:rFonts w:ascii="Arial" w:eastAsia="Arial" w:hAnsi="Arial" w:cs="Arial"/>
                        <w:sz w:val="12"/>
                        <w:szCs w:val="12"/>
                      </w:rPr>
                      <w:t>i</w:t>
                    </w:r>
                    <w:r>
                      <w:rPr>
                        <w:rFonts w:ascii="Arial" w:eastAsia="Arial" w:hAnsi="Arial" w:cs="Arial"/>
                        <w:sz w:val="12"/>
                        <w:szCs w:val="12"/>
                      </w:rPr>
                      <w:t>qa.c</w:t>
                    </w:r>
                    <w:r w:rsidR="00045955">
                      <w:rPr>
                        <w:rFonts w:ascii="Arial" w:eastAsia="Arial" w:hAnsi="Arial" w:cs="Arial"/>
                        <w:sz w:val="12"/>
                        <w:szCs w:val="12"/>
                      </w:rPr>
                      <w:t>z</w:t>
                    </w:r>
                    <w:r>
                      <w:rPr>
                        <w:rFonts w:ascii="Arial" w:eastAsia="Arial" w:hAnsi="Arial" w:cs="Arial"/>
                        <w:sz w:val="12"/>
                        <w:szCs w:val="12"/>
                      </w:rPr>
                      <w:t xml:space="preserve"> www.un</w:t>
                    </w:r>
                    <w:r w:rsidR="003A0414">
                      <w:rPr>
                        <w:rFonts w:ascii="Arial" w:eastAsia="Arial" w:hAnsi="Arial" w:cs="Arial"/>
                        <w:sz w:val="12"/>
                        <w:szCs w:val="12"/>
                      </w:rPr>
                      <w:t>i</w:t>
                    </w:r>
                    <w:r>
                      <w:rPr>
                        <w:rFonts w:ascii="Arial" w:eastAsia="Arial" w:hAnsi="Arial" w:cs="Arial"/>
                        <w:sz w:val="12"/>
                        <w:szCs w:val="12"/>
                      </w:rPr>
                      <w:t>qa.cz</w:t>
                    </w:r>
                  </w:p>
                  <w:p w:rsidR="008F05AE" w:rsidRDefault="00000000">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8F05AE" w:rsidRDefault="00000000">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1870075</wp:posOffset>
              </wp:positionH>
              <wp:positionV relativeFrom="page">
                <wp:posOffset>9834880</wp:posOffset>
              </wp:positionV>
              <wp:extent cx="3669665" cy="320040"/>
              <wp:effectExtent l="0" t="0" r="0" b="0"/>
              <wp:wrapNone/>
              <wp:docPr id="9" name="Shape 9"/>
              <wp:cNvGraphicFramePr/>
              <a:graphic xmlns:a="http://schemas.openxmlformats.org/drawingml/2006/main">
                <a:graphicData uri="http://schemas.microsoft.com/office/word/2010/wordprocessingShape">
                  <wps:wsp>
                    <wps:cNvSpPr txBox="1"/>
                    <wps:spPr>
                      <a:xfrm>
                        <a:off x="0" y="0"/>
                        <a:ext cx="3669665" cy="320040"/>
                      </a:xfrm>
                      <a:prstGeom prst="rect">
                        <a:avLst/>
                      </a:prstGeom>
                      <a:noFill/>
                    </wps:spPr>
                    <wps:txbx>
                      <w:txbxContent>
                        <w:p w:rsidR="00045955" w:rsidRDefault="00045955" w:rsidP="00045955">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info@uniqa.c</w:t>
                          </w:r>
                          <w:r>
                            <w:rPr>
                              <w:rFonts w:ascii="Arial" w:eastAsia="Arial" w:hAnsi="Arial" w:cs="Arial"/>
                              <w:sz w:val="12"/>
                              <w:szCs w:val="12"/>
                            </w:rPr>
                            <w:t>z</w:t>
                          </w:r>
                          <w:r>
                            <w:rPr>
                              <w:rFonts w:ascii="Arial" w:eastAsia="Arial" w:hAnsi="Arial" w:cs="Arial"/>
                              <w:sz w:val="12"/>
                              <w:szCs w:val="12"/>
                            </w:rPr>
                            <w:t xml:space="preserve"> www.uniqa.cz</w:t>
                          </w:r>
                        </w:p>
                        <w:p w:rsidR="00045955" w:rsidRDefault="00045955" w:rsidP="00045955">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045955" w:rsidRDefault="00045955" w:rsidP="00045955">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p w:rsidR="008F05AE" w:rsidRDefault="008F05AE">
                          <w:pPr>
                            <w:pStyle w:val="Style4"/>
                            <w:shd w:val="clear" w:color="auto" w:fill="auto"/>
                            <w:rPr>
                              <w:sz w:val="12"/>
                              <w:szCs w:val="1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147.25pt;margin-top:774.4pt;width:288.95pt;height:25.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" filled="f" stroked="f">
              <v:textbox style="mso-fit-shape-to-text:t" inset="0,0,0,0">
                <w:txbxContent>
                  <w:p w:rsidR="00045955" w:rsidRDefault="00045955" w:rsidP="00045955">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info@uniqa.c</w:t>
                    </w:r>
                    <w:r>
                      <w:rPr>
                        <w:rFonts w:ascii="Arial" w:eastAsia="Arial" w:hAnsi="Arial" w:cs="Arial"/>
                        <w:sz w:val="12"/>
                        <w:szCs w:val="12"/>
                      </w:rPr>
                      <w:t>z</w:t>
                    </w:r>
                    <w:r>
                      <w:rPr>
                        <w:rFonts w:ascii="Arial" w:eastAsia="Arial" w:hAnsi="Arial" w:cs="Arial"/>
                        <w:sz w:val="12"/>
                        <w:szCs w:val="12"/>
                      </w:rPr>
                      <w:t xml:space="preserve"> www.uniqa.cz</w:t>
                    </w:r>
                  </w:p>
                  <w:p w:rsidR="00045955" w:rsidRDefault="00045955" w:rsidP="00045955">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045955" w:rsidRDefault="00045955" w:rsidP="00045955">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p w:rsidR="008F05AE" w:rsidRDefault="008F05AE">
                    <w:pPr>
                      <w:pStyle w:val="Style4"/>
                      <w:shd w:val="clear" w:color="auto" w:fill="auto"/>
                      <w:rPr>
                        <w:sz w:val="12"/>
                        <w:szCs w:val="1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1927860</wp:posOffset>
              </wp:positionH>
              <wp:positionV relativeFrom="page">
                <wp:posOffset>9834880</wp:posOffset>
              </wp:positionV>
              <wp:extent cx="3672840" cy="304800"/>
              <wp:effectExtent l="0" t="0" r="0" b="0"/>
              <wp:wrapNone/>
              <wp:docPr id="13" name="Shape 13"/>
              <wp:cNvGraphicFramePr/>
              <a:graphic xmlns:a="http://schemas.openxmlformats.org/drawingml/2006/main">
                <a:graphicData uri="http://schemas.microsoft.com/office/word/2010/wordprocessingShape">
                  <wps:wsp>
                    <wps:cNvSpPr txBox="1"/>
                    <wps:spPr>
                      <a:xfrm>
                        <a:off x="0" y="0"/>
                        <a:ext cx="3672840" cy="304800"/>
                      </a:xfrm>
                      <a:prstGeom prst="rect">
                        <a:avLst/>
                      </a:prstGeom>
                      <a:noFill/>
                    </wps:spPr>
                    <wps:txbx>
                      <w:txbxContent>
                        <w:p w:rsidR="008F05AE" w:rsidRDefault="00000000">
                          <w:pPr>
                            <w:pStyle w:val="Style4"/>
                            <w:shd w:val="clear" w:color="auto" w:fill="auto"/>
                            <w:rPr>
                              <w:sz w:val="12"/>
                              <w:szCs w:val="12"/>
                            </w:rPr>
                          </w:pPr>
                          <w:r>
                            <w:rPr>
                              <w:rFonts w:ascii="Arial" w:eastAsia="Arial" w:hAnsi="Arial" w:cs="Arial"/>
                              <w:sz w:val="12"/>
                              <w:szCs w:val="12"/>
                            </w:rPr>
                            <w:t xml:space="preserve">UNIQA linka: -5-420 488 125 125 e-mail: </w:t>
                          </w:r>
                          <w:proofErr w:type="spellStart"/>
                          <w:r>
                            <w:rPr>
                              <w:rFonts w:ascii="Arial" w:eastAsia="Arial" w:hAnsi="Arial" w:cs="Arial"/>
                              <w:sz w:val="12"/>
                              <w:szCs w:val="12"/>
                            </w:rPr>
                            <w:t>info@</w:t>
                          </w:r>
                          <w:proofErr w:type="gramStart"/>
                          <w:r>
                            <w:rPr>
                              <w:rFonts w:ascii="Arial" w:eastAsia="Arial" w:hAnsi="Arial" w:cs="Arial"/>
                              <w:sz w:val="12"/>
                              <w:szCs w:val="12"/>
                            </w:rPr>
                            <w:t>uniqa,cz</w:t>
                          </w:r>
                          <w:proofErr w:type="spellEnd"/>
                          <w:proofErr w:type="gramEnd"/>
                          <w:r>
                            <w:rPr>
                              <w:rFonts w:ascii="Arial" w:eastAsia="Arial" w:hAnsi="Arial" w:cs="Arial"/>
                              <w:sz w:val="12"/>
                              <w:szCs w:val="12"/>
                            </w:rPr>
                            <w:t xml:space="preserve"> </w:t>
                          </w:r>
                          <w:r>
                            <w:rPr>
                              <w:rFonts w:ascii="Arial" w:eastAsia="Arial" w:hAnsi="Arial" w:cs="Arial"/>
                              <w:sz w:val="12"/>
                              <w:szCs w:val="12"/>
                              <w:lang w:val="en-US" w:eastAsia="en-US" w:bidi="en-US"/>
                            </w:rPr>
                            <w:t>www.uniqa.cz</w:t>
                          </w:r>
                        </w:p>
                        <w:p w:rsidR="008F05AE" w:rsidRDefault="00000000">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8107130, 160 CO Praha 6, Česká republika, IČO: 492 40 4S0,</w:t>
                          </w:r>
                        </w:p>
                        <w:p w:rsidR="008F05AE" w:rsidRDefault="00000000">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5, vložka 2012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151.8pt;margin-top:774.4pt;width:289.2pt;height:24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" filled="f" stroked="f">
              <v:textbox style="mso-fit-shape-to-text:t" inset="0,0,0,0">
                <w:txbxContent>
                  <w:p w:rsidR="008F05AE" w:rsidRDefault="00000000">
                    <w:pPr>
                      <w:pStyle w:val="Style4"/>
                      <w:shd w:val="clear" w:color="auto" w:fill="auto"/>
                      <w:rPr>
                        <w:sz w:val="12"/>
                        <w:szCs w:val="12"/>
                      </w:rPr>
                    </w:pPr>
                    <w:r>
                      <w:rPr>
                        <w:rFonts w:ascii="Arial" w:eastAsia="Arial" w:hAnsi="Arial" w:cs="Arial"/>
                        <w:sz w:val="12"/>
                        <w:szCs w:val="12"/>
                      </w:rPr>
                      <w:t xml:space="preserve">UNIQA linka: -5-420 488 125 125 e-mail: </w:t>
                    </w:r>
                    <w:proofErr w:type="spellStart"/>
                    <w:r>
                      <w:rPr>
                        <w:rFonts w:ascii="Arial" w:eastAsia="Arial" w:hAnsi="Arial" w:cs="Arial"/>
                        <w:sz w:val="12"/>
                        <w:szCs w:val="12"/>
                      </w:rPr>
                      <w:t>info@</w:t>
                    </w:r>
                    <w:proofErr w:type="gramStart"/>
                    <w:r>
                      <w:rPr>
                        <w:rFonts w:ascii="Arial" w:eastAsia="Arial" w:hAnsi="Arial" w:cs="Arial"/>
                        <w:sz w:val="12"/>
                        <w:szCs w:val="12"/>
                      </w:rPr>
                      <w:t>uniqa,cz</w:t>
                    </w:r>
                    <w:proofErr w:type="spellEnd"/>
                    <w:proofErr w:type="gramEnd"/>
                    <w:r>
                      <w:rPr>
                        <w:rFonts w:ascii="Arial" w:eastAsia="Arial" w:hAnsi="Arial" w:cs="Arial"/>
                        <w:sz w:val="12"/>
                        <w:szCs w:val="12"/>
                      </w:rPr>
                      <w:t xml:space="preserve"> </w:t>
                    </w:r>
                    <w:r>
                      <w:rPr>
                        <w:rFonts w:ascii="Arial" w:eastAsia="Arial" w:hAnsi="Arial" w:cs="Arial"/>
                        <w:sz w:val="12"/>
                        <w:szCs w:val="12"/>
                        <w:lang w:val="en-US" w:eastAsia="en-US" w:bidi="en-US"/>
                      </w:rPr>
                      <w:t>www.uniqa.cz</w:t>
                    </w:r>
                  </w:p>
                  <w:p w:rsidR="008F05AE" w:rsidRDefault="00000000">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8107130, 160 CO Praha 6, Česká republika, IČO: 492 40 4S0,</w:t>
                    </w:r>
                  </w:p>
                  <w:p w:rsidR="008F05AE" w:rsidRDefault="00000000">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5, vložka 2012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706" behindDoc="1" locked="0" layoutInCell="1" allowOverlap="1">
              <wp:simplePos x="0" y="0"/>
              <wp:positionH relativeFrom="page">
                <wp:posOffset>1861185</wp:posOffset>
              </wp:positionH>
              <wp:positionV relativeFrom="page">
                <wp:posOffset>9834880</wp:posOffset>
              </wp:positionV>
              <wp:extent cx="3676015" cy="313690"/>
              <wp:effectExtent l="0" t="0" r="0" b="0"/>
              <wp:wrapNone/>
              <wp:docPr id="19" name="Shape 19"/>
              <wp:cNvGraphicFramePr/>
              <a:graphic xmlns:a="http://schemas.openxmlformats.org/drawingml/2006/main">
                <a:graphicData uri="http://schemas.microsoft.com/office/word/2010/wordprocessingShape">
                  <wps:wsp>
                    <wps:cNvSpPr txBox="1"/>
                    <wps:spPr>
                      <a:xfrm>
                        <a:off x="0" y="0"/>
                        <a:ext cx="3676015" cy="313690"/>
                      </a:xfrm>
                      <a:prstGeom prst="rect">
                        <a:avLst/>
                      </a:prstGeom>
                      <a:noFill/>
                    </wps:spPr>
                    <wps:txbx>
                      <w:txbxContent>
                        <w:p w:rsidR="008F05AE" w:rsidRDefault="00000000">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 xml:space="preserve">420 483 125 125 e-mail: </w:t>
                          </w:r>
                          <w:proofErr w:type="spellStart"/>
                          <w:r>
                            <w:rPr>
                              <w:rFonts w:ascii="Arial" w:eastAsia="Arial" w:hAnsi="Arial" w:cs="Arial"/>
                              <w:sz w:val="12"/>
                              <w:szCs w:val="12"/>
                            </w:rPr>
                            <w:t>info</w:t>
                          </w:r>
                          <w:proofErr w:type="spellEnd"/>
                          <w:r>
                            <w:rPr>
                              <w:rFonts w:ascii="Arial" w:eastAsia="Arial" w:hAnsi="Arial" w:cs="Arial"/>
                              <w:sz w:val="12"/>
                              <w:szCs w:val="12"/>
                            </w:rPr>
                            <w:t xml:space="preserve">@'jniqa.cz </w:t>
                          </w:r>
                          <w:r>
                            <w:rPr>
                              <w:rFonts w:ascii="Arial" w:eastAsia="Arial" w:hAnsi="Arial" w:cs="Arial"/>
                              <w:sz w:val="12"/>
                              <w:szCs w:val="12"/>
                              <w:lang w:val="en-US" w:eastAsia="en-US" w:bidi="en-US"/>
                            </w:rPr>
                            <w:t>www.uniqa.cz</w:t>
                          </w:r>
                        </w:p>
                        <w:p w:rsidR="008F05AE" w:rsidRDefault="00000000">
                          <w:pPr>
                            <w:pStyle w:val="Style4"/>
                            <w:shd w:val="clear" w:color="auto" w:fill="auto"/>
                            <w:rPr>
                              <w:sz w:val="12"/>
                              <w:szCs w:val="12"/>
                            </w:rPr>
                          </w:pPr>
                          <w:r>
                            <w:rPr>
                              <w:rFonts w:ascii="Arial" w:eastAsia="Arial" w:hAnsi="Arial" w:cs="Arial"/>
                              <w:sz w:val="12"/>
                              <w:szCs w:val="12"/>
                            </w:rPr>
                            <w:t xml:space="preserve">UNIQA pojišťovna, </w:t>
                          </w:r>
                          <w:proofErr w:type="spellStart"/>
                          <w:proofErr w:type="gramStart"/>
                          <w:r>
                            <w:rPr>
                              <w:rFonts w:ascii="Arial" w:eastAsia="Arial" w:hAnsi="Arial" w:cs="Arial"/>
                              <w:sz w:val="12"/>
                              <w:szCs w:val="12"/>
                            </w:rPr>
                            <w:t>a.s</w:t>
                          </w:r>
                          <w:proofErr w:type="spellEnd"/>
                          <w:r>
                            <w:rPr>
                              <w:rFonts w:ascii="Arial" w:eastAsia="Arial" w:hAnsi="Arial" w:cs="Arial"/>
                              <w:sz w:val="12"/>
                              <w:szCs w:val="12"/>
                            </w:rPr>
                            <w:t>,.</w:t>
                          </w:r>
                          <w:proofErr w:type="gramEnd"/>
                          <w:r>
                            <w:rPr>
                              <w:rFonts w:ascii="Arial" w:eastAsia="Arial" w:hAnsi="Arial" w:cs="Arial"/>
                              <w:sz w:val="12"/>
                              <w:szCs w:val="12"/>
                            </w:rPr>
                            <w:t xml:space="preserve"> Evropská 810/136, 160 CK) Praha 6, Česká republika, IČO: 492 40 430,</w:t>
                          </w:r>
                        </w:p>
                        <w:p w:rsidR="008F05AE" w:rsidRDefault="00000000">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B, vložka 2012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146.55pt;margin-top:774.4pt;width:289.45pt;height:24.7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" filled="f" stroked="f">
              <v:textbox style="mso-fit-shape-to-text:t" inset="0,0,0,0">
                <w:txbxContent>
                  <w:p w:rsidR="008F05AE" w:rsidRDefault="00000000">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 xml:space="preserve">420 483 125 125 e-mail: </w:t>
                    </w:r>
                    <w:proofErr w:type="spellStart"/>
                    <w:r>
                      <w:rPr>
                        <w:rFonts w:ascii="Arial" w:eastAsia="Arial" w:hAnsi="Arial" w:cs="Arial"/>
                        <w:sz w:val="12"/>
                        <w:szCs w:val="12"/>
                      </w:rPr>
                      <w:t>info</w:t>
                    </w:r>
                    <w:proofErr w:type="spellEnd"/>
                    <w:r>
                      <w:rPr>
                        <w:rFonts w:ascii="Arial" w:eastAsia="Arial" w:hAnsi="Arial" w:cs="Arial"/>
                        <w:sz w:val="12"/>
                        <w:szCs w:val="12"/>
                      </w:rPr>
                      <w:t xml:space="preserve">@'jniqa.cz </w:t>
                    </w:r>
                    <w:r>
                      <w:rPr>
                        <w:rFonts w:ascii="Arial" w:eastAsia="Arial" w:hAnsi="Arial" w:cs="Arial"/>
                        <w:sz w:val="12"/>
                        <w:szCs w:val="12"/>
                        <w:lang w:val="en-US" w:eastAsia="en-US" w:bidi="en-US"/>
                      </w:rPr>
                      <w:t>www.uniqa.cz</w:t>
                    </w:r>
                  </w:p>
                  <w:p w:rsidR="008F05AE" w:rsidRDefault="00000000">
                    <w:pPr>
                      <w:pStyle w:val="Style4"/>
                      <w:shd w:val="clear" w:color="auto" w:fill="auto"/>
                      <w:rPr>
                        <w:sz w:val="12"/>
                        <w:szCs w:val="12"/>
                      </w:rPr>
                    </w:pPr>
                    <w:r>
                      <w:rPr>
                        <w:rFonts w:ascii="Arial" w:eastAsia="Arial" w:hAnsi="Arial" w:cs="Arial"/>
                        <w:sz w:val="12"/>
                        <w:szCs w:val="12"/>
                      </w:rPr>
                      <w:t xml:space="preserve">UNIQA pojišťovna, </w:t>
                    </w:r>
                    <w:proofErr w:type="spellStart"/>
                    <w:proofErr w:type="gramStart"/>
                    <w:r>
                      <w:rPr>
                        <w:rFonts w:ascii="Arial" w:eastAsia="Arial" w:hAnsi="Arial" w:cs="Arial"/>
                        <w:sz w:val="12"/>
                        <w:szCs w:val="12"/>
                      </w:rPr>
                      <w:t>a.s</w:t>
                    </w:r>
                    <w:proofErr w:type="spellEnd"/>
                    <w:r>
                      <w:rPr>
                        <w:rFonts w:ascii="Arial" w:eastAsia="Arial" w:hAnsi="Arial" w:cs="Arial"/>
                        <w:sz w:val="12"/>
                        <w:szCs w:val="12"/>
                      </w:rPr>
                      <w:t>,.</w:t>
                    </w:r>
                    <w:proofErr w:type="gramEnd"/>
                    <w:r>
                      <w:rPr>
                        <w:rFonts w:ascii="Arial" w:eastAsia="Arial" w:hAnsi="Arial" w:cs="Arial"/>
                        <w:sz w:val="12"/>
                        <w:szCs w:val="12"/>
                      </w:rPr>
                      <w:t xml:space="preserve"> Evropská 810/136, 160 CK) Praha 6, Česká republika, IČO: 492 40 430,</w:t>
                    </w:r>
                  </w:p>
                  <w:p w:rsidR="008F05AE" w:rsidRDefault="00000000">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B, vložka 2012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1903730</wp:posOffset>
              </wp:positionH>
              <wp:positionV relativeFrom="page">
                <wp:posOffset>9919335</wp:posOffset>
              </wp:positionV>
              <wp:extent cx="3676015" cy="198120"/>
              <wp:effectExtent l="0" t="0" r="0" b="0"/>
              <wp:wrapNone/>
              <wp:docPr id="21" name="Shape 21"/>
              <wp:cNvGraphicFramePr/>
              <a:graphic xmlns:a="http://schemas.openxmlformats.org/drawingml/2006/main">
                <a:graphicData uri="http://schemas.microsoft.com/office/word/2010/wordprocessingShape">
                  <wps:wsp>
                    <wps:cNvSpPr txBox="1"/>
                    <wps:spPr>
                      <a:xfrm>
                        <a:off x="0" y="0"/>
                        <a:ext cx="3676015" cy="198120"/>
                      </a:xfrm>
                      <a:prstGeom prst="rect">
                        <a:avLst/>
                      </a:prstGeom>
                      <a:noFill/>
                    </wps:spPr>
                    <wps:txbx>
                      <w:txbxContent>
                        <w:p w:rsidR="00045955" w:rsidRDefault="00045955" w:rsidP="00045955">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info@uniqa.c2 www.uniqa.cz</w:t>
                          </w:r>
                        </w:p>
                        <w:p w:rsidR="00045955" w:rsidRDefault="00045955" w:rsidP="00045955">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045955" w:rsidRDefault="00045955" w:rsidP="00045955">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p w:rsidR="008F05AE" w:rsidRDefault="008F05AE">
                          <w:pPr>
                            <w:pStyle w:val="Style4"/>
                            <w:shd w:val="clear" w:color="auto" w:fill="auto"/>
                            <w:rPr>
                              <w:sz w:val="12"/>
                              <w:szCs w:val="1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149.9pt;margin-top:781.05pt;width:289.45pt;height:15.6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" filled="f" stroked="f">
              <v:textbox style="mso-fit-shape-to-text:t" inset="0,0,0,0">
                <w:txbxContent>
                  <w:p w:rsidR="00045955" w:rsidRDefault="00045955" w:rsidP="00045955">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info@uniqa.c2 www.uniqa.cz</w:t>
                    </w:r>
                  </w:p>
                  <w:p w:rsidR="00045955" w:rsidRDefault="00045955" w:rsidP="00045955">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045955" w:rsidRDefault="00045955" w:rsidP="00045955">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p w:rsidR="008F05AE" w:rsidRDefault="008F05AE">
                    <w:pPr>
                      <w:pStyle w:val="Style4"/>
                      <w:shd w:val="clear" w:color="auto" w:fill="auto"/>
                      <w:rPr>
                        <w:sz w:val="12"/>
                        <w:szCs w:val="1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1939290</wp:posOffset>
              </wp:positionH>
              <wp:positionV relativeFrom="page">
                <wp:posOffset>9897110</wp:posOffset>
              </wp:positionV>
              <wp:extent cx="3669665" cy="194945"/>
              <wp:effectExtent l="0" t="0" r="0" b="0"/>
              <wp:wrapNone/>
              <wp:docPr id="23" name="Shape 23"/>
              <wp:cNvGraphicFramePr/>
              <a:graphic xmlns:a="http://schemas.openxmlformats.org/drawingml/2006/main">
                <a:graphicData uri="http://schemas.microsoft.com/office/word/2010/wordprocessingShape">
                  <wps:wsp>
                    <wps:cNvSpPr txBox="1"/>
                    <wps:spPr>
                      <a:xfrm>
                        <a:off x="0" y="0"/>
                        <a:ext cx="3669665" cy="194945"/>
                      </a:xfrm>
                      <a:prstGeom prst="rect">
                        <a:avLst/>
                      </a:prstGeom>
                      <a:noFill/>
                    </wps:spPr>
                    <wps:txbx>
                      <w:txbxContent>
                        <w:p w:rsidR="00045955" w:rsidRDefault="00045955" w:rsidP="00045955">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info@uniqa.c</w:t>
                          </w:r>
                          <w:r>
                            <w:rPr>
                              <w:rFonts w:ascii="Arial" w:eastAsia="Arial" w:hAnsi="Arial" w:cs="Arial"/>
                              <w:sz w:val="12"/>
                              <w:szCs w:val="12"/>
                            </w:rPr>
                            <w:t>z</w:t>
                          </w:r>
                          <w:r>
                            <w:rPr>
                              <w:rFonts w:ascii="Arial" w:eastAsia="Arial" w:hAnsi="Arial" w:cs="Arial"/>
                              <w:sz w:val="12"/>
                              <w:szCs w:val="12"/>
                            </w:rPr>
                            <w:t xml:space="preserve"> www.uniqa.cz</w:t>
                          </w:r>
                        </w:p>
                        <w:p w:rsidR="00045955" w:rsidRDefault="00045955" w:rsidP="00045955">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045955" w:rsidRDefault="00045955" w:rsidP="00045955">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p w:rsidR="008F05AE" w:rsidRDefault="008F05AE">
                          <w:pPr>
                            <w:pStyle w:val="Style4"/>
                            <w:shd w:val="clear" w:color="auto" w:fill="auto"/>
                            <w:rPr>
                              <w:sz w:val="12"/>
                              <w:szCs w:val="1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152.7pt;margin-top:779.3pt;width:288.95pt;height:15.3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" filled="f" stroked="f">
              <v:textbox style="mso-fit-shape-to-text:t" inset="0,0,0,0">
                <w:txbxContent>
                  <w:p w:rsidR="00045955" w:rsidRDefault="00045955" w:rsidP="00045955">
                    <w:pPr>
                      <w:pStyle w:val="Style4"/>
                      <w:shd w:val="clear" w:color="auto" w:fill="auto"/>
                      <w:rPr>
                        <w:sz w:val="12"/>
                        <w:szCs w:val="12"/>
                      </w:rPr>
                    </w:pPr>
                    <w:r>
                      <w:rPr>
                        <w:rFonts w:ascii="Arial" w:eastAsia="Arial" w:hAnsi="Arial" w:cs="Arial"/>
                        <w:sz w:val="12"/>
                        <w:szCs w:val="12"/>
                      </w:rPr>
                      <w:t xml:space="preserve">UNIQA </w:t>
                    </w:r>
                    <w:proofErr w:type="gramStart"/>
                    <w:r>
                      <w:rPr>
                        <w:rFonts w:ascii="Arial" w:eastAsia="Arial" w:hAnsi="Arial" w:cs="Arial"/>
                        <w:sz w:val="12"/>
                        <w:szCs w:val="12"/>
                      </w:rPr>
                      <w:t>linka:+</w:t>
                    </w:r>
                    <w:proofErr w:type="gramEnd"/>
                    <w:r>
                      <w:rPr>
                        <w:rFonts w:ascii="Arial" w:eastAsia="Arial" w:hAnsi="Arial" w:cs="Arial"/>
                        <w:sz w:val="12"/>
                        <w:szCs w:val="12"/>
                      </w:rPr>
                      <w:t>420 488 125 125 e-mail: info@uniqa.c</w:t>
                    </w:r>
                    <w:r>
                      <w:rPr>
                        <w:rFonts w:ascii="Arial" w:eastAsia="Arial" w:hAnsi="Arial" w:cs="Arial"/>
                        <w:sz w:val="12"/>
                        <w:szCs w:val="12"/>
                      </w:rPr>
                      <w:t>z</w:t>
                    </w:r>
                    <w:r>
                      <w:rPr>
                        <w:rFonts w:ascii="Arial" w:eastAsia="Arial" w:hAnsi="Arial" w:cs="Arial"/>
                        <w:sz w:val="12"/>
                        <w:szCs w:val="12"/>
                      </w:rPr>
                      <w:t xml:space="preserve"> www.uniqa.cz</w:t>
                    </w:r>
                  </w:p>
                  <w:p w:rsidR="00045955" w:rsidRDefault="00045955" w:rsidP="00045955">
                    <w:pPr>
                      <w:pStyle w:val="Style4"/>
                      <w:shd w:val="clear" w:color="auto" w:fill="auto"/>
                      <w:rPr>
                        <w:sz w:val="12"/>
                        <w:szCs w:val="12"/>
                      </w:rPr>
                    </w:pPr>
                    <w:r>
                      <w:rPr>
                        <w:rFonts w:ascii="Arial" w:eastAsia="Arial" w:hAnsi="Arial" w:cs="Arial"/>
                        <w:sz w:val="12"/>
                        <w:szCs w:val="12"/>
                      </w:rPr>
                      <w:t xml:space="preserve">UNIQA pojišťovna, </w:t>
                    </w:r>
                    <w:proofErr w:type="gramStart"/>
                    <w:r>
                      <w:rPr>
                        <w:rFonts w:ascii="Arial" w:eastAsia="Arial" w:hAnsi="Arial" w:cs="Arial"/>
                        <w:sz w:val="12"/>
                        <w:szCs w:val="12"/>
                      </w:rPr>
                      <w:t>a.s..</w:t>
                    </w:r>
                    <w:proofErr w:type="gramEnd"/>
                    <w:r>
                      <w:rPr>
                        <w:rFonts w:ascii="Arial" w:eastAsia="Arial" w:hAnsi="Arial" w:cs="Arial"/>
                        <w:sz w:val="12"/>
                        <w:szCs w:val="12"/>
                      </w:rPr>
                      <w:t xml:space="preserve"> Evropská 810/136, 160 00 Praha 6, Česká republika, IČO; 492 40 480,</w:t>
                    </w:r>
                  </w:p>
                  <w:p w:rsidR="00045955" w:rsidRDefault="00045955" w:rsidP="00045955">
                    <w:pPr>
                      <w:pStyle w:val="Style4"/>
                      <w:shd w:val="clear" w:color="auto" w:fill="auto"/>
                      <w:rPr>
                        <w:sz w:val="12"/>
                        <w:szCs w:val="12"/>
                      </w:rPr>
                    </w:pPr>
                    <w:r>
                      <w:rPr>
                        <w:rFonts w:ascii="Arial" w:eastAsia="Arial" w:hAnsi="Arial" w:cs="Arial"/>
                        <w:sz w:val="12"/>
                        <w:szCs w:val="12"/>
                      </w:rPr>
                      <w:t>společnost je zapsána v obchodním rejstříku vedeném Městským soudem v Praze, oddíl 8, vložka 2012</w:t>
                    </w:r>
                  </w:p>
                  <w:p w:rsidR="008F05AE" w:rsidRDefault="008F05AE">
                    <w:pPr>
                      <w:pStyle w:val="Style4"/>
                      <w:shd w:val="clear" w:color="auto" w:fill="auto"/>
                      <w:rPr>
                        <w:sz w:val="12"/>
                        <w:szCs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169" w:rsidRDefault="00B35169"/>
  </w:footnote>
  <w:footnote w:type="continuationSeparator" w:id="0">
    <w:p w:rsidR="00B35169" w:rsidRDefault="00B35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861695</wp:posOffset>
              </wp:positionH>
              <wp:positionV relativeFrom="page">
                <wp:posOffset>1438910</wp:posOffset>
              </wp:positionV>
              <wp:extent cx="606425" cy="140335"/>
              <wp:effectExtent l="0" t="0" r="0" b="0"/>
              <wp:wrapNone/>
              <wp:docPr id="1" name="Shape 1"/>
              <wp:cNvGraphicFramePr/>
              <a:graphic xmlns:a="http://schemas.openxmlformats.org/drawingml/2006/main">
                <a:graphicData uri="http://schemas.microsoft.com/office/word/2010/wordprocessingShape">
                  <wps:wsp>
                    <wps:cNvSpPr txBox="1"/>
                    <wps:spPr>
                      <a:xfrm>
                        <a:off x="0" y="0"/>
                        <a:ext cx="606425" cy="140335"/>
                      </a:xfrm>
                      <a:prstGeom prst="rect">
                        <a:avLst/>
                      </a:prstGeom>
                      <a:noFill/>
                    </wps:spPr>
                    <wps:txbx>
                      <w:txbxContent>
                        <w:p w:rsidR="008F05AE" w:rsidRDefault="00000000">
                          <w:pPr>
                            <w:pStyle w:val="Style4"/>
                            <w:pBdr>
                              <w:top w:val="single" w:sz="0" w:space="0" w:color="000000"/>
                              <w:left w:val="single" w:sz="0" w:space="0" w:color="000000"/>
                              <w:bottom w:val="single" w:sz="0" w:space="0" w:color="000000"/>
                              <w:right w:val="single" w:sz="0" w:space="0" w:color="000000"/>
                            </w:pBdr>
                            <w:shd w:val="clear" w:color="auto" w:fill="000000"/>
                            <w:rPr>
                              <w:sz w:val="28"/>
                              <w:szCs w:val="28"/>
                            </w:rPr>
                          </w:pPr>
                          <w:r>
                            <w:rPr>
                              <w:rFonts w:ascii="Arial" w:eastAsia="Arial" w:hAnsi="Arial" w:cs="Arial"/>
                              <w:b/>
                              <w:bCs/>
                              <w:color w:val="FFFFFF"/>
                              <w:sz w:val="28"/>
                              <w:szCs w:val="28"/>
                              <w:lang w:val="en-US" w:eastAsia="en-US" w:bidi="en-US"/>
                            </w:rPr>
                            <w:t>UNIQA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67.85pt;margin-top:113.3pt;width:47.75pt;height:11.0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" filled="f" stroked="f">
              <v:textbox style="mso-fit-shape-to-text:t" inset="0,0,0,0">
                <w:txbxContent>
                  <w:p w:rsidR="008F05AE" w:rsidRDefault="00000000">
                    <w:pPr>
                      <w:pStyle w:val="Style4"/>
                      <w:pBdr>
                        <w:top w:val="single" w:sz="0" w:space="0" w:color="000000"/>
                        <w:left w:val="single" w:sz="0" w:space="0" w:color="000000"/>
                        <w:bottom w:val="single" w:sz="0" w:space="0" w:color="000000"/>
                        <w:right w:val="single" w:sz="0" w:space="0" w:color="000000"/>
                      </w:pBdr>
                      <w:shd w:val="clear" w:color="auto" w:fill="000000"/>
                      <w:rPr>
                        <w:sz w:val="28"/>
                        <w:szCs w:val="28"/>
                      </w:rPr>
                    </w:pPr>
                    <w:r>
                      <w:rPr>
                        <w:rFonts w:ascii="Arial" w:eastAsia="Arial" w:hAnsi="Arial" w:cs="Arial"/>
                        <w:b/>
                        <w:bCs/>
                        <w:color w:val="FFFFFF"/>
                        <w:sz w:val="28"/>
                        <w:szCs w:val="28"/>
                        <w:lang w:val="en-US" w:eastAsia="en-US" w:bidi="en-US"/>
                      </w:rPr>
                      <w:t>UNIQA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8F05A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8F05A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000000">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806450</wp:posOffset>
              </wp:positionH>
              <wp:positionV relativeFrom="page">
                <wp:posOffset>1486535</wp:posOffset>
              </wp:positionV>
              <wp:extent cx="600710" cy="149225"/>
              <wp:effectExtent l="0" t="0" r="0" b="0"/>
              <wp:wrapNone/>
              <wp:docPr id="17" name="Shape 17"/>
              <wp:cNvGraphicFramePr/>
              <a:graphic xmlns:a="http://schemas.openxmlformats.org/drawingml/2006/main">
                <a:graphicData uri="http://schemas.microsoft.com/office/word/2010/wordprocessingShape">
                  <wps:wsp>
                    <wps:cNvSpPr txBox="1"/>
                    <wps:spPr>
                      <a:xfrm>
                        <a:off x="0" y="0"/>
                        <a:ext cx="600710" cy="149225"/>
                      </a:xfrm>
                      <a:prstGeom prst="rect">
                        <a:avLst/>
                      </a:prstGeom>
                      <a:noFill/>
                    </wps:spPr>
                    <wps:txbx>
                      <w:txbxContent>
                        <w:p w:rsidR="008F05AE" w:rsidRDefault="00000000">
                          <w:pPr>
                            <w:pStyle w:val="Style4"/>
                            <w:pBdr>
                              <w:top w:val="single" w:sz="0" w:space="0" w:color="000000"/>
                              <w:left w:val="single" w:sz="0" w:space="0" w:color="000000"/>
                              <w:bottom w:val="single" w:sz="0" w:space="0" w:color="000000"/>
                              <w:right w:val="single" w:sz="0" w:space="0" w:color="000000"/>
                            </w:pBdr>
                            <w:shd w:val="clear" w:color="auto" w:fill="000000"/>
                            <w:rPr>
                              <w:sz w:val="28"/>
                              <w:szCs w:val="28"/>
                            </w:rPr>
                          </w:pPr>
                          <w:r>
                            <w:rPr>
                              <w:rFonts w:ascii="Arial" w:eastAsia="Arial" w:hAnsi="Arial" w:cs="Arial"/>
                              <w:b/>
                              <w:bCs/>
                              <w:color w:val="FFFFFF"/>
                              <w:sz w:val="28"/>
                              <w:szCs w:val="28"/>
                              <w:lang w:val="en-US" w:eastAsia="en-US" w:bidi="en-US"/>
                            </w:rPr>
                            <w:t>UNIQA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63.5pt;margin-top:117.05pt;width:47.3pt;height:11.7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" filled="f" stroked="f">
              <v:textbox style="mso-fit-shape-to-text:t" inset="0,0,0,0">
                <w:txbxContent>
                  <w:p w:rsidR="008F05AE" w:rsidRDefault="00000000">
                    <w:pPr>
                      <w:pStyle w:val="Style4"/>
                      <w:pBdr>
                        <w:top w:val="single" w:sz="0" w:space="0" w:color="000000"/>
                        <w:left w:val="single" w:sz="0" w:space="0" w:color="000000"/>
                        <w:bottom w:val="single" w:sz="0" w:space="0" w:color="000000"/>
                        <w:right w:val="single" w:sz="0" w:space="0" w:color="000000"/>
                      </w:pBdr>
                      <w:shd w:val="clear" w:color="auto" w:fill="000000"/>
                      <w:rPr>
                        <w:sz w:val="28"/>
                        <w:szCs w:val="28"/>
                      </w:rPr>
                    </w:pPr>
                    <w:r>
                      <w:rPr>
                        <w:rFonts w:ascii="Arial" w:eastAsia="Arial" w:hAnsi="Arial" w:cs="Arial"/>
                        <w:b/>
                        <w:bCs/>
                        <w:color w:val="FFFFFF"/>
                        <w:sz w:val="28"/>
                        <w:szCs w:val="28"/>
                        <w:lang w:val="en-US" w:eastAsia="en-US" w:bidi="en-US"/>
                      </w:rPr>
                      <w:t>UNIQA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Pr="00045955" w:rsidRDefault="008F05AE" w:rsidP="0004595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05AE" w:rsidRDefault="008F0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847"/>
    <w:multiLevelType w:val="multilevel"/>
    <w:tmpl w:val="EB0A805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AB19E4"/>
    <w:multiLevelType w:val="multilevel"/>
    <w:tmpl w:val="008EB0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5A5641"/>
    <w:multiLevelType w:val="multilevel"/>
    <w:tmpl w:val="82021D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D7132E"/>
    <w:multiLevelType w:val="multilevel"/>
    <w:tmpl w:val="F850D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E85009"/>
    <w:multiLevelType w:val="multilevel"/>
    <w:tmpl w:val="4A1A1C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952F3E"/>
    <w:multiLevelType w:val="multilevel"/>
    <w:tmpl w:val="4BE27112"/>
    <w:lvl w:ilvl="0">
      <w:start w:val="1"/>
      <w:numFmt w:val="bullet"/>
      <w:lvlText w:val="V"/>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FF1C66"/>
    <w:multiLevelType w:val="multilevel"/>
    <w:tmpl w:val="54A82E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4269149">
    <w:abstractNumId w:val="2"/>
  </w:num>
  <w:num w:numId="2" w16cid:durableId="1505776365">
    <w:abstractNumId w:val="1"/>
  </w:num>
  <w:num w:numId="3" w16cid:durableId="1416324149">
    <w:abstractNumId w:val="0"/>
  </w:num>
  <w:num w:numId="4" w16cid:durableId="1774589839">
    <w:abstractNumId w:val="3"/>
  </w:num>
  <w:num w:numId="5" w16cid:durableId="1559900127">
    <w:abstractNumId w:val="4"/>
  </w:num>
  <w:num w:numId="6" w16cid:durableId="1327048816">
    <w:abstractNumId w:val="6"/>
  </w:num>
  <w:num w:numId="7" w16cid:durableId="1206985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AE"/>
    <w:rsid w:val="00045955"/>
    <w:rsid w:val="003A0414"/>
    <w:rsid w:val="008F05AE"/>
    <w:rsid w:val="00B351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CEAB8"/>
  <w15:docId w15:val="{DC2E1172-900B-4BEF-A5EE-FDC7417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bCs/>
      <w:i w:val="0"/>
      <w:iCs w:val="0"/>
      <w:smallCaps w:val="0"/>
      <w:strike w:val="0"/>
      <w:sz w:val="28"/>
      <w:szCs w:val="28"/>
      <w:u w:val="none"/>
    </w:rPr>
  </w:style>
  <w:style w:type="character" w:customStyle="1" w:styleId="CharStyle5">
    <w:name w:val="Char Style 5"/>
    <w:basedOn w:val="Standardnpsmoodstavce"/>
    <w:link w:val="Style4"/>
    <w:rPr>
      <w:b w:val="0"/>
      <w:bCs w:val="0"/>
      <w:i w:val="0"/>
      <w:iCs w:val="0"/>
      <w:smallCaps w:val="0"/>
      <w:strike w:val="0"/>
      <w:sz w:val="20"/>
      <w:szCs w:val="20"/>
      <w:u w:val="none"/>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26"/>
      <w:szCs w:val="26"/>
      <w:u w:val="none"/>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z w:val="17"/>
      <w:szCs w:val="17"/>
      <w:u w:val="none"/>
    </w:rPr>
  </w:style>
  <w:style w:type="character" w:customStyle="1" w:styleId="CharStyle15">
    <w:name w:val="Char Style 15"/>
    <w:basedOn w:val="Standardnpsmoodstavce"/>
    <w:link w:val="Style14"/>
    <w:rPr>
      <w:rFonts w:ascii="Arial" w:eastAsia="Arial" w:hAnsi="Arial" w:cs="Arial"/>
      <w:b w:val="0"/>
      <w:bCs w:val="0"/>
      <w:i w:val="0"/>
      <w:iCs w:val="0"/>
      <w:smallCaps w:val="0"/>
      <w:strike w:val="0"/>
      <w:sz w:val="17"/>
      <w:szCs w:val="17"/>
      <w:u w:val="none"/>
    </w:rPr>
  </w:style>
  <w:style w:type="character" w:customStyle="1" w:styleId="CharStyle18">
    <w:name w:val="Char Style 18"/>
    <w:basedOn w:val="Standardnpsmoodstavce"/>
    <w:link w:val="Style17"/>
    <w:rPr>
      <w:rFonts w:ascii="Arial" w:eastAsia="Arial" w:hAnsi="Arial" w:cs="Arial"/>
      <w:b/>
      <w:bCs/>
      <w:i w:val="0"/>
      <w:iCs w:val="0"/>
      <w:smallCaps w:val="0"/>
      <w:strike w:val="0"/>
      <w:sz w:val="18"/>
      <w:szCs w:val="18"/>
      <w:u w:val="single"/>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7"/>
      <w:szCs w:val="17"/>
      <w:u w:val="none"/>
    </w:rPr>
  </w:style>
  <w:style w:type="character" w:customStyle="1" w:styleId="CharStyle26">
    <w:name w:val="Char Style 26"/>
    <w:basedOn w:val="Standardnpsmoodstavce"/>
    <w:link w:val="Style25"/>
    <w:rPr>
      <w:rFonts w:ascii="Arial" w:eastAsia="Arial" w:hAnsi="Arial" w:cs="Arial"/>
      <w:b w:val="0"/>
      <w:bCs w:val="0"/>
      <w:i w:val="0"/>
      <w:iCs w:val="0"/>
      <w:smallCaps w:val="0"/>
      <w:strike w:val="0"/>
      <w:sz w:val="12"/>
      <w:szCs w:val="12"/>
      <w:u w:val="none"/>
    </w:rPr>
  </w:style>
  <w:style w:type="character" w:customStyle="1" w:styleId="CharStyle30">
    <w:name w:val="Char Style 30"/>
    <w:basedOn w:val="Standardnpsmoodstavce"/>
    <w:link w:val="Style29"/>
    <w:rPr>
      <w:rFonts w:ascii="Arial" w:eastAsia="Arial" w:hAnsi="Arial" w:cs="Arial"/>
      <w:b w:val="0"/>
      <w:bCs w:val="0"/>
      <w:i w:val="0"/>
      <w:iCs w:val="0"/>
      <w:smallCaps/>
      <w:strike w:val="0"/>
      <w:sz w:val="20"/>
      <w:szCs w:val="20"/>
      <w:u w:val="none"/>
    </w:rPr>
  </w:style>
  <w:style w:type="character" w:customStyle="1" w:styleId="CharStyle32">
    <w:name w:val="Char Style 32"/>
    <w:basedOn w:val="Standardnpsmoodstavce"/>
    <w:link w:val="Style31"/>
    <w:rPr>
      <w:b w:val="0"/>
      <w:bCs w:val="0"/>
      <w:i w:val="0"/>
      <w:iCs w:val="0"/>
      <w:smallCaps w:val="0"/>
      <w:strike w:val="0"/>
      <w:color w:val="EBEBEB"/>
      <w:sz w:val="54"/>
      <w:szCs w:val="54"/>
      <w:u w:val="none"/>
      <w:lang w:val="en-US" w:eastAsia="en-US" w:bidi="en-US"/>
    </w:rPr>
  </w:style>
  <w:style w:type="paragraph" w:customStyle="1" w:styleId="Style2">
    <w:name w:val="Style 2"/>
    <w:basedOn w:val="Normln"/>
    <w:link w:val="CharStyle3"/>
    <w:pPr>
      <w:shd w:val="clear" w:color="auto" w:fill="FFFFFF"/>
      <w:spacing w:after="350"/>
      <w:outlineLvl w:val="1"/>
    </w:pPr>
    <w:rPr>
      <w:rFonts w:ascii="Arial" w:eastAsia="Arial" w:hAnsi="Arial" w:cs="Arial"/>
      <w:b/>
      <w:bCs/>
      <w:sz w:val="28"/>
      <w:szCs w:val="28"/>
    </w:rPr>
  </w:style>
  <w:style w:type="paragraph" w:customStyle="1" w:styleId="Style4">
    <w:name w:val="Style 4"/>
    <w:basedOn w:val="Normln"/>
    <w:link w:val="CharStyle5"/>
    <w:pPr>
      <w:shd w:val="clear" w:color="auto" w:fill="FFFFFF"/>
    </w:pPr>
    <w:rPr>
      <w:sz w:val="20"/>
      <w:szCs w:val="20"/>
    </w:rPr>
  </w:style>
  <w:style w:type="paragraph" w:customStyle="1" w:styleId="Style8">
    <w:name w:val="Style 8"/>
    <w:basedOn w:val="Normln"/>
    <w:link w:val="CharStyle9"/>
    <w:pPr>
      <w:shd w:val="clear" w:color="auto" w:fill="FFFFFF"/>
      <w:spacing w:after="640"/>
      <w:jc w:val="center"/>
    </w:pPr>
    <w:rPr>
      <w:rFonts w:ascii="Arial" w:eastAsia="Arial" w:hAnsi="Arial" w:cs="Arial"/>
      <w:sz w:val="26"/>
      <w:szCs w:val="26"/>
    </w:rPr>
  </w:style>
  <w:style w:type="paragraph" w:customStyle="1" w:styleId="Style10">
    <w:name w:val="Style 10"/>
    <w:basedOn w:val="Normln"/>
    <w:link w:val="CharStyle11"/>
    <w:pPr>
      <w:shd w:val="clear" w:color="auto" w:fill="FFFFFF"/>
      <w:spacing w:line="310" w:lineRule="auto"/>
    </w:pPr>
    <w:rPr>
      <w:rFonts w:ascii="Arial" w:eastAsia="Arial" w:hAnsi="Arial" w:cs="Arial"/>
      <w:sz w:val="17"/>
      <w:szCs w:val="17"/>
    </w:rPr>
  </w:style>
  <w:style w:type="paragraph" w:customStyle="1" w:styleId="Style14">
    <w:name w:val="Style 14"/>
    <w:basedOn w:val="Normln"/>
    <w:link w:val="CharStyle15"/>
    <w:pPr>
      <w:shd w:val="clear" w:color="auto" w:fill="FFFFFF"/>
      <w:spacing w:after="180" w:line="259" w:lineRule="auto"/>
      <w:ind w:firstLine="40"/>
    </w:pPr>
    <w:rPr>
      <w:rFonts w:ascii="Arial" w:eastAsia="Arial" w:hAnsi="Arial" w:cs="Arial"/>
      <w:sz w:val="17"/>
      <w:szCs w:val="17"/>
    </w:rPr>
  </w:style>
  <w:style w:type="paragraph" w:customStyle="1" w:styleId="Style17">
    <w:name w:val="Style 17"/>
    <w:basedOn w:val="Normln"/>
    <w:link w:val="CharStyle18"/>
    <w:pPr>
      <w:shd w:val="clear" w:color="auto" w:fill="FFFFFF"/>
      <w:spacing w:after="90"/>
      <w:outlineLvl w:val="2"/>
    </w:pPr>
    <w:rPr>
      <w:rFonts w:ascii="Arial" w:eastAsia="Arial" w:hAnsi="Arial" w:cs="Arial"/>
      <w:b/>
      <w:bCs/>
      <w:sz w:val="18"/>
      <w:szCs w:val="18"/>
      <w:u w:val="single"/>
    </w:rPr>
  </w:style>
  <w:style w:type="paragraph" w:customStyle="1" w:styleId="Style20">
    <w:name w:val="Style 20"/>
    <w:basedOn w:val="Normln"/>
    <w:link w:val="CharStyle21"/>
    <w:pPr>
      <w:shd w:val="clear" w:color="auto" w:fill="FFFFFF"/>
      <w:spacing w:after="180" w:line="259" w:lineRule="auto"/>
      <w:ind w:firstLine="40"/>
    </w:pPr>
    <w:rPr>
      <w:rFonts w:ascii="Arial" w:eastAsia="Arial" w:hAnsi="Arial" w:cs="Arial"/>
      <w:sz w:val="17"/>
      <w:szCs w:val="17"/>
    </w:rPr>
  </w:style>
  <w:style w:type="paragraph" w:customStyle="1" w:styleId="Style25">
    <w:name w:val="Style 25"/>
    <w:basedOn w:val="Normln"/>
    <w:link w:val="CharStyle26"/>
    <w:pPr>
      <w:shd w:val="clear" w:color="auto" w:fill="FFFFFF"/>
      <w:spacing w:after="100" w:line="266" w:lineRule="auto"/>
      <w:jc w:val="center"/>
    </w:pPr>
    <w:rPr>
      <w:rFonts w:ascii="Arial" w:eastAsia="Arial" w:hAnsi="Arial" w:cs="Arial"/>
      <w:sz w:val="12"/>
      <w:szCs w:val="12"/>
    </w:rPr>
  </w:style>
  <w:style w:type="paragraph" w:customStyle="1" w:styleId="Style29">
    <w:name w:val="Style 29"/>
    <w:basedOn w:val="Normln"/>
    <w:link w:val="CharStyle30"/>
    <w:pPr>
      <w:shd w:val="clear" w:color="auto" w:fill="FFFFFF"/>
      <w:spacing w:line="214" w:lineRule="auto"/>
      <w:ind w:firstLine="240"/>
    </w:pPr>
    <w:rPr>
      <w:rFonts w:ascii="Arial" w:eastAsia="Arial" w:hAnsi="Arial" w:cs="Arial"/>
      <w:smallCaps/>
      <w:sz w:val="20"/>
      <w:szCs w:val="20"/>
    </w:rPr>
  </w:style>
  <w:style w:type="paragraph" w:customStyle="1" w:styleId="Style31">
    <w:name w:val="Style 31"/>
    <w:basedOn w:val="Normln"/>
    <w:link w:val="CharStyle32"/>
    <w:pPr>
      <w:shd w:val="clear" w:color="auto" w:fill="FFFFFF"/>
      <w:jc w:val="center"/>
      <w:outlineLvl w:val="0"/>
    </w:pPr>
    <w:rPr>
      <w:color w:val="EBEBEB"/>
      <w:sz w:val="54"/>
      <w:szCs w:val="54"/>
      <w:lang w:val="en-US" w:eastAsia="en-US" w:bidi="en-US"/>
    </w:rPr>
  </w:style>
  <w:style w:type="paragraph" w:styleId="Zhlav">
    <w:name w:val="header"/>
    <w:basedOn w:val="Normln"/>
    <w:link w:val="ZhlavChar"/>
    <w:uiPriority w:val="99"/>
    <w:unhideWhenUsed/>
    <w:rsid w:val="003A0414"/>
    <w:pPr>
      <w:tabs>
        <w:tab w:val="center" w:pos="4536"/>
        <w:tab w:val="right" w:pos="9072"/>
      </w:tabs>
    </w:pPr>
  </w:style>
  <w:style w:type="character" w:customStyle="1" w:styleId="ZhlavChar">
    <w:name w:val="Záhlaví Char"/>
    <w:basedOn w:val="Standardnpsmoodstavce"/>
    <w:link w:val="Zhlav"/>
    <w:uiPriority w:val="99"/>
    <w:rsid w:val="003A0414"/>
    <w:rPr>
      <w:color w:val="000000"/>
    </w:rPr>
  </w:style>
  <w:style w:type="paragraph" w:styleId="Zpat">
    <w:name w:val="footer"/>
    <w:basedOn w:val="Normln"/>
    <w:link w:val="ZpatChar"/>
    <w:uiPriority w:val="99"/>
    <w:unhideWhenUsed/>
    <w:rsid w:val="003A0414"/>
    <w:pPr>
      <w:tabs>
        <w:tab w:val="center" w:pos="4536"/>
        <w:tab w:val="right" w:pos="9072"/>
      </w:tabs>
    </w:pPr>
  </w:style>
  <w:style w:type="character" w:customStyle="1" w:styleId="ZpatChar">
    <w:name w:val="Zápatí Char"/>
    <w:basedOn w:val="Standardnpsmoodstavce"/>
    <w:link w:val="Zpat"/>
    <w:uiPriority w:val="99"/>
    <w:rsid w:val="003A04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1547</Words>
  <Characters>9133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Vališová Kateřina</cp:lastModifiedBy>
  <cp:revision>2</cp:revision>
  <dcterms:created xsi:type="dcterms:W3CDTF">2023-10-03T15:13:00Z</dcterms:created>
  <dcterms:modified xsi:type="dcterms:W3CDTF">2023-10-03T15:13:00Z</dcterms:modified>
</cp:coreProperties>
</file>