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0" w:after="0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ZŠ Nad Plovárnou</w:t>
      </w:r>
    </w:p>
    <w:p>
      <w:pPr>
        <w:ind w:right="0" w:left="2448" w:firstLine="0"/>
        <w:spacing w:before="72" w:after="0" w:line="216" w:lineRule="auto"/>
        <w:jc w:val="left"/>
        <w:rPr>
          <w:b w:val="true"/>
          <w:color w:val="#000000"/>
          <w:sz w:val="27"/>
          <w:lang w:val="cs-CZ"/>
          <w:spacing w:val="6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7"/>
          <w:lang w:val="cs-CZ"/>
          <w:spacing w:val="68"/>
          <w:w w:val="100"/>
          <w:strike w:val="false"/>
          <w:vertAlign w:val="baseline"/>
          <w:rFonts w:ascii="Arial" w:hAnsi="Arial"/>
        </w:rPr>
        <w:t xml:space="preserve">DODATEK </w:t>
      </w:r>
      <w:r>
        <w:rPr>
          <w:b w:val="true"/>
          <w:color w:val="#000000"/>
          <w:sz w:val="27"/>
          <w:lang w:val="cs-CZ"/>
          <w:spacing w:val="68"/>
          <w:w w:val="100"/>
          <w:strike w:val="false"/>
          <w:vertAlign w:val="baseline"/>
          <w:rFonts w:ascii="Arial" w:hAnsi="Arial"/>
        </w:rPr>
        <w:t xml:space="preserve">č. 23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068"/>
        <w:gridCol w:w="6032"/>
      </w:tblGrid>
      <w:tr>
        <w:trPr>
          <w:trHeight w:val="57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8" w:type="auto"/>
            <w:textDirection w:val="lrTb"/>
            <w:vAlign w:val="bottom"/>
          </w:tcPr>
          <w:p>
            <w:pPr>
              <w:ind w:right="0" w:left="10" w:firstLine="0"/>
              <w:spacing w:before="252" w:after="0" w:line="240" w:lineRule="auto"/>
              <w:jc w:val="left"/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ke smlouv</w:t>
            </w: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ě o dodávce a odběru tepla č.: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bottom"/>
          </w:tcPr>
          <w:p>
            <w:pPr>
              <w:ind w:right="4837" w:left="0" w:firstLine="0"/>
              <w:spacing w:before="252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212001/05</w:t>
            </w:r>
          </w:p>
        </w:tc>
      </w:tr>
      <w:tr>
        <w:trPr>
          <w:trHeight w:val="28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8" w:type="auto"/>
            <w:textDirection w:val="lrTb"/>
            <w:vAlign w:val="center"/>
          </w:tcPr>
          <w:p>
            <w:pPr>
              <w:ind w:right="0" w:left="1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číslo přihlášky: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4837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361</w:t>
            </w:r>
          </w:p>
        </w:tc>
      </w:tr>
      <w:tr>
        <w:trPr>
          <w:trHeight w:val="32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068" w:type="auto"/>
            <w:textDirection w:val="lrTb"/>
            <w:vAlign w:val="center"/>
          </w:tcPr>
          <w:p>
            <w:pPr>
              <w:ind w:right="0" w:left="1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číslo dohody o ceně: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4837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</w:tr>
    </w:tbl>
    <w:p>
      <w:pPr>
        <w:spacing w:before="0" w:after="808" w:line="20" w:lineRule="exact"/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 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řihlédnutím k cenám tepelné energie, v souvislosti se změnou ceny</w:t>
      </w:r>
    </w:p>
    <w:p>
      <w:pPr>
        <w:ind w:right="2088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plynu a elekt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řiny k 1. 1. 2017 a s ohledem na předpokládaný vývoj spotřeby 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tepla, se s platností od </w:t>
      </w:r>
      <w:r>
        <w:rPr>
          <w:b w:val="true"/>
          <w:color w:val="#000000"/>
          <w:sz w:val="22"/>
          <w:lang w:val="cs-CZ"/>
          <w:spacing w:val="6"/>
          <w:w w:val="100"/>
          <w:strike w:val="false"/>
          <w:u w:val="single"/>
          <w:vertAlign w:val="baseline"/>
          <w:rFonts w:ascii="Arial" w:hAnsi="Arial"/>
        </w:rPr>
        <w:t xml:space="preserve">1. 1. 2017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 mění příloha č. 2 a 3 takto:</w:t>
      </w:r>
    </w:p>
    <w:p>
      <w:pPr>
        <w:ind w:right="0" w:left="0" w:firstLine="0"/>
        <w:spacing w:before="648" w:after="0" w:line="537" w:lineRule="auto"/>
        <w:jc w:val="center"/>
        <w:rPr>
          <w:b w:val="true"/>
          <w:color w:val="#000000"/>
          <w:sz w:val="24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říloha č. 2 </w:t>
      </w:r>
      <w:r>
        <w:rPr>
          <w:b w:val="true"/>
          <w:color w:val="#000000"/>
          <w:sz w:val="6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- 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Přihláška k odběru tepla
</w:t>
        <w:br/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bod 5. Dodávka tepla pro otop a ohřev TUV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87"/>
        <w:gridCol w:w="281"/>
        <w:gridCol w:w="5022"/>
        <w:gridCol w:w="1887"/>
        <w:gridCol w:w="608"/>
        <w:gridCol w:w="1615"/>
      </w:tblGrid>
      <w:tr>
        <w:trPr>
          <w:trHeight w:val="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7" w:type="auto"/>
            <w:textDirection w:val="lrTb"/>
            <w:vAlign w:val="center"/>
          </w:tcPr>
          <w:p>
            <w:pPr>
              <w:ind w:right="39" w:left="0" w:firstLine="0"/>
              <w:spacing w:before="0" w:after="0" w:line="240" w:lineRule="auto"/>
              <w:jc w:val="right"/>
              <w:tabs>
                <w:tab w:val="clear" w:pos="576"/>
                <w:tab w:val="decimal" w:pos="576"/>
              </w:tabs>
              <w:numPr>
                <w:ilvl w:val="0"/>
                <w:numId w:val="2"/>
              </w:numP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990" w:type="auto"/>
            <w:textDirection w:val="lrTb"/>
            <w:vAlign w:val="center"/>
          </w:tcPr>
          <w:p>
            <w:pPr>
              <w:ind w:right="1771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22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ředpoklad spotřeby tepla za rok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77" w:type="auto"/>
            <w:textDirection w:val="lrTb"/>
            <w:vAlign w:val="center"/>
          </w:tcPr>
          <w:p>
            <w:pPr>
              <w:ind w:right="58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85" w:type="auto"/>
            <w:textDirection w:val="lrTb"/>
            <w:vAlign w:val="center"/>
          </w:tcPr>
          <w:p>
            <w:pPr>
              <w:ind w:right="205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1151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GJ</w:t>
            </w:r>
          </w:p>
        </w:tc>
      </w:tr>
      <w:tr>
        <w:trPr>
          <w:trHeight w:val="31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7" w:type="auto"/>
            <w:textDirection w:val="lrTb"/>
            <w:vAlign w:val="center"/>
          </w:tcPr>
          <w:p>
            <w:pPr>
              <w:ind w:right="39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990" w:type="auto"/>
            <w:textDirection w:val="lrTb"/>
            <w:vAlign w:val="center"/>
          </w:tcPr>
          <w:p>
            <w:pPr>
              <w:ind w:right="0" w:left="349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 z toho byty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85" w:type="auto"/>
            <w:textDirection w:val="lrTb"/>
            <w:vAlign w:val="center"/>
          </w:tcPr>
          <w:p>
            <w:pPr>
              <w:ind w:right="205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1151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GJ</w:t>
            </w:r>
          </w:p>
        </w:tc>
      </w:tr>
      <w:tr>
        <w:trPr>
          <w:trHeight w:val="3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87" w:type="auto"/>
            <w:textDirection w:val="lrTb"/>
            <w:vAlign w:val="center"/>
          </w:tcPr>
          <w:p>
            <w:pPr>
              <w:ind w:right="39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990" w:type="auto"/>
            <w:textDirection w:val="lrTb"/>
            <w:vAlign w:val="center"/>
          </w:tcPr>
          <w:p>
            <w:pPr>
              <w:ind w:right="0" w:left="349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 toho nebyty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77" w:type="auto"/>
            <w:textDirection w:val="lrTb"/>
            <w:vAlign w:val="center"/>
          </w:tcPr>
          <w:p>
            <w:pPr>
              <w:ind w:right="58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85" w:type="auto"/>
            <w:textDirection w:val="lrTb"/>
            <w:vAlign w:val="center"/>
          </w:tcPr>
          <w:p>
            <w:pPr>
              <w:ind w:right="205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1151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GJ</w:t>
            </w:r>
          </w:p>
        </w:tc>
      </w:tr>
    </w:tbl>
    <w:p>
      <w:pPr>
        <w:spacing w:before="0" w:after="808" w:line="20" w:lineRule="exact"/>
      </w:pPr>
    </w:p>
    <w:p>
      <w:pPr>
        <w:ind w:right="0" w:left="0" w:firstLine="0"/>
        <w:spacing w:before="0" w:after="0" w:line="213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říloha č. 3 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-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Dohoda o ceně </w:t>
      </w:r>
    </w:p>
    <w:p>
      <w:pPr>
        <w:ind w:right="0" w:left="0" w:firstLine="0"/>
        <w:spacing w:before="288" w:after="0" w:line="208" w:lineRule="auto"/>
        <w:jc w:val="left"/>
        <w:rPr>
          <w:b w:val="true"/>
          <w:color w:val="#000000"/>
          <w:sz w:val="27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7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ČI.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 - Dohoda o ceně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3. Stanovení ceny a výpo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čet záloh za dodávku tepla</w:t>
      </w:r>
    </w:p>
    <w:p>
      <w:pPr>
        <w:ind w:right="0" w:left="0" w:firstLine="0"/>
        <w:spacing w:before="288" w:after="0" w:line="266" w:lineRule="auto"/>
        <w:jc w:val="left"/>
        <w:tabs>
          <w:tab w:val="left" w:leader="none" w:pos="7574"/>
          <w:tab w:val="right" w:leader="none" w:pos="9298"/>
        </w:tabs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3.1. P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ředpokládaná roční kalkulovaná cena pro r. 2017 (vč.15% </w:t>
      </w:r>
      <w:r>
        <w:rPr>
          <w:b w:val="true"/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DPH)	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586,48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Kč/GJ</w:t>
      </w:r>
    </w:p>
    <w:p>
      <w:pPr>
        <w:ind w:right="0" w:left="6840" w:firstLine="0"/>
        <w:spacing w:before="72" w:after="0" w:line="273" w:lineRule="auto"/>
        <w:jc w:val="left"/>
        <w:tabs>
          <w:tab w:val="left" w:leader="none" w:pos="7574"/>
          <w:tab w:val="right" w:leader="none" w:pos="9428"/>
        </w:tabs>
        <w:rPr>
          <w:color w:val="#000000"/>
          <w:sz w:val="18"/>
          <w:lang w:val="cs-CZ"/>
          <w:spacing w:val="-1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cs-CZ"/>
          <w:spacing w:val="-12"/>
          <w:w w:val="100"/>
          <w:strike w:val="false"/>
          <w:vertAlign w:val="baseline"/>
          <w:rFonts w:ascii="Tahoma" w:hAnsi="Tahoma"/>
        </w:rPr>
        <w:t xml:space="preserve">(tj.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2,11131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K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č/kWh)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9298"/>
        </w:tabs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3.2. Výše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ro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ční zálohy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 odebrané teplo a TUV celkem	</w:t>
      </w:r>
      <w:r>
        <w:rPr>
          <w:color w:val="#000000"/>
          <w:sz w:val="22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1 055 664 Kč/rok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3.3. Výše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ěsíční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zálohy</w:t>
      </w:r>
    </w:p>
    <w:p>
      <w:pPr>
        <w:ind w:right="0" w:left="504" w:firstLine="0"/>
        <w:spacing w:before="36" w:after="0" w:line="240" w:lineRule="auto"/>
        <w:jc w:val="left"/>
        <w:tabs>
          <w:tab w:val="left" w:leader="none" w:pos="7574"/>
          <w:tab w:val="right" w:leader="none" w:pos="9453"/>
        </w:tabs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(1/12 ro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čního předpokladu zaokrouhlená na celé stovky)	</w:t>
      </w:r>
      <w: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88 000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Kč/měs.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Ostatní text z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ůstává beze změny.</w:t>
      </w:r>
    </w:p>
    <w:p>
      <w:pPr>
        <w:ind w:right="0" w:left="0" w:firstLine="0"/>
        <w:spacing w:before="828" w:after="324" w:line="211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Jihlav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 dne 1. 12. 2016</w:t>
      </w:r>
    </w:p>
    <w:p>
      <w:pPr>
        <w:sectPr>
          <w:pgSz w:w="11918" w:h="16854" w:orient="portrait"/>
          <w:type w:val="nextPage"/>
          <w:textDirection w:val="lrTb"/>
          <w:pgMar w:bottom="380" w:top="824" w:right="846" w:left="912" w:header="720" w:footer="720"/>
          <w:titlePg w:val="false"/>
        </w:sectPr>
      </w:pPr>
    </w:p>
    <w:p>
      <w:pPr>
        <w:ind w:right="0" w:left="0" w:firstLine="0"/>
        <w:spacing w:before="1919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05pt;height:106.55pt;z-index:-1000;margin-left:0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30.8pt;height:14.75pt;z-index:-999;margin-left:374.2pt;margin-top:2.4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576" w:firstLine="0"/>
                    <w:spacing w:before="72" w:after="108" w:line="42" w:lineRule="exact"/>
                    <w:jc w:val="left"/>
                    <w:framePr w:hAnchor="text" w:vAnchor="text" w:x="7484" w:y="49" w:w="2616" w:h="295" w:hSpace="0" w:vSpace="0" w:wrap="none"/>
                    <w:rPr>
                      <w:b w:val="true"/>
                      <w:color w:val="#000000"/>
                      <w:sz w:val="6"/>
                      <w:lang w:val="cs-CZ"/>
                      <w:spacing w:val="-22"/>
                      <w:w w:val="13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6"/>
                      <w:lang w:val="cs-CZ"/>
                      <w:spacing w:val="-22"/>
                      <w:w w:val="135"/>
                      <w:strike w:val="false"/>
                      <w:vertAlign w:val="baseline"/>
                      <w:rFonts w:ascii="Arial" w:hAnsi="Arial"/>
                    </w:rPr>
                    <w:t xml:space="preserve">28.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4.7pt;height:18.7pt;z-index:-998;margin-left:268pt;margin-top:27.7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39" w:left="288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450215" cy="23749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215" cy="23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06.2pt;height:19.65pt;z-index:-997;margin-left:268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40" w:lineRule="auto"/>
                    <w:jc w:val="left"/>
                    <w:framePr w:hAnchor="text" w:vAnchor="text" w:x="5360" w:w="2124" w:h="393" w:hSpace="0" w:vSpace="0" w:wrap="none"/>
                    <w:tabs>
                      <w:tab w:val="right" w:leader="none" w:pos="2099"/>
                    </w:tabs>
                    <w:rPr>
                      <w:b w:val="true"/>
                      <w:color w:val="#000000"/>
                      <w:sz w:val="18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color w:val="#000000"/>
                      <w:sz w:val="18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JIHLAVSKÉ	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L</w:t>
                  </w:r>
                </w:p>
                <w:p>
                  <w:pPr>
                    <w:ind w:right="0" w:left="1080" w:firstLine="0"/>
                    <w:spacing w:before="0" w:after="0" w:line="240" w:lineRule="auto"/>
                    <w:jc w:val="left"/>
                    <w:framePr w:hAnchor="text" w:vAnchor="text" w:x="5360" w:w="2124" w:h="393" w:hSpace="0" w:vSpace="0" w:wrap="none"/>
                    <w:tabs>
                      <w:tab w:val="right" w:leader="none" w:pos="2120"/>
                    </w:tabs>
                    <w:rPr>
                      <w:i w:val="true"/>
                      <w:color w:val="#000000"/>
                      <w:sz w:val="16"/>
                      <w:lang w:val="cs-CZ"/>
                      <w:spacing w:val="-6"/>
                      <w:w w:val="12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-6"/>
                      <w:w w:val="125"/>
                      <w:strike w:val="false"/>
                      <w:vertAlign w:val="baseline"/>
                      <w:rFonts w:ascii="Arial" w:hAnsi="Arial"/>
                    </w:rPr>
                    <w:t xml:space="preserve">ťičt	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0"/>
                      <w:w w:val="125"/>
                      <w:strike w:val="false"/>
                      <w:vertAlign w:val="baseline"/>
                      <w:rFonts w:ascii="Arial" w:hAnsi="Arial"/>
                    </w:rPr>
                    <w:t xml:space="preserve">la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37pt;height:8.1pt;z-index:-996;margin-left:268pt;margin-top:19.6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0" w:after="0" w:line="240" w:lineRule="auto"/>
                    <w:jc w:val="left"/>
                    <w:framePr w:hAnchor="text" w:vAnchor="text" w:x="5360" w:y="393" w:w="4740" w:h="162" w:hSpace="0" w:vSpace="0" w:wrap="none"/>
                    <w:tabs>
                      <w:tab w:val="right" w:leader="none" w:pos="3269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	</w:t>
                  </w:r>
                  <w:r>
                    <w:rPr>
                      <w:color w:val="#000000"/>
                      <w:sz w:val="15"/>
                      <w:lang w:val="cs-CZ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7 05 Jii141k</w:t>
                  </w:r>
                  <w:r>
                    <w:rPr>
                      <w:color w:val="#000000"/>
                      <w:sz w:val="15"/>
                      <w:lang w:val="cs-CZ"/>
                      <w:spacing w:val="2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ť `. '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82.3pt;height:19.8pt;z-index:-995;margin-left:322.7pt;margin-top:27.7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648" w:firstLine="0"/>
                    <w:spacing w:before="0" w:after="0" w:line="240" w:lineRule="auto"/>
                    <w:jc w:val="left"/>
                    <w:framePr w:hAnchor="text" w:vAnchor="text" w:x="6454" w:y="555" w:w="3646" w:h="396" w:hSpace="0" w:vSpace="0" w:wrap="none"/>
                    <w:rPr>
                      <w:color w:val="#000000"/>
                      <w:sz w:val="15"/>
                      <w:lang w:val="cs-CZ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, i</w:t>
                  </w:r>
                  <w:r>
                    <w:rPr>
                      <w:color w:val="#000000"/>
                      <w:sz w:val="15"/>
                      <w:lang w:val="cs-CZ"/>
                      <w:spacing w:val="29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 607 </w:t>
                  </w:r>
                </w:p>
                <w:p>
                  <w:pPr>
                    <w:ind w:right="0" w:left="0" w:firstLine="0"/>
                    <w:spacing w:before="0" w:after="252" w:line="115" w:lineRule="exact"/>
                    <w:jc w:val="left"/>
                    <w:framePr w:hAnchor="text" w:vAnchor="text" w:x="6454" w:y="555" w:w="3646" w:h="396" w:hSpace="0" w:vSpace="0" w:wrap="none"/>
                    <w:tabs>
                      <w:tab w:val="right" w:leader="none" w:pos="1714"/>
                    </w:tabs>
                    <w:rPr>
                      <w:color w:val="#000000"/>
                      <w:sz w:val="15"/>
                      <w:lang w:val="cs-CZ"/>
                      <w:spacing w:val="-3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I.	</w:t>
                  </w:r>
                  <w:r>
                    <w:rPr>
                      <w:color w:val="#000000"/>
                      <w:sz w:val="15"/>
                      <w:lang w:val="cs-CZ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7 8 649, .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cs-CZ"/>
                      <w:spacing w:val="2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t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cs-CZ"/>
                      <w:spacing w:val="24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.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cs-CZ"/>
                      <w:spacing w:val="2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;W</w:t>
                  </w:r>
                </w:p>
                <w:p>
                  <w:pPr>
                    <w:ind w:right="0" w:left="1728" w:firstLine="0"/>
                    <w:spacing w:before="0" w:after="0" w:line="240" w:lineRule="auto"/>
                    <w:jc w:val="left"/>
                    <w:framePr w:hAnchor="text" w:vAnchor="text" w:x="6454" w:y="555" w:w="3646" w:h="396" w:hSpace="0" w:vSpace="0" w:wrap="none"/>
                    <w:rPr>
                      <w:color w:val="#FFFFFF"/>
                      <w:sz w:val="11"/>
                      <w:shd w:val="solid" w:color="#FFFFFF" w:fill="#FFFFFF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FFFFF"/>
                      <w:sz w:val="11"/>
                      <w:shd w:val="solid" w:color="#FFFFFF" w:fill="#FFFFFF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li.,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37pt;height:56.7pt;z-index:-994;margin-left:268pt;margin-top:47.5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1728" w:firstLine="0"/>
                    <w:spacing w:before="0" w:after="612" w:line="240" w:lineRule="auto"/>
                    <w:jc w:val="left"/>
                    <w:framePr w:hAnchor="text" w:vAnchor="text" w:x="5360" w:y="951" w:w="4740" w:h="1134" w:hSpace="0" w:vSpace="0" w:wrap="none"/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c-</w:t>
                  </w:r>
                  <w:r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-7---</w:t>
                  </w:r>
                  <w:r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132.1pt;height:24.5pt;z-index:-993;margin-left:21.6pt;margin-top:43.2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2" w:lineRule="exact"/>
                    <w:jc w:val="left"/>
                    <w:framePr w:hAnchor="text" w:vAnchor="text" w:x="432" w:y="864" w:w="2642" w:h="490" w:hSpace="0" w:vSpace="0" w:wrap="none"/>
                    <w:rPr>
                      <w:color w:val="#000000"/>
                      <w:sz w:val="18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Základní škola a mate</w:t>
                  </w:r>
                  <w:r>
                    <w:rPr>
                      <w:color w:val="#000000"/>
                      <w:sz w:val="18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řská škola Jihlava,</w:t>
                  </w:r>
                </w:p>
                <w:p>
                  <w:pPr>
                    <w:ind w:right="0" w:left="0" w:firstLine="0"/>
                    <w:spacing w:before="0" w:after="0" w:line="197" w:lineRule="exact"/>
                    <w:jc w:val="left"/>
                    <w:framePr w:hAnchor="text" w:vAnchor="text" w:x="432" w:y="864" w:w="2642" w:h="490" w:hSpace="0" w:vSpace="0" w:wrap="none"/>
                    <w:tabs>
                      <w:tab w:val="right" w:leader="none" w:pos="2574"/>
                    </w:tabs>
                    <w:rPr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Nad Plovárnou 5, p:'Ísp</w:t>
                  </w:r>
                  <w:r>
                    <w:rPr>
                      <w:color w:val="#000000"/>
                      <w:sz w:val="13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ěová organizace 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88.55pt;height:6.85pt;z-index:-992;margin-left:61.9pt;margin-top:67.7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7" w:lineRule="exact"/>
                    <w:jc w:val="left"/>
                    <w:framePr w:hAnchor="text" w:vAnchor="text" w:x="1238" w:y="1354" w:w="1771" w:h="137" w:hSpace="0" w:vSpace="0" w:wrap="none"/>
                    <w:tabs>
                      <w:tab w:val="right" w:leader="none" w:pos="1768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586 01 Jihlava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125.45pt;height:22.65pt;z-index:-991;margin-left:25pt;margin-top:74.5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648" w:firstLine="0"/>
                    <w:spacing w:before="0" w:after="0" w:line="153" w:lineRule="exact"/>
                    <w:jc w:val="left"/>
                    <w:framePr w:hAnchor="text" w:vAnchor="text" w:x="500" w:y="1491" w:w="2509" w:h="453" w:hSpace="0" w:vSpace="0" w:wrap="none"/>
                    <w:rPr>
                      <w:color w:val="#000000"/>
                      <w:sz w:val="15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-L. 47 579 472</w:t>
                  </w:r>
                </w:p>
                <w:p>
                  <w:pPr>
                    <w:ind w:right="0" w:left="0" w:firstLine="0"/>
                    <w:spacing w:before="0" w:after="0" w:line="210" w:lineRule="exact"/>
                    <w:jc w:val="left"/>
                    <w:framePr w:hAnchor="text" w:vAnchor="text" w:x="500" w:y="1491" w:w="2509" w:h="453" w:hSpace="0" w:vSpace="0" w:wrap="none"/>
                    <w:tabs>
                      <w:tab w:val="right" w:leader="none" w:pos="2506"/>
                    </w:tabs>
                    <w:rPr>
                      <w:color w:val="#020A2B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20A2B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Q473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ab/>
                  </w:r>
                  <w:hyperlink r:id="drId5">
                    <w:r>
                      <w:rPr>
                        <w:color w:val="#0000FF"/>
                        <w:sz w:val="15"/>
                        <w:lang w:val="cs-CZ"/>
                        <w:spacing w:val="8"/>
                        <w:w w:val="10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ww.zsWov2rn.ji.cz</w:t>
                    </w:r>
                  </w:hyperlink>
                  <w:r>
                    <w:rPr>
                      <w:color w:val="#000000"/>
                      <w:sz w:val="15"/>
                      <w:lang w:val="cs-CZ"/>
                      <w:spacing w:val="8"/>
                      <w:w w:val="100"/>
                      <w:strike w:val="false"/>
                      <w:vertAlign w:val="baseline"/>
                      <w:rFonts w:ascii="Tahoma" w:hAnsi="Tahoma"/>
                    </w:rPr>
                  </w:r>
                </w:p>
                <w:p>
                  <w:pPr>
                    <w:ind w:right="0" w:left="0" w:firstLine="0"/>
                    <w:spacing w:before="0" w:after="0" w:line="112" w:lineRule="exact"/>
                    <w:jc w:val="left"/>
                    <w:framePr w:hAnchor="text" w:vAnchor="text" w:x="500" w:y="1491" w:w="2509" w:h="453" w:hSpace="0" w:vSpace="0" w:wrap="none"/>
                    <w:rPr>
                      <w:color w:val="#3667A5"/>
                      <w:sz w:val="10"/>
                      <w:lang w:val="cs-CZ"/>
                      <w:spacing w:val="0"/>
                      <w:w w:val="225"/>
                      <w:strike w:val="false"/>
                      <w:vertAlign w:val="superscript"/>
                      <w:rFonts w:ascii="Arial" w:hAnsi="Arial"/>
                    </w:rPr>
                  </w:pPr>
                  <w:r>
                    <w:rPr>
                      <w:color w:val="#3667A5"/>
                      <w:sz w:val="10"/>
                      <w:lang w:val="cs-CZ"/>
                      <w:spacing w:val="0"/>
                      <w:w w:val="225"/>
                      <w:strike w:val="false"/>
                      <w:vertAlign w:val="superscript"/>
                      <w:rFonts w:ascii="Arial" w:hAnsi="Arial"/>
                    </w:rPr>
                    <w:t xml:space="preserve">I</w:t>
                  </w:r>
                  <w:r>
                    <w:rPr>
                      <w:color w:val="#3667A5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line strokeweight="1.25pt" strokecolor="#000000" from="268pt,111.8pt" to="287.85pt,111.8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312.45pt,111.8pt" to="331.75pt,111.8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334.8pt,112.15pt" to="457.75pt,112.15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44.45pt,110.9pt" to="95.8pt,110.9pt" style="position:absolute;mso-position-horizontal-relative:text;mso-position-vertical-relative:text;">
            <v:stroke dashstyle="shortdot"/>
          </v:line>
        </w:pict>
      </w:r>
      <w:r>
        <w:pict>
          <v:line strokeweight="1.1pt" strokecolor="#000000" from="23pt,110.9pt" to="41.6pt,110.9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98.6pt,111.05pt" to="117.55pt,111.05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120.6pt,111.05pt" to="150.7pt,111.05pt" style="position:absolute;mso-position-horizontal-relative:text;mso-position-vertical-relative:text;">
            <v:stroke dashstyle="shortdot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380" w:top="824" w:right="852" w:left="912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tabs>
          <w:tab w:val="right" w:leader="none" w:pos="7405"/>
        </w:tabs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ěrtel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</w:t>
      </w:r>
    </w:p>
    <w:sectPr>
      <w:pgSz w:w="11918" w:h="16854" w:orient="portrait"/>
      <w:type w:val="continuous"/>
      <w:textDirection w:val="lrTb"/>
      <w:pgMar w:bottom="380" w:top="824" w:right="2536" w:left="190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5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0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2"/>
      <w:lvlJc w:val="left"/>
      <w:pPr>
        <w:ind w:left="720"/>
        <w:tabs>
          <w:tab w:val="decimal" w:pos="144"/>
        </w:tabs>
      </w:pPr>
      <w:rPr>
        <w:color w:val="#000000"/>
        <w:sz w:val="22"/>
        <w:lang w:val="cs-CZ"/>
        <w:spacing w:val="0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hyperlink" Target="http://ww.zsWov2rn.ji.cz" TargetMode="Externa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