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BD" w:rsidRDefault="005B237F">
      <w:pPr>
        <w:spacing w:after="0" w:line="259" w:lineRule="auto"/>
        <w:ind w:left="0" w:right="14" w:firstLine="0"/>
        <w:jc w:val="center"/>
      </w:pPr>
      <w:r>
        <w:rPr>
          <w:rFonts w:ascii="Courier New" w:eastAsia="Courier New" w:hAnsi="Courier New" w:cs="Courier New"/>
          <w:sz w:val="34"/>
        </w:rPr>
        <w:t>Kupní sml</w:t>
      </w:r>
      <w:r>
        <w:rPr>
          <w:rFonts w:ascii="Courier New" w:eastAsia="Courier New" w:hAnsi="Courier New" w:cs="Courier New"/>
          <w:sz w:val="34"/>
        </w:rPr>
        <w:t>ouva</w:t>
      </w:r>
    </w:p>
    <w:tbl>
      <w:tblPr>
        <w:tblStyle w:val="TableGrid"/>
        <w:tblW w:w="7046" w:type="dxa"/>
        <w:tblInd w:w="-1440" w:type="dxa"/>
        <w:tblCellMar>
          <w:top w:w="8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184"/>
      </w:tblGrid>
      <w:tr w:rsidR="003077BD">
        <w:trPr>
          <w:trHeight w:val="231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77BD" w:rsidRDefault="005B237F" w:rsidP="005B237F">
            <w:pPr>
              <w:spacing w:after="0" w:line="259" w:lineRule="auto"/>
              <w:ind w:left="0" w:right="0" w:firstLine="0"/>
              <w:jc w:val="left"/>
            </w:pPr>
            <w:r>
              <w:t>Prodávaj</w:t>
            </w:r>
            <w:bookmarkStart w:id="0" w:name="_GoBack"/>
            <w:bookmarkEnd w:id="0"/>
            <w:r>
              <w:t>ící: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3077BD" w:rsidRDefault="005B237F">
            <w:pPr>
              <w:spacing w:after="0" w:line="259" w:lineRule="auto"/>
              <w:ind w:left="91" w:right="0" w:firstLine="0"/>
              <w:jc w:val="left"/>
            </w:pPr>
            <w:r>
              <w:t>S</w:t>
            </w:r>
            <w:r>
              <w:t>třední škola zemědělská a Vyšší odborná škola Chrudim</w:t>
            </w:r>
          </w:p>
          <w:p w:rsidR="003077BD" w:rsidRDefault="005B237F">
            <w:pPr>
              <w:spacing w:after="0" w:line="259" w:lineRule="auto"/>
              <w:ind w:left="106" w:right="0" w:firstLine="0"/>
              <w:jc w:val="left"/>
            </w:pPr>
            <w:r>
              <w:t>Poděbradova 842</w:t>
            </w:r>
          </w:p>
          <w:p w:rsidR="003077BD" w:rsidRDefault="005B237F">
            <w:pPr>
              <w:spacing w:after="257" w:line="259" w:lineRule="auto"/>
              <w:ind w:left="86" w:right="0" w:firstLine="0"/>
              <w:jc w:val="left"/>
            </w:pPr>
            <w:r>
              <w:t>537 60 CHRUDIM</w:t>
            </w:r>
          </w:p>
          <w:p w:rsidR="005B237F" w:rsidRDefault="005B237F" w:rsidP="005B237F">
            <w:pPr>
              <w:spacing w:after="23" w:line="241" w:lineRule="auto"/>
              <w:ind w:left="82" w:right="3581" w:firstLine="0"/>
              <w:jc w:val="left"/>
              <w:rPr>
                <w:noProof/>
              </w:rPr>
            </w:pPr>
            <w:r>
              <w:t xml:space="preserve">IČO: 75075920 DIČ: </w:t>
            </w:r>
            <w:r>
              <w:rPr>
                <w:noProof/>
              </w:rPr>
              <w:t>CZ75075920</w:t>
            </w:r>
          </w:p>
          <w:p w:rsidR="005B237F" w:rsidRDefault="005B237F" w:rsidP="005B237F">
            <w:pPr>
              <w:spacing w:after="23" w:line="241" w:lineRule="auto"/>
              <w:ind w:left="82" w:right="3581" w:firstLine="0"/>
              <w:jc w:val="left"/>
            </w:pPr>
            <w:r>
              <w:t xml:space="preserve">Banka: KB </w:t>
            </w:r>
            <w:r>
              <w:t xml:space="preserve">Chrudim </w:t>
            </w:r>
            <w:proofErr w:type="spellStart"/>
            <w:proofErr w:type="gramStart"/>
            <w:r>
              <w:t>č.ú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proofErr w:type="gramEnd"/>
            <w:r>
              <w:t>xxxxxxxxxxxxxxxxxxxxx</w:t>
            </w:r>
            <w:proofErr w:type="spellEnd"/>
          </w:p>
          <w:p w:rsidR="003077BD" w:rsidRDefault="005B237F" w:rsidP="005B237F">
            <w:pPr>
              <w:spacing w:after="23" w:line="241" w:lineRule="auto"/>
              <w:ind w:left="82" w:right="3581" w:firstLine="0"/>
              <w:jc w:val="left"/>
            </w:pPr>
            <w:r>
              <w:t>jejímž jménem jedná Ing. Stanislav Valášek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33" name="Picture 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7BD">
        <w:trPr>
          <w:trHeight w:val="6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77BD" w:rsidRDefault="005B237F">
            <w:pPr>
              <w:spacing w:after="0" w:line="259" w:lineRule="auto"/>
              <w:ind w:left="14" w:right="0" w:firstLine="0"/>
              <w:jc w:val="left"/>
            </w:pPr>
            <w:r>
              <w:t>Kupující: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7BD" w:rsidRDefault="005B237F" w:rsidP="005B237F">
            <w:pPr>
              <w:spacing w:after="0" w:line="259" w:lineRule="auto"/>
              <w:ind w:left="67" w:right="1157" w:hanging="5"/>
            </w:pPr>
            <w:r>
              <w:t>Ř</w:t>
            </w:r>
            <w:r>
              <w:t>eznictví - uzenářství Francouz, s.r.o. Skupice 8, PSČ</w:t>
            </w:r>
            <w:r>
              <w:t xml:space="preserve"> 538 03</w:t>
            </w:r>
          </w:p>
        </w:tc>
      </w:tr>
    </w:tbl>
    <w:p w:rsidR="003077BD" w:rsidRDefault="005B237F">
      <w:pPr>
        <w:spacing w:after="538"/>
        <w:ind w:left="38"/>
      </w:pPr>
      <w:r>
        <w:t>DIČ: CZ</w:t>
      </w:r>
      <w:r>
        <w:t>27475506 IČO: 27475506</w:t>
      </w:r>
    </w:p>
    <w:p w:rsidR="003077BD" w:rsidRDefault="005B237F">
      <w:pPr>
        <w:spacing w:after="255" w:line="259" w:lineRule="auto"/>
        <w:ind w:right="-15"/>
        <w:jc w:val="right"/>
      </w:pPr>
      <w:r>
        <w:t>uzavřeli níže uvedeného dne, měsíce a roku tuto kupní smlouvu.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Předmět smlouvy</w:t>
      </w:r>
    </w:p>
    <w:p w:rsidR="003077BD" w:rsidRDefault="003077BD">
      <w:pPr>
        <w:sectPr w:rsidR="003077BD">
          <w:pgSz w:w="11904" w:h="16834"/>
          <w:pgMar w:top="1376" w:right="2794" w:bottom="2990" w:left="2938" w:header="708" w:footer="708" w:gutter="0"/>
          <w:cols w:space="708"/>
        </w:sectPr>
      </w:pPr>
    </w:p>
    <w:p w:rsidR="003077BD" w:rsidRDefault="005B237F">
      <w:pPr>
        <w:ind w:left="12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890016</wp:posOffset>
            </wp:positionH>
            <wp:positionV relativeFrom="page">
              <wp:posOffset>8152677</wp:posOffset>
            </wp:positionV>
            <wp:extent cx="9144" cy="15244"/>
            <wp:effectExtent l="0" t="0" r="0" b="0"/>
            <wp:wrapSquare wrapText="bothSides"/>
            <wp:docPr id="1235" name="Picture 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Picture 12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Prodej jatečných zvířat.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Cena plnění</w:t>
      </w:r>
    </w:p>
    <w:p w:rsidR="003077BD" w:rsidRDefault="005B237F">
      <w:pPr>
        <w:ind w:left="38" w:right="442"/>
      </w:pPr>
      <w:r>
        <w:t>Kupní cena bude stanovena po vzájemné dohodě u jednotlivých případů v souladu s obvyklou tržní cenou v místě a čase dodávky před uskutečněním vlastního obchodního případu.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Dodací podmínky</w:t>
      </w:r>
    </w:p>
    <w:p w:rsidR="003077BD" w:rsidRDefault="005B237F">
      <w:pPr>
        <w:spacing w:after="14"/>
        <w:ind w:left="38" w:right="370"/>
      </w:pPr>
      <w:r>
        <w:t>Kupující nabývá vlastnického práva k jatečným zvířatům okamžikem pře</w:t>
      </w:r>
      <w:r>
        <w:t>vzetí zvířat na jatkách. Jatečná zvířata budou k okamžiku předání v lačném stavu a neznečištěná. Ke zvířatům bude předáno prohlášení chovatele "I</w:t>
      </w:r>
      <w:r>
        <w:t>nformace o potravinovém řetězci” pro dodávaný druh hospodářských zvířat a u Skotu též ”Průvodní list skotu 'T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BD" w:rsidRDefault="005B237F">
      <w:pPr>
        <w:ind w:left="38" w:right="0"/>
      </w:pPr>
      <w:r>
        <w:t>Hmotnost zvířat bude stanovena z váhy v mase po přepočtu dle jatečných koeficientů pro jednotlivé druhy a kategorie prodávaných zvířat.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Fakturace</w:t>
      </w:r>
    </w:p>
    <w:p w:rsidR="003077BD" w:rsidRDefault="005B237F">
      <w:pPr>
        <w:ind w:left="28" w:right="0" w:firstLine="58"/>
      </w:pPr>
      <w:r>
        <w:t>Prodáva</w:t>
      </w:r>
      <w:r>
        <w:t>jící vystaví řádnou fakturu na adresu kupujícího na základě nákupního lístku, vystaveného kupujícím při</w:t>
      </w:r>
      <w:r>
        <w:t xml:space="preserve"> výkupu. Splatnost faktury bude 14 dní, počítáno od data uvedeného na nákupním lístku. Smluvní strany se dohodly pro případ prodlení s úhradou sjednané kupní ceny na smluvním úroku z prodlení ve výši 0,05% z dlužné částky za každý den prodlení do zaplacení</w:t>
      </w:r>
      <w:r>
        <w:t>.</w:t>
      </w:r>
    </w:p>
    <w:p w:rsidR="003077BD" w:rsidRDefault="005B237F">
      <w:pPr>
        <w:numPr>
          <w:ilvl w:val="0"/>
          <w:numId w:val="1"/>
        </w:numPr>
        <w:ind w:right="134" w:firstLine="3845"/>
        <w:jc w:val="center"/>
      </w:pPr>
      <w:r>
        <w:lastRenderedPageBreak/>
        <w:t>Přeprava Zajištění přepravy zvířat jde na účet prodávajícího.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Odstoupení od smlouvy</w:t>
      </w:r>
    </w:p>
    <w:p w:rsidR="003077BD" w:rsidRDefault="005B237F">
      <w:pPr>
        <w:ind w:left="38" w:right="557"/>
      </w:pPr>
      <w:r>
        <w:t>Písemnou formou pro podstatné porušení smlouvy, rozumí se nerespektování způsobu určení ceny dle odst. II., nesplnění dodávky nebo odběru ani v náhradní lhůtě a neproplacení faktury do 60 dnů.</w:t>
      </w:r>
    </w:p>
    <w:p w:rsidR="003077BD" w:rsidRDefault="005B237F">
      <w:pPr>
        <w:numPr>
          <w:ilvl w:val="0"/>
          <w:numId w:val="1"/>
        </w:numPr>
        <w:spacing w:after="3" w:line="259" w:lineRule="auto"/>
        <w:ind w:right="134" w:firstLine="3845"/>
        <w:jc w:val="center"/>
      </w:pPr>
      <w:r>
        <w:t>Doba trvání smlouvy</w:t>
      </w:r>
    </w:p>
    <w:p w:rsidR="003077BD" w:rsidRDefault="005B237F">
      <w:pPr>
        <w:spacing w:after="0"/>
        <w:ind w:left="38" w:right="206"/>
      </w:pPr>
      <w:r>
        <w:t>Tato smlouva nabývá platnosti a účinnosti d</w:t>
      </w:r>
      <w:r>
        <w:t>nem podpisu a je uzavřena na dobu neurčitou. Smlouva pozbývá platnosti automaticky v případě, že vůči jedné ze smluvních stran bude zahá</w:t>
      </w:r>
      <w:r>
        <w:t>j</w:t>
      </w:r>
      <w:r>
        <w:t>eno konkurzní řízení</w:t>
      </w:r>
    </w:p>
    <w:p w:rsidR="003077BD" w:rsidRDefault="005B237F">
      <w:pPr>
        <w:spacing w:after="0"/>
        <w:ind w:left="38" w:right="0"/>
      </w:pPr>
      <w:r>
        <w:t xml:space="preserve">Dodatky k této smlouvě jsou možné pouze písemnou formou. </w:t>
      </w:r>
      <w:proofErr w:type="gramStart"/>
      <w:r>
        <w:t>stvrzenou</w:t>
      </w:r>
      <w:proofErr w:type="gramEnd"/>
      <w:r>
        <w:t xml:space="preserve"> každou smluvní stranou.</w:t>
      </w:r>
    </w:p>
    <w:p w:rsidR="003077BD" w:rsidRDefault="005B237F">
      <w:pPr>
        <w:spacing w:after="813"/>
        <w:ind w:left="38" w:right="0"/>
      </w:pPr>
      <w:r>
        <w:t>V osta</w:t>
      </w:r>
      <w:r>
        <w:t>tních případech neuvedených v této smlouvě se smluvní strany budou řídit českým Obchodním zákoníkem.</w:t>
      </w:r>
    </w:p>
    <w:p w:rsidR="003077BD" w:rsidRDefault="005B237F">
      <w:pPr>
        <w:ind w:left="38" w:right="0"/>
      </w:pPr>
      <w:r>
        <w:t>Smlouva se vyhotovuje ve dvou stejnopisech, každá strana obdrží jeden.</w:t>
      </w:r>
    </w:p>
    <w:p w:rsidR="003077BD" w:rsidRDefault="003077BD">
      <w:pPr>
        <w:sectPr w:rsidR="003077BD">
          <w:type w:val="continuous"/>
          <w:pgSz w:w="11904" w:h="16834"/>
          <w:pgMar w:top="1476" w:right="1382" w:bottom="2990" w:left="1699" w:header="708" w:footer="708" w:gutter="0"/>
          <w:cols w:space="708"/>
        </w:sectPr>
      </w:pPr>
    </w:p>
    <w:p w:rsidR="003077BD" w:rsidRDefault="005B237F">
      <w:pPr>
        <w:spacing w:after="163"/>
        <w:ind w:left="38" w:right="0"/>
      </w:pPr>
      <w:r>
        <w:t>V Chrudimi dne: 2.12013</w:t>
      </w:r>
    </w:p>
    <w:p w:rsidR="003077BD" w:rsidRDefault="003077BD">
      <w:pPr>
        <w:spacing w:after="18" w:line="259" w:lineRule="auto"/>
        <w:ind w:left="413" w:right="-1037" w:firstLine="0"/>
        <w:jc w:val="left"/>
      </w:pPr>
    </w:p>
    <w:p w:rsidR="003077BD" w:rsidRDefault="005B237F">
      <w:pPr>
        <w:tabs>
          <w:tab w:val="center" w:pos="1498"/>
          <w:tab w:val="right" w:pos="7781"/>
        </w:tabs>
        <w:spacing w:after="255" w:line="259" w:lineRule="auto"/>
        <w:ind w:left="0" w:right="-15" w:firstLine="0"/>
        <w:jc w:val="left"/>
      </w:pPr>
      <w:r>
        <w:rPr>
          <w:rFonts w:ascii="Courier New" w:eastAsia="Courier New" w:hAnsi="Courier New" w:cs="Courier New"/>
        </w:rPr>
        <w:tab/>
      </w:r>
      <w:r>
        <w:t>Prodávající</w:t>
      </w:r>
      <w:r>
        <w:tab/>
        <w:t>Kupující</w:t>
      </w:r>
    </w:p>
    <w:sectPr w:rsidR="003077BD">
      <w:type w:val="continuous"/>
      <w:pgSz w:w="11904" w:h="16834"/>
      <w:pgMar w:top="1476" w:right="2472" w:bottom="6304" w:left="16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C50"/>
    <w:multiLevelType w:val="hybridMultilevel"/>
    <w:tmpl w:val="986AA708"/>
    <w:lvl w:ilvl="0" w:tplc="68BED6BE">
      <w:start w:val="1"/>
      <w:numFmt w:val="upperRoman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89E64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8BAA6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8866C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2578A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025F6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23A62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C4746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AC07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D"/>
    <w:rsid w:val="003077BD"/>
    <w:rsid w:val="005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3337"/>
  <w15:docId w15:val="{A18BA458-24FD-41A3-9060-8355DF2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58" w:line="250" w:lineRule="auto"/>
      <w:ind w:left="10" w:right="3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2017-06-20T06:45:00Z</dcterms:created>
  <dcterms:modified xsi:type="dcterms:W3CDTF">2017-06-20T06:45:00Z</dcterms:modified>
</cp:coreProperties>
</file>