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96A80" w14:textId="4FCD0BC8" w:rsidR="008C3282" w:rsidRDefault="008C3282" w:rsidP="007D62F9">
      <w:pPr>
        <w:spacing w:after="120" w:line="276" w:lineRule="auto"/>
        <w:jc w:val="center"/>
        <w:rPr>
          <w:rFonts w:ascii="Tahoma" w:hAnsi="Tahoma" w:cs="Tahoma"/>
          <w:b/>
          <w:sz w:val="19"/>
          <w:szCs w:val="19"/>
        </w:rPr>
      </w:pPr>
      <w:bookmarkStart w:id="0" w:name="_GoBack"/>
      <w:bookmarkEnd w:id="0"/>
      <w:r w:rsidRPr="00ED1F6E">
        <w:rPr>
          <w:rFonts w:ascii="Tahoma" w:hAnsi="Tahoma" w:cs="Tahoma"/>
          <w:b/>
          <w:sz w:val="19"/>
          <w:szCs w:val="19"/>
        </w:rPr>
        <w:t>SMLOUVA</w:t>
      </w:r>
      <w:r w:rsidR="004A1B74" w:rsidRPr="00ED1F6E">
        <w:rPr>
          <w:rFonts w:ascii="Tahoma" w:hAnsi="Tahoma" w:cs="Tahoma"/>
          <w:b/>
          <w:sz w:val="19"/>
          <w:szCs w:val="19"/>
        </w:rPr>
        <w:t xml:space="preserve"> </w:t>
      </w:r>
      <w:r w:rsidRPr="00ED1F6E">
        <w:rPr>
          <w:rFonts w:ascii="Tahoma" w:hAnsi="Tahoma" w:cs="Tahoma"/>
          <w:b/>
          <w:sz w:val="19"/>
          <w:szCs w:val="19"/>
        </w:rPr>
        <w:t xml:space="preserve">O POSKYTOVÁNÍ </w:t>
      </w:r>
      <w:r w:rsidR="0097726A" w:rsidRPr="00ED1F6E">
        <w:rPr>
          <w:rFonts w:ascii="Tahoma" w:hAnsi="Tahoma" w:cs="Tahoma"/>
          <w:b/>
          <w:sz w:val="19"/>
          <w:szCs w:val="19"/>
        </w:rPr>
        <w:t>PORADENS</w:t>
      </w:r>
      <w:r w:rsidR="0051180D">
        <w:rPr>
          <w:rFonts w:ascii="Tahoma" w:hAnsi="Tahoma" w:cs="Tahoma"/>
          <w:b/>
          <w:sz w:val="19"/>
          <w:szCs w:val="19"/>
        </w:rPr>
        <w:t>KÝCH SLUŽEB</w:t>
      </w:r>
    </w:p>
    <w:p w14:paraId="0849E1AF" w14:textId="0175A83B" w:rsidR="007D62F9" w:rsidRPr="00ED1F6E" w:rsidRDefault="007D62F9" w:rsidP="007D62F9">
      <w:pPr>
        <w:spacing w:after="120" w:line="276" w:lineRule="auto"/>
        <w:jc w:val="center"/>
        <w:rPr>
          <w:rFonts w:ascii="Tahoma" w:hAnsi="Tahoma" w:cs="Tahoma"/>
          <w:b/>
          <w:sz w:val="19"/>
          <w:szCs w:val="19"/>
        </w:rPr>
      </w:pPr>
      <w:r>
        <w:rPr>
          <w:rFonts w:ascii="Tahoma" w:hAnsi="Tahoma" w:cs="Tahoma"/>
          <w:sz w:val="19"/>
          <w:szCs w:val="19"/>
        </w:rPr>
        <w:t>(dále jen „</w:t>
      </w:r>
      <w:r w:rsidRPr="00AF3573">
        <w:rPr>
          <w:rFonts w:ascii="Tahoma" w:hAnsi="Tahoma" w:cs="Tahoma"/>
          <w:b/>
          <w:bCs/>
          <w:sz w:val="19"/>
          <w:szCs w:val="19"/>
        </w:rPr>
        <w:t>Smlouva</w:t>
      </w:r>
      <w:r>
        <w:rPr>
          <w:rFonts w:ascii="Tahoma" w:hAnsi="Tahoma" w:cs="Tahoma"/>
          <w:sz w:val="19"/>
          <w:szCs w:val="19"/>
        </w:rPr>
        <w:t>“)</w:t>
      </w:r>
    </w:p>
    <w:p w14:paraId="0E579249" w14:textId="01038261" w:rsidR="008C3282" w:rsidRDefault="007D62F9" w:rsidP="007D62F9">
      <w:pPr>
        <w:spacing w:after="120" w:line="276" w:lineRule="auto"/>
        <w:jc w:val="center"/>
        <w:rPr>
          <w:rFonts w:ascii="Tahoma" w:hAnsi="Tahoma" w:cs="Tahoma"/>
          <w:sz w:val="19"/>
          <w:szCs w:val="19"/>
        </w:rPr>
      </w:pPr>
      <w:r>
        <w:rPr>
          <w:rFonts w:ascii="Tahoma" w:hAnsi="Tahoma" w:cs="Tahoma"/>
          <w:sz w:val="19"/>
          <w:szCs w:val="19"/>
        </w:rPr>
        <w:t>uzavřená níže uvedené dne, měsíce a roku po</w:t>
      </w:r>
      <w:r w:rsidR="008C3282" w:rsidRPr="00ED1F6E">
        <w:rPr>
          <w:rFonts w:ascii="Tahoma" w:hAnsi="Tahoma" w:cs="Tahoma"/>
          <w:sz w:val="19"/>
          <w:szCs w:val="19"/>
        </w:rPr>
        <w:t xml:space="preserve">dle </w:t>
      </w:r>
      <w:r w:rsidR="00925F51">
        <w:rPr>
          <w:rFonts w:ascii="Tahoma" w:hAnsi="Tahoma" w:cs="Tahoma"/>
          <w:sz w:val="19"/>
          <w:szCs w:val="19"/>
        </w:rPr>
        <w:t xml:space="preserve">ust. </w:t>
      </w:r>
      <w:r w:rsidR="00504EE8" w:rsidRPr="00ED1F6E">
        <w:rPr>
          <w:rFonts w:ascii="Tahoma" w:hAnsi="Tahoma" w:cs="Tahoma"/>
          <w:sz w:val="19"/>
          <w:szCs w:val="19"/>
        </w:rPr>
        <w:t>§ 1746</w:t>
      </w:r>
      <w:r w:rsidR="0094500E" w:rsidRPr="00ED1F6E">
        <w:rPr>
          <w:rFonts w:ascii="Tahoma" w:hAnsi="Tahoma" w:cs="Tahoma"/>
          <w:sz w:val="19"/>
          <w:szCs w:val="19"/>
        </w:rPr>
        <w:t xml:space="preserve"> odst. 2 z</w:t>
      </w:r>
      <w:r w:rsidR="0076436D" w:rsidRPr="00ED1F6E">
        <w:rPr>
          <w:rFonts w:ascii="Tahoma" w:hAnsi="Tahoma" w:cs="Tahoma"/>
          <w:sz w:val="19"/>
          <w:szCs w:val="19"/>
        </w:rPr>
        <w:t>ákona</w:t>
      </w:r>
      <w:r w:rsidR="0094500E" w:rsidRPr="00ED1F6E">
        <w:rPr>
          <w:rFonts w:ascii="Tahoma" w:hAnsi="Tahoma" w:cs="Tahoma"/>
          <w:sz w:val="19"/>
          <w:szCs w:val="19"/>
        </w:rPr>
        <w:t xml:space="preserve"> č. 89/2012 Sb., občanský zákoník, ve znění pozdějších předpisů</w:t>
      </w:r>
      <w:r w:rsidR="00925F51">
        <w:rPr>
          <w:rFonts w:ascii="Tahoma" w:hAnsi="Tahoma" w:cs="Tahoma"/>
          <w:sz w:val="19"/>
          <w:szCs w:val="19"/>
        </w:rPr>
        <w:t xml:space="preserve"> </w:t>
      </w:r>
      <w:r>
        <w:rPr>
          <w:rFonts w:ascii="Tahoma" w:hAnsi="Tahoma" w:cs="Tahoma"/>
          <w:sz w:val="19"/>
          <w:szCs w:val="19"/>
        </w:rPr>
        <w:t>(dále jen „</w:t>
      </w:r>
      <w:r w:rsidRPr="002F54D2">
        <w:rPr>
          <w:rFonts w:ascii="Tahoma" w:hAnsi="Tahoma" w:cs="Tahoma"/>
          <w:b/>
          <w:bCs/>
          <w:sz w:val="19"/>
          <w:szCs w:val="19"/>
        </w:rPr>
        <w:t>občanský zákoník</w:t>
      </w:r>
      <w:r>
        <w:rPr>
          <w:rFonts w:ascii="Tahoma" w:hAnsi="Tahoma" w:cs="Tahoma"/>
          <w:sz w:val="19"/>
          <w:szCs w:val="19"/>
        </w:rPr>
        <w:t>“), mezi těmito smluvními stranami:</w:t>
      </w:r>
    </w:p>
    <w:p w14:paraId="5CCD5D64" w14:textId="77777777" w:rsidR="007D62F9" w:rsidRDefault="007D62F9" w:rsidP="007D62F9">
      <w:pPr>
        <w:spacing w:after="120" w:line="276" w:lineRule="auto"/>
        <w:jc w:val="both"/>
        <w:rPr>
          <w:rFonts w:ascii="Tahoma" w:hAnsi="Tahoma" w:cs="Tahoma"/>
          <w:sz w:val="19"/>
          <w:szCs w:val="19"/>
        </w:rPr>
      </w:pPr>
    </w:p>
    <w:p w14:paraId="282A508C" w14:textId="53AAB002" w:rsidR="006403D3" w:rsidRPr="00ED1F6E" w:rsidRDefault="00773D75" w:rsidP="006403D3">
      <w:pPr>
        <w:spacing w:after="0" w:line="276" w:lineRule="auto"/>
        <w:jc w:val="both"/>
        <w:rPr>
          <w:rFonts w:ascii="Tahoma" w:hAnsi="Tahoma" w:cs="Tahoma"/>
          <w:b/>
          <w:sz w:val="19"/>
          <w:szCs w:val="19"/>
        </w:rPr>
      </w:pPr>
      <w:r w:rsidRPr="00773D75">
        <w:rPr>
          <w:rFonts w:ascii="Tahoma" w:hAnsi="Tahoma" w:cs="Tahoma"/>
          <w:b/>
          <w:sz w:val="19"/>
          <w:szCs w:val="19"/>
        </w:rPr>
        <w:t>Všeobecná fakultní nemocnice v Praze</w:t>
      </w:r>
    </w:p>
    <w:p w14:paraId="4CC61E77" w14:textId="373BABA6" w:rsidR="008C3282" w:rsidRPr="00ED1F6E" w:rsidRDefault="00792A62" w:rsidP="006403D3">
      <w:pPr>
        <w:spacing w:after="0" w:line="276" w:lineRule="auto"/>
        <w:jc w:val="both"/>
        <w:rPr>
          <w:rFonts w:ascii="Tahoma" w:hAnsi="Tahoma" w:cs="Tahoma"/>
          <w:sz w:val="19"/>
          <w:szCs w:val="19"/>
        </w:rPr>
      </w:pPr>
      <w:r w:rsidRPr="00ED1F6E">
        <w:rPr>
          <w:rFonts w:ascii="Tahoma" w:hAnsi="Tahoma" w:cs="Tahoma"/>
          <w:sz w:val="19"/>
          <w:szCs w:val="19"/>
        </w:rPr>
        <w:t xml:space="preserve">se sídlem </w:t>
      </w:r>
      <w:r w:rsidR="00773D75" w:rsidRPr="00773D75">
        <w:rPr>
          <w:rFonts w:ascii="Tahoma" w:hAnsi="Tahoma" w:cs="Tahoma"/>
          <w:sz w:val="19"/>
          <w:szCs w:val="19"/>
        </w:rPr>
        <w:t>U Nemocnice 499/2, Praha 2, 128 08</w:t>
      </w:r>
    </w:p>
    <w:p w14:paraId="690B5635" w14:textId="77777777" w:rsidR="00FC1CA2" w:rsidRPr="00ED1F6E" w:rsidRDefault="00071605" w:rsidP="00FC1CA2">
      <w:pPr>
        <w:spacing w:after="0" w:line="276" w:lineRule="auto"/>
        <w:jc w:val="both"/>
        <w:rPr>
          <w:rFonts w:ascii="Tahoma" w:hAnsi="Tahoma" w:cs="Tahoma"/>
          <w:sz w:val="19"/>
          <w:szCs w:val="19"/>
        </w:rPr>
      </w:pPr>
      <w:r w:rsidRPr="00ED1F6E">
        <w:rPr>
          <w:rFonts w:ascii="Tahoma" w:hAnsi="Tahoma" w:cs="Tahoma"/>
          <w:sz w:val="19"/>
          <w:szCs w:val="19"/>
        </w:rPr>
        <w:t xml:space="preserve">zastoupená </w:t>
      </w:r>
      <w:r w:rsidR="00FC1CA2">
        <w:rPr>
          <w:rFonts w:ascii="Tahoma" w:hAnsi="Tahoma" w:cs="Tahoma"/>
          <w:sz w:val="19"/>
          <w:szCs w:val="19"/>
        </w:rPr>
        <w:t>prof. MUDr. Davidem Feltlem, Ph.D., MBA, ředitelem</w:t>
      </w:r>
    </w:p>
    <w:p w14:paraId="4DF2D6F9" w14:textId="5AC51A65" w:rsidR="00071605" w:rsidRPr="00ED1F6E" w:rsidRDefault="00071605" w:rsidP="00FC1CA2">
      <w:pPr>
        <w:spacing w:after="0" w:line="276" w:lineRule="auto"/>
        <w:jc w:val="both"/>
        <w:rPr>
          <w:rFonts w:ascii="Tahoma" w:hAnsi="Tahoma" w:cs="Tahoma"/>
          <w:sz w:val="19"/>
          <w:szCs w:val="19"/>
        </w:rPr>
      </w:pPr>
      <w:r w:rsidRPr="00ED1F6E">
        <w:rPr>
          <w:rFonts w:ascii="Tahoma" w:hAnsi="Tahoma" w:cs="Tahoma"/>
          <w:sz w:val="19"/>
          <w:szCs w:val="19"/>
        </w:rPr>
        <w:t>IČO:</w:t>
      </w:r>
      <w:r w:rsidR="00D31380" w:rsidRPr="00ED1F6E">
        <w:rPr>
          <w:rFonts w:ascii="Tahoma" w:hAnsi="Tahoma" w:cs="Tahoma"/>
          <w:sz w:val="19"/>
          <w:szCs w:val="19"/>
        </w:rPr>
        <w:t xml:space="preserve"> </w:t>
      </w:r>
      <w:r w:rsidR="00773D75" w:rsidRPr="00773D75">
        <w:rPr>
          <w:rFonts w:ascii="Tahoma" w:hAnsi="Tahoma" w:cs="Tahoma"/>
          <w:sz w:val="19"/>
          <w:szCs w:val="19"/>
        </w:rPr>
        <w:t>000</w:t>
      </w:r>
      <w:r w:rsidR="00773D75">
        <w:rPr>
          <w:rFonts w:ascii="Tahoma" w:hAnsi="Tahoma" w:cs="Tahoma"/>
          <w:sz w:val="19"/>
          <w:szCs w:val="19"/>
        </w:rPr>
        <w:t xml:space="preserve"> </w:t>
      </w:r>
      <w:r w:rsidR="00773D75" w:rsidRPr="00773D75">
        <w:rPr>
          <w:rFonts w:ascii="Tahoma" w:hAnsi="Tahoma" w:cs="Tahoma"/>
          <w:sz w:val="19"/>
          <w:szCs w:val="19"/>
        </w:rPr>
        <w:t>64</w:t>
      </w:r>
      <w:r w:rsidR="00773D75">
        <w:rPr>
          <w:rFonts w:ascii="Tahoma" w:hAnsi="Tahoma" w:cs="Tahoma"/>
          <w:sz w:val="19"/>
          <w:szCs w:val="19"/>
        </w:rPr>
        <w:t xml:space="preserve"> </w:t>
      </w:r>
      <w:r w:rsidR="00773D75" w:rsidRPr="00773D75">
        <w:rPr>
          <w:rFonts w:ascii="Tahoma" w:hAnsi="Tahoma" w:cs="Tahoma"/>
          <w:sz w:val="19"/>
          <w:szCs w:val="19"/>
        </w:rPr>
        <w:t>165</w:t>
      </w:r>
    </w:p>
    <w:p w14:paraId="510408BE" w14:textId="66A736A0" w:rsidR="00071605" w:rsidRPr="00ED1F6E" w:rsidRDefault="00071605" w:rsidP="00AF3573">
      <w:pPr>
        <w:spacing w:after="40" w:line="276" w:lineRule="auto"/>
        <w:jc w:val="both"/>
        <w:rPr>
          <w:rFonts w:ascii="Tahoma" w:hAnsi="Tahoma" w:cs="Tahoma"/>
          <w:sz w:val="19"/>
          <w:szCs w:val="19"/>
        </w:rPr>
      </w:pPr>
      <w:r w:rsidRPr="00ED1F6E">
        <w:rPr>
          <w:rFonts w:ascii="Tahoma" w:hAnsi="Tahoma" w:cs="Tahoma"/>
          <w:sz w:val="19"/>
          <w:szCs w:val="19"/>
        </w:rPr>
        <w:t>DIČ:</w:t>
      </w:r>
      <w:r w:rsidR="00D31380" w:rsidRPr="00ED1F6E">
        <w:rPr>
          <w:rFonts w:ascii="Tahoma" w:hAnsi="Tahoma" w:cs="Tahoma"/>
          <w:sz w:val="19"/>
          <w:szCs w:val="19"/>
        </w:rPr>
        <w:t xml:space="preserve"> </w:t>
      </w:r>
      <w:r w:rsidR="00773D75" w:rsidRPr="00773D75">
        <w:rPr>
          <w:rFonts w:ascii="Tahoma" w:hAnsi="Tahoma" w:cs="Tahoma"/>
          <w:sz w:val="19"/>
          <w:szCs w:val="19"/>
        </w:rPr>
        <w:t>CZ00064165</w:t>
      </w:r>
    </w:p>
    <w:p w14:paraId="0D197701" w14:textId="458A5CB6" w:rsidR="007B5463" w:rsidRPr="00ED1F6E" w:rsidRDefault="007B5463" w:rsidP="0005079B">
      <w:pPr>
        <w:spacing w:after="0" w:line="276" w:lineRule="auto"/>
        <w:jc w:val="both"/>
        <w:rPr>
          <w:rFonts w:ascii="Tahoma" w:hAnsi="Tahoma" w:cs="Tahoma"/>
          <w:sz w:val="19"/>
          <w:szCs w:val="19"/>
        </w:rPr>
      </w:pPr>
      <w:r w:rsidRPr="00ED1F6E">
        <w:rPr>
          <w:rFonts w:ascii="Tahoma" w:hAnsi="Tahoma" w:cs="Tahoma"/>
          <w:sz w:val="19"/>
          <w:szCs w:val="19"/>
        </w:rPr>
        <w:t>(dále jen „</w:t>
      </w:r>
      <w:r w:rsidR="00777992" w:rsidRPr="00ED1F6E">
        <w:rPr>
          <w:rFonts w:ascii="Tahoma" w:hAnsi="Tahoma" w:cs="Tahoma"/>
          <w:b/>
          <w:sz w:val="19"/>
          <w:szCs w:val="19"/>
        </w:rPr>
        <w:t>K</w:t>
      </w:r>
      <w:r w:rsidRPr="00ED1F6E">
        <w:rPr>
          <w:rFonts w:ascii="Tahoma" w:hAnsi="Tahoma" w:cs="Tahoma"/>
          <w:b/>
          <w:sz w:val="19"/>
          <w:szCs w:val="19"/>
        </w:rPr>
        <w:t>lient</w:t>
      </w:r>
      <w:r w:rsidR="00800AA4" w:rsidRPr="00ED1F6E">
        <w:rPr>
          <w:rFonts w:ascii="Tahoma" w:hAnsi="Tahoma" w:cs="Tahoma"/>
          <w:sz w:val="19"/>
          <w:szCs w:val="19"/>
        </w:rPr>
        <w:t>“) na straně jedné</w:t>
      </w:r>
    </w:p>
    <w:p w14:paraId="24F70E19" w14:textId="77777777" w:rsidR="007B5463" w:rsidRPr="00ED1F6E" w:rsidRDefault="007B5463" w:rsidP="00AF3573">
      <w:pPr>
        <w:spacing w:before="160" w:line="276" w:lineRule="auto"/>
        <w:jc w:val="both"/>
        <w:rPr>
          <w:rFonts w:ascii="Tahoma" w:hAnsi="Tahoma" w:cs="Tahoma"/>
          <w:sz w:val="19"/>
          <w:szCs w:val="19"/>
        </w:rPr>
      </w:pPr>
      <w:r w:rsidRPr="00ED1F6E">
        <w:rPr>
          <w:rFonts w:ascii="Tahoma" w:hAnsi="Tahoma" w:cs="Tahoma"/>
          <w:sz w:val="19"/>
          <w:szCs w:val="19"/>
        </w:rPr>
        <w:t>a</w:t>
      </w:r>
    </w:p>
    <w:p w14:paraId="0DCA3D71" w14:textId="681395FF" w:rsidR="00A514B7" w:rsidRDefault="00A514B7" w:rsidP="0005079B">
      <w:pPr>
        <w:spacing w:after="0" w:line="276" w:lineRule="auto"/>
        <w:jc w:val="both"/>
        <w:rPr>
          <w:rFonts w:ascii="Tahoma" w:hAnsi="Tahoma" w:cs="Tahoma"/>
          <w:sz w:val="19"/>
          <w:szCs w:val="19"/>
        </w:rPr>
      </w:pPr>
      <w:bookmarkStart w:id="1" w:name="_Hlk43713617"/>
      <w:r w:rsidRPr="00A514B7">
        <w:rPr>
          <w:rFonts w:ascii="Tahoma" w:hAnsi="Tahoma" w:cs="Tahoma"/>
          <w:b/>
          <w:bCs/>
          <w:sz w:val="19"/>
          <w:szCs w:val="19"/>
        </w:rPr>
        <w:t>ACCESS EU s.r.o.</w:t>
      </w:r>
    </w:p>
    <w:p w14:paraId="40DE6A86" w14:textId="4F446457" w:rsidR="007B5463" w:rsidRPr="00ED1F6E" w:rsidRDefault="007B5463" w:rsidP="0005079B">
      <w:pPr>
        <w:spacing w:after="0" w:line="276" w:lineRule="auto"/>
        <w:jc w:val="both"/>
        <w:rPr>
          <w:rFonts w:ascii="Tahoma" w:hAnsi="Tahoma" w:cs="Tahoma"/>
          <w:sz w:val="19"/>
          <w:szCs w:val="19"/>
        </w:rPr>
      </w:pPr>
      <w:r w:rsidRPr="00ED1F6E">
        <w:rPr>
          <w:rFonts w:ascii="Tahoma" w:hAnsi="Tahoma" w:cs="Tahoma"/>
          <w:sz w:val="19"/>
          <w:szCs w:val="19"/>
        </w:rPr>
        <w:t>se sídlem Hvězdova 1716/2b, </w:t>
      </w:r>
      <w:r w:rsidR="00843522" w:rsidRPr="00ED1F6E">
        <w:rPr>
          <w:rFonts w:ascii="Tahoma" w:hAnsi="Tahoma" w:cs="Tahoma"/>
          <w:sz w:val="19"/>
          <w:szCs w:val="19"/>
        </w:rPr>
        <w:t xml:space="preserve">Nusle, </w:t>
      </w:r>
      <w:r w:rsidRPr="00ED1F6E">
        <w:rPr>
          <w:rFonts w:ascii="Tahoma" w:hAnsi="Tahoma" w:cs="Tahoma"/>
          <w:sz w:val="19"/>
          <w:szCs w:val="19"/>
        </w:rPr>
        <w:t>140 00</w:t>
      </w:r>
      <w:r w:rsidR="000467FC" w:rsidRPr="00ED1F6E">
        <w:rPr>
          <w:rFonts w:ascii="Tahoma" w:hAnsi="Tahoma" w:cs="Tahoma"/>
          <w:sz w:val="19"/>
          <w:szCs w:val="19"/>
        </w:rPr>
        <w:t xml:space="preserve"> Praha 4</w:t>
      </w:r>
    </w:p>
    <w:p w14:paraId="2FA9698D" w14:textId="5110E762" w:rsidR="007B5463" w:rsidRPr="00ED1F6E" w:rsidRDefault="007B5463" w:rsidP="0005079B">
      <w:pPr>
        <w:spacing w:after="0" w:line="276" w:lineRule="auto"/>
        <w:jc w:val="both"/>
        <w:rPr>
          <w:rFonts w:ascii="Tahoma" w:hAnsi="Tahoma" w:cs="Tahoma"/>
          <w:sz w:val="19"/>
          <w:szCs w:val="19"/>
        </w:rPr>
      </w:pPr>
      <w:r w:rsidRPr="00ED1F6E">
        <w:rPr>
          <w:rFonts w:ascii="Tahoma" w:hAnsi="Tahoma" w:cs="Tahoma"/>
          <w:sz w:val="19"/>
          <w:szCs w:val="19"/>
        </w:rPr>
        <w:t xml:space="preserve">zastoupená </w:t>
      </w:r>
      <w:r w:rsidR="00843522" w:rsidRPr="00ED1F6E">
        <w:rPr>
          <w:rFonts w:ascii="Tahoma" w:hAnsi="Tahoma" w:cs="Tahoma"/>
          <w:sz w:val="19"/>
          <w:szCs w:val="19"/>
        </w:rPr>
        <w:t>Mgr. Filipem Drncem, jednatelem</w:t>
      </w:r>
    </w:p>
    <w:p w14:paraId="11431C05" w14:textId="6C0181AF" w:rsidR="007B5463" w:rsidRPr="00ED1F6E" w:rsidRDefault="007B5463" w:rsidP="0005079B">
      <w:pPr>
        <w:spacing w:after="0" w:line="276" w:lineRule="auto"/>
        <w:jc w:val="both"/>
        <w:rPr>
          <w:rFonts w:ascii="Tahoma" w:hAnsi="Tahoma" w:cs="Tahoma"/>
          <w:sz w:val="19"/>
          <w:szCs w:val="19"/>
        </w:rPr>
      </w:pPr>
      <w:r w:rsidRPr="00ED1F6E">
        <w:rPr>
          <w:rFonts w:ascii="Tahoma" w:hAnsi="Tahoma" w:cs="Tahoma"/>
          <w:sz w:val="19"/>
          <w:szCs w:val="19"/>
        </w:rPr>
        <w:t>zapsaná v obchodním rejstříku vedeném Městským soudem v Praze</w:t>
      </w:r>
      <w:r w:rsidR="00815705">
        <w:rPr>
          <w:rFonts w:ascii="Tahoma" w:hAnsi="Tahoma" w:cs="Tahoma"/>
          <w:sz w:val="19"/>
          <w:szCs w:val="19"/>
        </w:rPr>
        <w:t xml:space="preserve"> pod sp. zn. </w:t>
      </w:r>
      <w:r w:rsidR="00843522" w:rsidRPr="00ED1F6E">
        <w:rPr>
          <w:rFonts w:ascii="Tahoma" w:hAnsi="Tahoma" w:cs="Tahoma"/>
          <w:sz w:val="19"/>
          <w:szCs w:val="19"/>
        </w:rPr>
        <w:t>C</w:t>
      </w:r>
      <w:r w:rsidRPr="00ED1F6E">
        <w:rPr>
          <w:rFonts w:ascii="Tahoma" w:hAnsi="Tahoma" w:cs="Tahoma"/>
          <w:sz w:val="19"/>
          <w:szCs w:val="19"/>
        </w:rPr>
        <w:t> </w:t>
      </w:r>
      <w:r w:rsidR="00843522" w:rsidRPr="00ED1F6E">
        <w:rPr>
          <w:rFonts w:ascii="Tahoma" w:hAnsi="Tahoma" w:cs="Tahoma"/>
          <w:sz w:val="19"/>
          <w:szCs w:val="19"/>
        </w:rPr>
        <w:t>354958</w:t>
      </w:r>
    </w:p>
    <w:p w14:paraId="56969E78" w14:textId="7AE8AD77" w:rsidR="007B5463" w:rsidRPr="00ED1F6E" w:rsidRDefault="0099767E" w:rsidP="0005079B">
      <w:pPr>
        <w:spacing w:after="0" w:line="276" w:lineRule="auto"/>
        <w:jc w:val="both"/>
        <w:rPr>
          <w:rFonts w:ascii="Tahoma" w:hAnsi="Tahoma" w:cs="Tahoma"/>
          <w:sz w:val="19"/>
          <w:szCs w:val="19"/>
        </w:rPr>
      </w:pPr>
      <w:r w:rsidRPr="00ED1F6E">
        <w:rPr>
          <w:rFonts w:ascii="Tahoma" w:hAnsi="Tahoma" w:cs="Tahoma"/>
          <w:sz w:val="19"/>
          <w:szCs w:val="19"/>
        </w:rPr>
        <w:t xml:space="preserve">IČO: </w:t>
      </w:r>
      <w:r w:rsidR="00843522" w:rsidRPr="00ED1F6E">
        <w:rPr>
          <w:rFonts w:ascii="Tahoma" w:hAnsi="Tahoma" w:cs="Tahoma"/>
          <w:sz w:val="19"/>
          <w:szCs w:val="19"/>
        </w:rPr>
        <w:t>118 23 585</w:t>
      </w:r>
    </w:p>
    <w:p w14:paraId="6B4A3357" w14:textId="55CBCC02" w:rsidR="007B5463" w:rsidRPr="00ED1F6E" w:rsidRDefault="007B5463" w:rsidP="00AF3573">
      <w:pPr>
        <w:spacing w:after="40" w:line="276" w:lineRule="auto"/>
        <w:jc w:val="both"/>
        <w:rPr>
          <w:rFonts w:ascii="Tahoma" w:hAnsi="Tahoma" w:cs="Tahoma"/>
          <w:sz w:val="19"/>
          <w:szCs w:val="19"/>
        </w:rPr>
      </w:pPr>
      <w:r w:rsidRPr="00ED1F6E">
        <w:rPr>
          <w:rFonts w:ascii="Tahoma" w:hAnsi="Tahoma" w:cs="Tahoma"/>
          <w:sz w:val="19"/>
          <w:szCs w:val="19"/>
        </w:rPr>
        <w:t>DIČ: CZ</w:t>
      </w:r>
      <w:r w:rsidR="00843522" w:rsidRPr="00ED1F6E">
        <w:rPr>
          <w:rFonts w:ascii="Tahoma" w:hAnsi="Tahoma" w:cs="Tahoma"/>
          <w:sz w:val="19"/>
          <w:szCs w:val="19"/>
        </w:rPr>
        <w:t>11823585</w:t>
      </w:r>
    </w:p>
    <w:p w14:paraId="670C020C" w14:textId="0F5B9E82" w:rsidR="00731FED" w:rsidRPr="00ED1F6E" w:rsidRDefault="007B5463" w:rsidP="0005079B">
      <w:pPr>
        <w:spacing w:after="0" w:line="276" w:lineRule="auto"/>
        <w:jc w:val="both"/>
        <w:rPr>
          <w:rFonts w:ascii="Tahoma" w:hAnsi="Tahoma" w:cs="Tahoma"/>
          <w:sz w:val="19"/>
          <w:szCs w:val="19"/>
        </w:rPr>
      </w:pPr>
      <w:r w:rsidRPr="00ED1F6E">
        <w:rPr>
          <w:rFonts w:ascii="Tahoma" w:hAnsi="Tahoma" w:cs="Tahoma"/>
          <w:sz w:val="19"/>
          <w:szCs w:val="19"/>
        </w:rPr>
        <w:t>(dále jen „</w:t>
      </w:r>
      <w:r w:rsidR="00777992" w:rsidRPr="00ED1F6E">
        <w:rPr>
          <w:rFonts w:ascii="Tahoma" w:hAnsi="Tahoma" w:cs="Tahoma"/>
          <w:b/>
          <w:sz w:val="19"/>
          <w:szCs w:val="19"/>
        </w:rPr>
        <w:t>P</w:t>
      </w:r>
      <w:r w:rsidR="00047DB5" w:rsidRPr="00ED1F6E">
        <w:rPr>
          <w:rFonts w:ascii="Tahoma" w:hAnsi="Tahoma" w:cs="Tahoma"/>
          <w:b/>
          <w:sz w:val="19"/>
          <w:szCs w:val="19"/>
        </w:rPr>
        <w:t>oradce</w:t>
      </w:r>
      <w:r w:rsidRPr="00ED1F6E">
        <w:rPr>
          <w:rFonts w:ascii="Tahoma" w:hAnsi="Tahoma" w:cs="Tahoma"/>
          <w:sz w:val="19"/>
          <w:szCs w:val="19"/>
        </w:rPr>
        <w:t>“)</w:t>
      </w:r>
      <w:bookmarkEnd w:id="1"/>
      <w:r w:rsidRPr="00ED1F6E">
        <w:rPr>
          <w:rFonts w:ascii="Tahoma" w:hAnsi="Tahoma" w:cs="Tahoma"/>
          <w:sz w:val="19"/>
          <w:szCs w:val="19"/>
        </w:rPr>
        <w:t xml:space="preserve"> na straně druhé</w:t>
      </w:r>
    </w:p>
    <w:p w14:paraId="3960069D" w14:textId="725D0CB2" w:rsidR="007B5463" w:rsidRPr="00ED1F6E" w:rsidRDefault="007B5463" w:rsidP="00AF3573">
      <w:pPr>
        <w:pStyle w:val="Zkladntext"/>
        <w:spacing w:before="80" w:after="320" w:line="276" w:lineRule="auto"/>
        <w:jc w:val="both"/>
        <w:rPr>
          <w:rFonts w:ascii="Tahoma" w:hAnsi="Tahoma" w:cs="Tahoma"/>
          <w:sz w:val="19"/>
          <w:szCs w:val="19"/>
        </w:rPr>
      </w:pPr>
      <w:r w:rsidRPr="00ED1F6E">
        <w:rPr>
          <w:rFonts w:ascii="Tahoma" w:hAnsi="Tahoma" w:cs="Tahoma"/>
          <w:sz w:val="19"/>
          <w:szCs w:val="19"/>
        </w:rPr>
        <w:t>(</w:t>
      </w:r>
      <w:r w:rsidR="00777992" w:rsidRPr="00ED1F6E">
        <w:rPr>
          <w:rFonts w:ascii="Tahoma" w:hAnsi="Tahoma" w:cs="Tahoma"/>
          <w:sz w:val="19"/>
          <w:szCs w:val="19"/>
        </w:rPr>
        <w:t>K</w:t>
      </w:r>
      <w:r w:rsidRPr="00ED1F6E">
        <w:rPr>
          <w:rFonts w:ascii="Tahoma" w:hAnsi="Tahoma" w:cs="Tahoma"/>
          <w:sz w:val="19"/>
          <w:szCs w:val="19"/>
        </w:rPr>
        <w:t>lient</w:t>
      </w:r>
      <w:r w:rsidR="009A17BE" w:rsidRPr="00ED1F6E">
        <w:rPr>
          <w:rFonts w:ascii="Tahoma" w:hAnsi="Tahoma" w:cs="Tahoma"/>
          <w:sz w:val="19"/>
          <w:szCs w:val="19"/>
        </w:rPr>
        <w:t xml:space="preserve"> a</w:t>
      </w:r>
      <w:r w:rsidR="00731FED" w:rsidRPr="00ED1F6E">
        <w:rPr>
          <w:rFonts w:ascii="Tahoma" w:hAnsi="Tahoma" w:cs="Tahoma"/>
          <w:sz w:val="19"/>
          <w:szCs w:val="19"/>
        </w:rPr>
        <w:t xml:space="preserve"> </w:t>
      </w:r>
      <w:r w:rsidR="00777992" w:rsidRPr="00ED1F6E">
        <w:rPr>
          <w:rFonts w:ascii="Tahoma" w:hAnsi="Tahoma" w:cs="Tahoma"/>
          <w:sz w:val="19"/>
          <w:szCs w:val="19"/>
        </w:rPr>
        <w:t>P</w:t>
      </w:r>
      <w:r w:rsidR="00047DB5" w:rsidRPr="00ED1F6E">
        <w:rPr>
          <w:rFonts w:ascii="Tahoma" w:hAnsi="Tahoma" w:cs="Tahoma"/>
          <w:sz w:val="19"/>
          <w:szCs w:val="19"/>
        </w:rPr>
        <w:t>oradce</w:t>
      </w:r>
      <w:r w:rsidRPr="00ED1F6E">
        <w:rPr>
          <w:rFonts w:ascii="Tahoma" w:hAnsi="Tahoma" w:cs="Tahoma"/>
          <w:sz w:val="19"/>
          <w:szCs w:val="19"/>
        </w:rPr>
        <w:t xml:space="preserve"> dále společně jen jako „</w:t>
      </w:r>
      <w:r w:rsidR="00777992" w:rsidRPr="00ED1F6E">
        <w:rPr>
          <w:rFonts w:ascii="Tahoma" w:hAnsi="Tahoma" w:cs="Tahoma"/>
          <w:b/>
          <w:sz w:val="19"/>
          <w:szCs w:val="19"/>
        </w:rPr>
        <w:t>S</w:t>
      </w:r>
      <w:r w:rsidRPr="00ED1F6E">
        <w:rPr>
          <w:rFonts w:ascii="Tahoma" w:hAnsi="Tahoma" w:cs="Tahoma"/>
          <w:b/>
          <w:sz w:val="19"/>
          <w:szCs w:val="19"/>
        </w:rPr>
        <w:t>mluvní strany</w:t>
      </w:r>
      <w:r w:rsidRPr="00ED1F6E">
        <w:rPr>
          <w:rFonts w:ascii="Tahoma" w:hAnsi="Tahoma" w:cs="Tahoma"/>
          <w:sz w:val="19"/>
          <w:szCs w:val="19"/>
        </w:rPr>
        <w:t>“</w:t>
      </w:r>
      <w:r w:rsidR="00351443" w:rsidRPr="00ED1F6E">
        <w:rPr>
          <w:rFonts w:ascii="Tahoma" w:hAnsi="Tahoma" w:cs="Tahoma"/>
          <w:sz w:val="19"/>
          <w:szCs w:val="19"/>
        </w:rPr>
        <w:t xml:space="preserve"> </w:t>
      </w:r>
      <w:bookmarkStart w:id="2" w:name="_Hlk43718237"/>
      <w:r w:rsidR="00351443" w:rsidRPr="00ED1F6E">
        <w:rPr>
          <w:rFonts w:ascii="Tahoma" w:hAnsi="Tahoma" w:cs="Tahoma"/>
          <w:sz w:val="19"/>
          <w:szCs w:val="19"/>
        </w:rPr>
        <w:t>nebo každá samostatně jako „</w:t>
      </w:r>
      <w:r w:rsidR="00351443" w:rsidRPr="00ED1F6E">
        <w:rPr>
          <w:rFonts w:ascii="Tahoma" w:hAnsi="Tahoma" w:cs="Tahoma"/>
          <w:b/>
          <w:bCs/>
          <w:sz w:val="19"/>
          <w:szCs w:val="19"/>
        </w:rPr>
        <w:t>Smluvní strana</w:t>
      </w:r>
      <w:bookmarkEnd w:id="2"/>
      <w:r w:rsidR="00802849" w:rsidRPr="00ED1F6E">
        <w:rPr>
          <w:rFonts w:ascii="Tahoma" w:hAnsi="Tahoma" w:cs="Tahoma"/>
          <w:sz w:val="19"/>
          <w:szCs w:val="19"/>
        </w:rPr>
        <w:t>“)</w:t>
      </w:r>
      <w:r w:rsidR="00802849">
        <w:rPr>
          <w:rFonts w:ascii="Tahoma" w:hAnsi="Tahoma" w:cs="Tahoma"/>
          <w:sz w:val="19"/>
          <w:szCs w:val="19"/>
        </w:rPr>
        <w:t>.</w:t>
      </w:r>
    </w:p>
    <w:p w14:paraId="4230EDCB" w14:textId="69D9D58C" w:rsidR="00925F51" w:rsidRPr="00AF3573" w:rsidRDefault="00925F51" w:rsidP="00AF3573">
      <w:pPr>
        <w:pStyle w:val="Zkladntext"/>
        <w:keepNext/>
        <w:spacing w:line="276" w:lineRule="auto"/>
        <w:ind w:left="426"/>
        <w:jc w:val="center"/>
        <w:rPr>
          <w:rFonts w:ascii="Tahoma" w:hAnsi="Tahoma" w:cs="Tahoma"/>
          <w:b/>
          <w:bCs/>
          <w:sz w:val="19"/>
          <w:szCs w:val="19"/>
        </w:rPr>
      </w:pPr>
      <w:r w:rsidRPr="00AF3573">
        <w:rPr>
          <w:rFonts w:ascii="Tahoma" w:hAnsi="Tahoma" w:cs="Tahoma"/>
          <w:b/>
          <w:bCs/>
          <w:sz w:val="19"/>
          <w:szCs w:val="19"/>
        </w:rPr>
        <w:t>I.</w:t>
      </w:r>
    </w:p>
    <w:p w14:paraId="64E2401D" w14:textId="25EB10EB" w:rsidR="00925F51" w:rsidRPr="00914ECA" w:rsidRDefault="00925F51" w:rsidP="00AF3573">
      <w:pPr>
        <w:pStyle w:val="Zkladntext"/>
        <w:keepNext/>
        <w:spacing w:after="40" w:line="276" w:lineRule="auto"/>
        <w:ind w:left="426"/>
        <w:jc w:val="center"/>
        <w:rPr>
          <w:rFonts w:ascii="Tahoma" w:hAnsi="Tahoma"/>
          <w:b/>
          <w:smallCaps/>
          <w:sz w:val="19"/>
        </w:rPr>
      </w:pPr>
      <w:r w:rsidRPr="00914ECA">
        <w:rPr>
          <w:rFonts w:ascii="Tahoma" w:hAnsi="Tahoma"/>
          <w:b/>
          <w:smallCaps/>
          <w:sz w:val="19"/>
        </w:rPr>
        <w:t>Předmět Smlouvy</w:t>
      </w:r>
    </w:p>
    <w:p w14:paraId="24D00756" w14:textId="73FDFBD5" w:rsidR="000A78D7" w:rsidRDefault="008128CA" w:rsidP="0039693D">
      <w:pPr>
        <w:pStyle w:val="Zkladntext"/>
        <w:numPr>
          <w:ilvl w:val="0"/>
          <w:numId w:val="4"/>
        </w:numPr>
        <w:spacing w:after="160" w:line="276" w:lineRule="auto"/>
        <w:ind w:left="567" w:hanging="567"/>
        <w:jc w:val="both"/>
        <w:rPr>
          <w:rFonts w:ascii="Tahoma" w:hAnsi="Tahoma" w:cs="Tahoma"/>
          <w:sz w:val="19"/>
          <w:szCs w:val="19"/>
        </w:rPr>
      </w:pPr>
      <w:r w:rsidRPr="00773D75">
        <w:rPr>
          <w:rFonts w:ascii="Tahoma" w:hAnsi="Tahoma" w:cs="Tahoma"/>
          <w:sz w:val="19"/>
          <w:szCs w:val="19"/>
        </w:rPr>
        <w:t xml:space="preserve">Poradce </w:t>
      </w:r>
      <w:r w:rsidR="00EB560D" w:rsidRPr="00773D75">
        <w:rPr>
          <w:rFonts w:ascii="Tahoma" w:hAnsi="Tahoma" w:cs="Tahoma"/>
          <w:sz w:val="19"/>
          <w:szCs w:val="19"/>
        </w:rPr>
        <w:t xml:space="preserve">se </w:t>
      </w:r>
      <w:r w:rsidR="005E58B4" w:rsidRPr="00773D75">
        <w:rPr>
          <w:rFonts w:ascii="Tahoma" w:hAnsi="Tahoma" w:cs="Tahoma"/>
          <w:sz w:val="19"/>
          <w:szCs w:val="19"/>
        </w:rPr>
        <w:t xml:space="preserve">zavazuje </w:t>
      </w:r>
      <w:r w:rsidR="00925F51" w:rsidRPr="00773D75">
        <w:rPr>
          <w:rFonts w:ascii="Tahoma" w:hAnsi="Tahoma" w:cs="Tahoma"/>
          <w:sz w:val="19"/>
          <w:szCs w:val="19"/>
        </w:rPr>
        <w:t xml:space="preserve">poskytovat </w:t>
      </w:r>
      <w:r w:rsidR="00381762" w:rsidRPr="00773D75">
        <w:rPr>
          <w:rFonts w:ascii="Tahoma" w:hAnsi="Tahoma" w:cs="Tahoma"/>
          <w:sz w:val="19"/>
          <w:szCs w:val="19"/>
        </w:rPr>
        <w:t>K</w:t>
      </w:r>
      <w:r w:rsidR="005E58B4" w:rsidRPr="00773D75">
        <w:rPr>
          <w:rFonts w:ascii="Tahoma" w:hAnsi="Tahoma" w:cs="Tahoma"/>
          <w:sz w:val="19"/>
          <w:szCs w:val="19"/>
        </w:rPr>
        <w:t xml:space="preserve">lientovi </w:t>
      </w:r>
      <w:r w:rsidR="00773D75" w:rsidRPr="00773D75">
        <w:rPr>
          <w:rFonts w:ascii="Tahoma" w:hAnsi="Tahoma" w:cs="Tahoma"/>
          <w:sz w:val="19"/>
          <w:szCs w:val="19"/>
        </w:rPr>
        <w:t>konzultační, poradenské, zprostředkovatelské a komunikační služby, dále také všechny úkony související za účelem plánování financování projektů prostřednictvím různých zdrojů/titulů pro její další rozvoj</w:t>
      </w:r>
      <w:r w:rsidR="00773D75">
        <w:rPr>
          <w:rFonts w:ascii="Tahoma" w:hAnsi="Tahoma" w:cs="Tahoma"/>
          <w:sz w:val="19"/>
          <w:szCs w:val="19"/>
        </w:rPr>
        <w:t xml:space="preserve"> </w:t>
      </w:r>
      <w:r w:rsidR="000A78D7" w:rsidRPr="00773D75">
        <w:rPr>
          <w:rFonts w:ascii="Tahoma" w:hAnsi="Tahoma" w:cs="Tahoma"/>
          <w:sz w:val="19"/>
          <w:szCs w:val="19"/>
        </w:rPr>
        <w:t>(dále jen „</w:t>
      </w:r>
      <w:r w:rsidR="000A78D7" w:rsidRPr="00773D75">
        <w:rPr>
          <w:rFonts w:ascii="Tahoma" w:hAnsi="Tahoma" w:cs="Tahoma"/>
          <w:b/>
          <w:bCs/>
          <w:sz w:val="19"/>
          <w:szCs w:val="19"/>
        </w:rPr>
        <w:t>Služby</w:t>
      </w:r>
      <w:r w:rsidR="000A78D7" w:rsidRPr="00773D75">
        <w:rPr>
          <w:rFonts w:ascii="Tahoma" w:hAnsi="Tahoma" w:cs="Tahoma"/>
          <w:sz w:val="19"/>
          <w:szCs w:val="19"/>
        </w:rPr>
        <w:t>“).</w:t>
      </w:r>
    </w:p>
    <w:p w14:paraId="7ECE5A4B" w14:textId="1D223A59" w:rsidR="00773D75" w:rsidRPr="00773D75" w:rsidRDefault="00773D75" w:rsidP="00773D75">
      <w:pPr>
        <w:pStyle w:val="Zkladntext"/>
        <w:numPr>
          <w:ilvl w:val="0"/>
          <w:numId w:val="4"/>
        </w:numPr>
        <w:spacing w:after="80" w:line="276" w:lineRule="auto"/>
        <w:ind w:left="567" w:hanging="567"/>
        <w:jc w:val="both"/>
        <w:rPr>
          <w:rFonts w:ascii="Tahoma" w:hAnsi="Tahoma" w:cs="Tahoma"/>
          <w:sz w:val="19"/>
          <w:szCs w:val="19"/>
        </w:rPr>
      </w:pPr>
      <w:r>
        <w:rPr>
          <w:rFonts w:ascii="Tahoma" w:hAnsi="Tahoma" w:cs="Tahoma"/>
          <w:sz w:val="19"/>
          <w:szCs w:val="19"/>
        </w:rPr>
        <w:t>Služby budou rozděleny na následující čtyř</w:t>
      </w:r>
      <w:r w:rsidR="0039693D">
        <w:rPr>
          <w:rFonts w:ascii="Tahoma" w:hAnsi="Tahoma" w:cs="Tahoma"/>
          <w:sz w:val="19"/>
          <w:szCs w:val="19"/>
        </w:rPr>
        <w:t>i</w:t>
      </w:r>
      <w:r>
        <w:rPr>
          <w:rFonts w:ascii="Tahoma" w:hAnsi="Tahoma" w:cs="Tahoma"/>
          <w:sz w:val="19"/>
          <w:szCs w:val="19"/>
        </w:rPr>
        <w:t xml:space="preserve"> (4) fáze:</w:t>
      </w:r>
    </w:p>
    <w:p w14:paraId="7AA2FAD6" w14:textId="15E2A173" w:rsidR="00132E8B" w:rsidRDefault="00773D75" w:rsidP="00BB1F51">
      <w:pPr>
        <w:pStyle w:val="Zkladntext"/>
        <w:numPr>
          <w:ilvl w:val="1"/>
          <w:numId w:val="4"/>
        </w:numPr>
        <w:spacing w:after="80" w:line="276" w:lineRule="auto"/>
        <w:ind w:left="993"/>
        <w:jc w:val="both"/>
        <w:rPr>
          <w:rFonts w:ascii="Tahoma" w:hAnsi="Tahoma" w:cs="Tahoma"/>
          <w:sz w:val="19"/>
          <w:szCs w:val="19"/>
        </w:rPr>
      </w:pPr>
      <w:r w:rsidRPr="00BB1F51">
        <w:rPr>
          <w:rFonts w:ascii="Tahoma" w:hAnsi="Tahoma" w:cs="Tahoma"/>
          <w:b/>
          <w:bCs/>
          <w:sz w:val="19"/>
          <w:szCs w:val="19"/>
        </w:rPr>
        <w:t>Fáze I</w:t>
      </w:r>
      <w:r w:rsidRPr="00773D75">
        <w:rPr>
          <w:rFonts w:ascii="Tahoma" w:hAnsi="Tahoma" w:cs="Tahoma"/>
          <w:sz w:val="19"/>
          <w:szCs w:val="19"/>
        </w:rPr>
        <w:t xml:space="preserve">: Průběžné a proaktivní sledování a vyhledávání unijních i národních dotačních příležitostí, titulů, pobídek či výzev, identifikace optimálních unijních i národních dotačních titulů a jejich doporučení </w:t>
      </w:r>
      <w:r w:rsidR="00F60646">
        <w:rPr>
          <w:rFonts w:ascii="Tahoma" w:hAnsi="Tahoma" w:cs="Tahoma"/>
          <w:sz w:val="19"/>
          <w:szCs w:val="19"/>
        </w:rPr>
        <w:t>Klientovi</w:t>
      </w:r>
      <w:r w:rsidRPr="00773D75">
        <w:rPr>
          <w:rFonts w:ascii="Tahoma" w:hAnsi="Tahoma" w:cs="Tahoma"/>
          <w:sz w:val="19"/>
          <w:szCs w:val="19"/>
        </w:rPr>
        <w:t xml:space="preserve"> za účelem financování projektů pro jeho další rozvoj. Vyhledávání dalších dotačních příležitostí dle věty předchozí financovaných prostřednictvím soukromých, neziskových aj. organizací/nadací. Výstupem bude měsíční, či mimořádný report, s identifikací vhodných dotačních titulů</w:t>
      </w:r>
    </w:p>
    <w:p w14:paraId="4D6AF897" w14:textId="2ADFD36D" w:rsidR="00773D75" w:rsidRDefault="00132E8B" w:rsidP="00132E8B">
      <w:pPr>
        <w:pStyle w:val="Zkladntext"/>
        <w:spacing w:after="80" w:line="276" w:lineRule="auto"/>
        <w:ind w:left="993"/>
        <w:jc w:val="both"/>
        <w:rPr>
          <w:rFonts w:ascii="Tahoma" w:hAnsi="Tahoma" w:cs="Tahoma"/>
          <w:sz w:val="19"/>
          <w:szCs w:val="19"/>
        </w:rPr>
      </w:pPr>
      <w:r w:rsidRPr="00132E8B">
        <w:rPr>
          <w:rFonts w:ascii="Tahoma" w:hAnsi="Tahoma" w:cs="Tahoma"/>
          <w:sz w:val="19"/>
          <w:szCs w:val="19"/>
        </w:rPr>
        <w:t xml:space="preserve">(dále jen </w:t>
      </w:r>
      <w:r>
        <w:rPr>
          <w:rFonts w:ascii="Tahoma" w:hAnsi="Tahoma" w:cs="Tahoma"/>
          <w:sz w:val="19"/>
          <w:szCs w:val="19"/>
        </w:rPr>
        <w:t>„</w:t>
      </w:r>
      <w:r>
        <w:rPr>
          <w:rFonts w:ascii="Tahoma" w:hAnsi="Tahoma" w:cs="Tahoma"/>
          <w:b/>
          <w:bCs/>
          <w:sz w:val="19"/>
          <w:szCs w:val="19"/>
        </w:rPr>
        <w:t>Fáze I</w:t>
      </w:r>
      <w:r>
        <w:rPr>
          <w:rFonts w:ascii="Tahoma" w:hAnsi="Tahoma" w:cs="Tahoma"/>
          <w:sz w:val="19"/>
          <w:szCs w:val="19"/>
        </w:rPr>
        <w:t>“)</w:t>
      </w:r>
      <w:r w:rsidR="00773D75" w:rsidRPr="00773D75">
        <w:rPr>
          <w:rFonts w:ascii="Tahoma" w:hAnsi="Tahoma" w:cs="Tahoma"/>
          <w:sz w:val="19"/>
          <w:szCs w:val="19"/>
        </w:rPr>
        <w:t>.</w:t>
      </w:r>
    </w:p>
    <w:p w14:paraId="1B612476" w14:textId="29E7183E" w:rsidR="00132E8B" w:rsidRPr="00773D75" w:rsidRDefault="00132E8B" w:rsidP="00132E8B">
      <w:pPr>
        <w:pStyle w:val="Zkladntext"/>
        <w:spacing w:after="80" w:line="276" w:lineRule="auto"/>
        <w:ind w:left="993"/>
        <w:jc w:val="both"/>
        <w:rPr>
          <w:rFonts w:ascii="Tahoma" w:hAnsi="Tahoma" w:cs="Tahoma"/>
          <w:sz w:val="19"/>
          <w:szCs w:val="19"/>
        </w:rPr>
      </w:pPr>
      <w:r w:rsidRPr="00132E8B">
        <w:rPr>
          <w:rFonts w:ascii="Tahoma" w:hAnsi="Tahoma" w:cs="Tahoma"/>
          <w:sz w:val="19"/>
          <w:szCs w:val="19"/>
        </w:rPr>
        <w:t xml:space="preserve">Fáze I bude prováděna kontinuálně v době platnosti </w:t>
      </w:r>
      <w:r w:rsidR="0039693D">
        <w:rPr>
          <w:rFonts w:ascii="Tahoma" w:hAnsi="Tahoma" w:cs="Tahoma"/>
          <w:sz w:val="19"/>
          <w:szCs w:val="19"/>
        </w:rPr>
        <w:t>Smlouvy</w:t>
      </w:r>
      <w:r w:rsidRPr="00132E8B">
        <w:rPr>
          <w:rFonts w:ascii="Tahoma" w:hAnsi="Tahoma" w:cs="Tahoma"/>
          <w:sz w:val="19"/>
          <w:szCs w:val="19"/>
        </w:rPr>
        <w:t>.</w:t>
      </w:r>
    </w:p>
    <w:p w14:paraId="056BDAFB" w14:textId="77777777" w:rsidR="00132E8B" w:rsidRDefault="00773D75" w:rsidP="00BB1F51">
      <w:pPr>
        <w:pStyle w:val="Zkladntext"/>
        <w:numPr>
          <w:ilvl w:val="1"/>
          <w:numId w:val="4"/>
        </w:numPr>
        <w:spacing w:after="80" w:line="276" w:lineRule="auto"/>
        <w:ind w:left="993"/>
        <w:jc w:val="both"/>
        <w:rPr>
          <w:rFonts w:ascii="Tahoma" w:hAnsi="Tahoma" w:cs="Tahoma"/>
          <w:sz w:val="19"/>
          <w:szCs w:val="19"/>
        </w:rPr>
      </w:pPr>
      <w:r w:rsidRPr="00BB1F51">
        <w:rPr>
          <w:rFonts w:ascii="Tahoma" w:hAnsi="Tahoma" w:cs="Tahoma"/>
          <w:b/>
          <w:bCs/>
          <w:sz w:val="19"/>
          <w:szCs w:val="19"/>
        </w:rPr>
        <w:t>Fáze II</w:t>
      </w:r>
      <w:r w:rsidRPr="00773D75">
        <w:rPr>
          <w:rFonts w:ascii="Tahoma" w:hAnsi="Tahoma" w:cs="Tahoma"/>
          <w:sz w:val="19"/>
          <w:szCs w:val="19"/>
        </w:rPr>
        <w:t xml:space="preserve">: Posouzení (i opakované) konkrétních </w:t>
      </w:r>
      <w:r w:rsidR="00BB1F51">
        <w:rPr>
          <w:rFonts w:ascii="Tahoma" w:hAnsi="Tahoma" w:cs="Tahoma"/>
          <w:sz w:val="19"/>
          <w:szCs w:val="19"/>
        </w:rPr>
        <w:t>Klientem</w:t>
      </w:r>
      <w:r w:rsidRPr="00773D75">
        <w:rPr>
          <w:rFonts w:ascii="Tahoma" w:hAnsi="Tahoma" w:cs="Tahoma"/>
          <w:sz w:val="19"/>
          <w:szCs w:val="19"/>
        </w:rPr>
        <w:t xml:space="preserve"> identifikovaných projektů, jehož výsledkem bude zpracování cílené dotační analýzy (zahrnující mj. doporučený harmonogram dalšího postupu a jednotlivé kroky nezbytné k získání dotačních prostředků), prováděné na základě dílčí objednávky</w:t>
      </w:r>
    </w:p>
    <w:p w14:paraId="5A7ED2BF" w14:textId="4E67CED7" w:rsidR="00132E8B" w:rsidRDefault="00132E8B" w:rsidP="00132E8B">
      <w:pPr>
        <w:pStyle w:val="Zkladntext"/>
        <w:spacing w:after="80" w:line="276" w:lineRule="auto"/>
        <w:ind w:left="993"/>
        <w:jc w:val="both"/>
        <w:rPr>
          <w:rFonts w:ascii="Tahoma" w:hAnsi="Tahoma" w:cs="Tahoma"/>
          <w:sz w:val="19"/>
          <w:szCs w:val="19"/>
        </w:rPr>
      </w:pPr>
      <w:r>
        <w:rPr>
          <w:rFonts w:ascii="Tahoma" w:hAnsi="Tahoma" w:cs="Tahoma"/>
          <w:sz w:val="19"/>
          <w:szCs w:val="19"/>
        </w:rPr>
        <w:t>(dále jen „</w:t>
      </w:r>
      <w:r>
        <w:rPr>
          <w:rFonts w:ascii="Tahoma" w:hAnsi="Tahoma" w:cs="Tahoma"/>
          <w:b/>
          <w:bCs/>
          <w:sz w:val="19"/>
          <w:szCs w:val="19"/>
        </w:rPr>
        <w:t>Fáze II</w:t>
      </w:r>
      <w:r>
        <w:rPr>
          <w:rFonts w:ascii="Tahoma" w:hAnsi="Tahoma" w:cs="Tahoma"/>
          <w:sz w:val="19"/>
          <w:szCs w:val="19"/>
        </w:rPr>
        <w:t>“)</w:t>
      </w:r>
      <w:r w:rsidR="00773D75" w:rsidRPr="00773D75">
        <w:rPr>
          <w:rFonts w:ascii="Tahoma" w:hAnsi="Tahoma" w:cs="Tahoma"/>
          <w:sz w:val="19"/>
          <w:szCs w:val="19"/>
        </w:rPr>
        <w:t xml:space="preserve">. </w:t>
      </w:r>
    </w:p>
    <w:p w14:paraId="47FCB0A9" w14:textId="3AFF8C84" w:rsidR="00132E8B" w:rsidRDefault="00BB1F51" w:rsidP="0039693D">
      <w:pPr>
        <w:pStyle w:val="Zkladntext"/>
        <w:keepNext/>
        <w:widowControl/>
        <w:numPr>
          <w:ilvl w:val="1"/>
          <w:numId w:val="4"/>
        </w:numPr>
        <w:spacing w:after="80" w:line="276" w:lineRule="auto"/>
        <w:ind w:left="992" w:hanging="357"/>
        <w:jc w:val="both"/>
        <w:rPr>
          <w:rFonts w:ascii="Tahoma" w:hAnsi="Tahoma" w:cs="Tahoma"/>
          <w:sz w:val="19"/>
          <w:szCs w:val="19"/>
        </w:rPr>
      </w:pPr>
      <w:r w:rsidRPr="00BB1F51">
        <w:rPr>
          <w:rFonts w:ascii="Tahoma" w:hAnsi="Tahoma" w:cs="Tahoma"/>
          <w:b/>
          <w:bCs/>
          <w:sz w:val="19"/>
          <w:szCs w:val="19"/>
        </w:rPr>
        <w:t>Fáze III</w:t>
      </w:r>
      <w:r w:rsidRPr="00BB1F51">
        <w:rPr>
          <w:rFonts w:ascii="Tahoma" w:hAnsi="Tahoma" w:cs="Tahoma"/>
          <w:sz w:val="19"/>
          <w:szCs w:val="19"/>
        </w:rPr>
        <w:t xml:space="preserve">: Spolupráce při přípravě zadání či poptání veškerých služeb poskytovaných třetími stranami spočívajících zejména, nikoliv však výlučně, ve zpracování studií, znaleckých posudků či jiné dokumentace a podkladů, které budou potřebné pro přípravu žádosti o dotaci, jakož i zajištění procesu následné verifikace souladu výstupů činnosti těchto třetích osob, včetně jejich případného </w:t>
      </w:r>
      <w:r w:rsidRPr="00BB1F51">
        <w:rPr>
          <w:rFonts w:ascii="Tahoma" w:hAnsi="Tahoma" w:cs="Tahoma"/>
          <w:sz w:val="19"/>
          <w:szCs w:val="19"/>
        </w:rPr>
        <w:lastRenderedPageBreak/>
        <w:t xml:space="preserve">připomínkování, z hlediska souladu se sjednanými požadavky </w:t>
      </w:r>
      <w:r w:rsidR="00F60646">
        <w:rPr>
          <w:rFonts w:ascii="Tahoma" w:hAnsi="Tahoma" w:cs="Tahoma"/>
          <w:sz w:val="19"/>
          <w:szCs w:val="19"/>
        </w:rPr>
        <w:t>Klienta</w:t>
      </w:r>
      <w:r w:rsidRPr="00BB1F51">
        <w:rPr>
          <w:rFonts w:ascii="Tahoma" w:hAnsi="Tahoma" w:cs="Tahoma"/>
          <w:sz w:val="19"/>
          <w:szCs w:val="19"/>
        </w:rPr>
        <w:t>, prováděné na základě dílčí objednávky</w:t>
      </w:r>
    </w:p>
    <w:p w14:paraId="51E5AAFE" w14:textId="5AC072F3" w:rsidR="00BB1F51" w:rsidRDefault="00132E8B" w:rsidP="00132E8B">
      <w:pPr>
        <w:pStyle w:val="Zkladntext"/>
        <w:spacing w:after="80" w:line="276" w:lineRule="auto"/>
        <w:ind w:left="993"/>
        <w:jc w:val="both"/>
        <w:rPr>
          <w:rFonts w:ascii="Tahoma" w:hAnsi="Tahoma" w:cs="Tahoma"/>
          <w:sz w:val="19"/>
          <w:szCs w:val="19"/>
        </w:rPr>
      </w:pPr>
      <w:r>
        <w:rPr>
          <w:rFonts w:ascii="Tahoma" w:hAnsi="Tahoma" w:cs="Tahoma"/>
          <w:sz w:val="19"/>
          <w:szCs w:val="19"/>
        </w:rPr>
        <w:t>(dále jen „</w:t>
      </w:r>
      <w:r>
        <w:rPr>
          <w:rFonts w:ascii="Tahoma" w:hAnsi="Tahoma" w:cs="Tahoma"/>
          <w:b/>
          <w:bCs/>
          <w:sz w:val="19"/>
          <w:szCs w:val="19"/>
        </w:rPr>
        <w:t>Fáze III</w:t>
      </w:r>
      <w:r>
        <w:rPr>
          <w:rFonts w:ascii="Tahoma" w:hAnsi="Tahoma" w:cs="Tahoma"/>
          <w:sz w:val="19"/>
          <w:szCs w:val="19"/>
        </w:rPr>
        <w:t>“)</w:t>
      </w:r>
      <w:r w:rsidR="00BB1F51" w:rsidRPr="00BB1F51">
        <w:rPr>
          <w:rFonts w:ascii="Tahoma" w:hAnsi="Tahoma" w:cs="Tahoma"/>
          <w:sz w:val="19"/>
          <w:szCs w:val="19"/>
        </w:rPr>
        <w:t xml:space="preserve">. </w:t>
      </w:r>
    </w:p>
    <w:p w14:paraId="33A254E9" w14:textId="4363BB40" w:rsidR="00132E8B" w:rsidRDefault="00BB1F51" w:rsidP="00BB1F51">
      <w:pPr>
        <w:pStyle w:val="Zkladntext"/>
        <w:numPr>
          <w:ilvl w:val="1"/>
          <w:numId w:val="4"/>
        </w:numPr>
        <w:spacing w:after="80" w:line="276" w:lineRule="auto"/>
        <w:ind w:left="993"/>
        <w:jc w:val="both"/>
        <w:rPr>
          <w:rFonts w:ascii="Tahoma" w:hAnsi="Tahoma" w:cs="Tahoma"/>
          <w:sz w:val="19"/>
          <w:szCs w:val="19"/>
        </w:rPr>
      </w:pPr>
      <w:r w:rsidRPr="00BB1F51">
        <w:rPr>
          <w:rFonts w:ascii="Tahoma" w:hAnsi="Tahoma" w:cs="Tahoma"/>
          <w:b/>
          <w:bCs/>
          <w:sz w:val="19"/>
          <w:szCs w:val="19"/>
        </w:rPr>
        <w:t>Fáze IV</w:t>
      </w:r>
      <w:r w:rsidRPr="00BB1F51">
        <w:rPr>
          <w:rFonts w:ascii="Tahoma" w:hAnsi="Tahoma" w:cs="Tahoma"/>
          <w:sz w:val="19"/>
          <w:szCs w:val="19"/>
        </w:rPr>
        <w:t xml:space="preserve">: Spolupráce při zpracování a podání žádosti o dotaci či její revize a připomínkování, případně její vlastní zpracování a podání, administraci řízení o žádosti o dotaci a dalších služeb, které budou </w:t>
      </w:r>
      <w:r w:rsidR="0039693D">
        <w:rPr>
          <w:rFonts w:ascii="Tahoma" w:hAnsi="Tahoma" w:cs="Tahoma"/>
          <w:sz w:val="19"/>
          <w:szCs w:val="19"/>
        </w:rPr>
        <w:t>Klientem</w:t>
      </w:r>
      <w:r w:rsidRPr="00BB1F51">
        <w:rPr>
          <w:rFonts w:ascii="Tahoma" w:hAnsi="Tahoma" w:cs="Tahoma"/>
          <w:sz w:val="19"/>
          <w:szCs w:val="19"/>
        </w:rPr>
        <w:t xml:space="preserve"> svěřeny </w:t>
      </w:r>
      <w:r w:rsidR="0039693D">
        <w:rPr>
          <w:rFonts w:ascii="Tahoma" w:hAnsi="Tahoma" w:cs="Tahoma"/>
          <w:sz w:val="19"/>
          <w:szCs w:val="19"/>
        </w:rPr>
        <w:t>Poradci</w:t>
      </w:r>
      <w:r w:rsidRPr="00BB1F51">
        <w:rPr>
          <w:rFonts w:ascii="Tahoma" w:hAnsi="Tahoma" w:cs="Tahoma"/>
          <w:sz w:val="19"/>
          <w:szCs w:val="19"/>
        </w:rPr>
        <w:t xml:space="preserve"> k vyřízení, prováděné na základě dílčí objednávky</w:t>
      </w:r>
    </w:p>
    <w:p w14:paraId="6820CC32" w14:textId="2D094B43" w:rsidR="00132E8B" w:rsidRDefault="00132E8B" w:rsidP="00132E8B">
      <w:pPr>
        <w:pStyle w:val="Zkladntext"/>
        <w:spacing w:after="80" w:line="276" w:lineRule="auto"/>
        <w:ind w:left="993"/>
        <w:jc w:val="both"/>
        <w:rPr>
          <w:rFonts w:ascii="Tahoma" w:hAnsi="Tahoma" w:cs="Tahoma"/>
          <w:sz w:val="19"/>
          <w:szCs w:val="19"/>
        </w:rPr>
      </w:pPr>
      <w:r w:rsidRPr="00132E8B">
        <w:rPr>
          <w:rFonts w:ascii="Tahoma" w:hAnsi="Tahoma" w:cs="Tahoma"/>
          <w:sz w:val="19"/>
          <w:szCs w:val="19"/>
        </w:rPr>
        <w:t>(dále jen „</w:t>
      </w:r>
      <w:r>
        <w:rPr>
          <w:rFonts w:ascii="Tahoma" w:hAnsi="Tahoma" w:cs="Tahoma"/>
          <w:b/>
          <w:bCs/>
          <w:sz w:val="19"/>
          <w:szCs w:val="19"/>
        </w:rPr>
        <w:t>Fáze IV</w:t>
      </w:r>
      <w:r w:rsidRPr="00132E8B">
        <w:rPr>
          <w:rFonts w:ascii="Tahoma" w:hAnsi="Tahoma" w:cs="Tahoma"/>
          <w:sz w:val="19"/>
          <w:szCs w:val="19"/>
        </w:rPr>
        <w:t>“</w:t>
      </w:r>
      <w:r w:rsidR="000305C0">
        <w:rPr>
          <w:rFonts w:ascii="Tahoma" w:hAnsi="Tahoma" w:cs="Tahoma"/>
          <w:sz w:val="19"/>
          <w:szCs w:val="19"/>
        </w:rPr>
        <w:t>; Fáze I, Fáze II, Fáze III a Fáze IV dále společně jen „</w:t>
      </w:r>
      <w:r w:rsidR="000305C0">
        <w:rPr>
          <w:rFonts w:ascii="Tahoma" w:hAnsi="Tahoma" w:cs="Tahoma"/>
          <w:b/>
          <w:bCs/>
          <w:sz w:val="19"/>
          <w:szCs w:val="19"/>
        </w:rPr>
        <w:t>Fáze</w:t>
      </w:r>
      <w:r w:rsidR="000305C0">
        <w:rPr>
          <w:rFonts w:ascii="Tahoma" w:hAnsi="Tahoma" w:cs="Tahoma"/>
          <w:sz w:val="19"/>
          <w:szCs w:val="19"/>
        </w:rPr>
        <w:t>“</w:t>
      </w:r>
      <w:r w:rsidRPr="00132E8B">
        <w:rPr>
          <w:rFonts w:ascii="Tahoma" w:hAnsi="Tahoma" w:cs="Tahoma"/>
          <w:sz w:val="19"/>
          <w:szCs w:val="19"/>
        </w:rPr>
        <w:t>)</w:t>
      </w:r>
      <w:r w:rsidR="00BB1F51" w:rsidRPr="00BB1F51">
        <w:rPr>
          <w:rFonts w:ascii="Tahoma" w:hAnsi="Tahoma" w:cs="Tahoma"/>
          <w:sz w:val="19"/>
          <w:szCs w:val="19"/>
        </w:rPr>
        <w:t>.</w:t>
      </w:r>
    </w:p>
    <w:p w14:paraId="0CB6B62F" w14:textId="4174CAAF" w:rsidR="00773D75" w:rsidRPr="00BB1F51" w:rsidRDefault="00132E8B" w:rsidP="0039693D">
      <w:pPr>
        <w:pStyle w:val="Zkladntext"/>
        <w:spacing w:after="160" w:line="276" w:lineRule="auto"/>
        <w:ind w:left="992"/>
        <w:jc w:val="both"/>
        <w:rPr>
          <w:rFonts w:ascii="Tahoma" w:hAnsi="Tahoma" w:cs="Tahoma"/>
          <w:sz w:val="19"/>
          <w:szCs w:val="19"/>
        </w:rPr>
      </w:pPr>
      <w:r w:rsidRPr="00132E8B">
        <w:rPr>
          <w:rFonts w:ascii="Tahoma" w:hAnsi="Tahoma" w:cs="Tahoma"/>
          <w:sz w:val="19"/>
          <w:szCs w:val="19"/>
        </w:rPr>
        <w:t>Fáze II</w:t>
      </w:r>
      <w:r w:rsidR="0039693D">
        <w:rPr>
          <w:rFonts w:ascii="Tahoma" w:hAnsi="Tahoma" w:cs="Tahoma"/>
          <w:sz w:val="19"/>
          <w:szCs w:val="19"/>
        </w:rPr>
        <w:t>, Fáze</w:t>
      </w:r>
      <w:r w:rsidRPr="00132E8B">
        <w:rPr>
          <w:rFonts w:ascii="Tahoma" w:hAnsi="Tahoma" w:cs="Tahoma"/>
          <w:sz w:val="19"/>
          <w:szCs w:val="19"/>
        </w:rPr>
        <w:t xml:space="preserve"> III a </w:t>
      </w:r>
      <w:r w:rsidR="0039693D">
        <w:rPr>
          <w:rFonts w:ascii="Tahoma" w:hAnsi="Tahoma" w:cs="Tahoma"/>
          <w:sz w:val="19"/>
          <w:szCs w:val="19"/>
        </w:rPr>
        <w:t xml:space="preserve">Fáze </w:t>
      </w:r>
      <w:r w:rsidRPr="00132E8B">
        <w:rPr>
          <w:rFonts w:ascii="Tahoma" w:hAnsi="Tahoma" w:cs="Tahoma"/>
          <w:sz w:val="19"/>
          <w:szCs w:val="19"/>
        </w:rPr>
        <w:t>IV budou prováděny na základě dílčích objednávek ke konkrétní akci k</w:t>
      </w:r>
      <w:r>
        <w:rPr>
          <w:rFonts w:ascii="Tahoma" w:hAnsi="Tahoma" w:cs="Tahoma"/>
          <w:sz w:val="19"/>
          <w:szCs w:val="19"/>
        </w:rPr>
        <w:t> </w:t>
      </w:r>
      <w:r w:rsidRPr="00132E8B">
        <w:rPr>
          <w:rFonts w:ascii="Tahoma" w:hAnsi="Tahoma" w:cs="Tahoma"/>
          <w:sz w:val="19"/>
          <w:szCs w:val="19"/>
        </w:rPr>
        <w:t>vybranému</w:t>
      </w:r>
      <w:r>
        <w:rPr>
          <w:rFonts w:ascii="Tahoma" w:hAnsi="Tahoma" w:cs="Tahoma"/>
          <w:sz w:val="19"/>
          <w:szCs w:val="19"/>
        </w:rPr>
        <w:t xml:space="preserve"> </w:t>
      </w:r>
      <w:r w:rsidRPr="00132E8B">
        <w:rPr>
          <w:rFonts w:ascii="Tahoma" w:hAnsi="Tahoma" w:cs="Tahoma"/>
          <w:sz w:val="19"/>
          <w:szCs w:val="19"/>
        </w:rPr>
        <w:t>dotačnímu titulu. V rámci dílčí objednávky bude specifikován předmět plnění (identifikace</w:t>
      </w:r>
      <w:r>
        <w:rPr>
          <w:rFonts w:ascii="Tahoma" w:hAnsi="Tahoma" w:cs="Tahoma"/>
          <w:sz w:val="19"/>
          <w:szCs w:val="19"/>
        </w:rPr>
        <w:t xml:space="preserve"> </w:t>
      </w:r>
      <w:r w:rsidRPr="00132E8B">
        <w:rPr>
          <w:rFonts w:ascii="Tahoma" w:hAnsi="Tahoma" w:cs="Tahoma"/>
          <w:sz w:val="19"/>
          <w:szCs w:val="19"/>
        </w:rPr>
        <w:t>projektu včetně jeho hodnoty, požadované služby, maximální časový rozsah).</w:t>
      </w:r>
      <w:r w:rsidR="00BB1F51" w:rsidRPr="00BB1F51">
        <w:rPr>
          <w:rFonts w:ascii="Tahoma" w:hAnsi="Tahoma" w:cs="Tahoma"/>
          <w:sz w:val="19"/>
          <w:szCs w:val="19"/>
        </w:rPr>
        <w:t xml:space="preserve"> </w:t>
      </w:r>
    </w:p>
    <w:p w14:paraId="287E1282" w14:textId="1728B382" w:rsidR="00815705" w:rsidRPr="00FA59C8" w:rsidRDefault="00815705" w:rsidP="005F4261">
      <w:pPr>
        <w:pStyle w:val="Zkladntext"/>
        <w:keepNext/>
        <w:spacing w:line="276" w:lineRule="auto"/>
        <w:ind w:left="426"/>
        <w:jc w:val="center"/>
        <w:rPr>
          <w:rFonts w:ascii="Tahoma" w:hAnsi="Tahoma" w:cs="Tahoma"/>
          <w:b/>
          <w:bCs/>
          <w:sz w:val="19"/>
          <w:szCs w:val="19"/>
        </w:rPr>
      </w:pPr>
      <w:r w:rsidRPr="00FA59C8">
        <w:rPr>
          <w:rFonts w:ascii="Tahoma" w:hAnsi="Tahoma" w:cs="Tahoma"/>
          <w:b/>
          <w:bCs/>
          <w:sz w:val="19"/>
          <w:szCs w:val="19"/>
        </w:rPr>
        <w:t>I</w:t>
      </w:r>
      <w:r>
        <w:rPr>
          <w:rFonts w:ascii="Tahoma" w:hAnsi="Tahoma" w:cs="Tahoma"/>
          <w:b/>
          <w:bCs/>
          <w:sz w:val="19"/>
          <w:szCs w:val="19"/>
        </w:rPr>
        <w:t>I</w:t>
      </w:r>
      <w:r w:rsidRPr="00FA59C8">
        <w:rPr>
          <w:rFonts w:ascii="Tahoma" w:hAnsi="Tahoma" w:cs="Tahoma"/>
          <w:b/>
          <w:bCs/>
          <w:sz w:val="19"/>
          <w:szCs w:val="19"/>
        </w:rPr>
        <w:t>.</w:t>
      </w:r>
    </w:p>
    <w:p w14:paraId="0798BF4D" w14:textId="4F94349C" w:rsidR="00815705" w:rsidRPr="006B795F" w:rsidRDefault="00815705" w:rsidP="005F4261">
      <w:pPr>
        <w:pStyle w:val="Zkladntext"/>
        <w:keepNext/>
        <w:spacing w:after="40" w:line="276" w:lineRule="auto"/>
        <w:ind w:left="426"/>
        <w:jc w:val="center"/>
        <w:rPr>
          <w:rFonts w:ascii="Tahoma" w:hAnsi="Tahoma"/>
          <w:b/>
          <w:smallCaps/>
          <w:sz w:val="19"/>
        </w:rPr>
      </w:pPr>
      <w:r w:rsidRPr="006B795F">
        <w:rPr>
          <w:rFonts w:ascii="Tahoma" w:hAnsi="Tahoma"/>
          <w:b/>
          <w:smallCaps/>
          <w:sz w:val="19"/>
        </w:rPr>
        <w:t xml:space="preserve">Práva a povinnosti </w:t>
      </w:r>
      <w:r w:rsidR="00B94641">
        <w:rPr>
          <w:rFonts w:ascii="Tahoma" w:hAnsi="Tahoma" w:cs="Tahoma"/>
          <w:b/>
          <w:bCs/>
          <w:smallCaps/>
          <w:sz w:val="19"/>
          <w:szCs w:val="19"/>
        </w:rPr>
        <w:t>Poradce</w:t>
      </w:r>
    </w:p>
    <w:p w14:paraId="740DE0A0" w14:textId="2422A178" w:rsidR="0095208E" w:rsidRPr="00B94641" w:rsidRDefault="00487D4C" w:rsidP="005F4261">
      <w:pPr>
        <w:pStyle w:val="Zkladntext"/>
        <w:keepNext/>
        <w:numPr>
          <w:ilvl w:val="0"/>
          <w:numId w:val="20"/>
        </w:numPr>
        <w:spacing w:after="160" w:line="276" w:lineRule="auto"/>
        <w:ind w:left="567" w:hanging="567"/>
        <w:jc w:val="both"/>
        <w:rPr>
          <w:rFonts w:ascii="Tahoma" w:hAnsi="Tahoma" w:cs="Tahoma"/>
          <w:sz w:val="19"/>
          <w:szCs w:val="19"/>
        </w:rPr>
      </w:pPr>
      <w:r w:rsidRPr="00B94641">
        <w:rPr>
          <w:rFonts w:ascii="Tahoma" w:hAnsi="Tahoma" w:cs="Tahoma"/>
          <w:sz w:val="19"/>
          <w:szCs w:val="19"/>
        </w:rPr>
        <w:t xml:space="preserve">Poradce </w:t>
      </w:r>
      <w:r w:rsidR="0095208E" w:rsidRPr="00B94641">
        <w:rPr>
          <w:rFonts w:ascii="Tahoma" w:hAnsi="Tahoma" w:cs="Tahoma"/>
          <w:sz w:val="19"/>
          <w:szCs w:val="19"/>
        </w:rPr>
        <w:t xml:space="preserve">se zavazuje poskytovat </w:t>
      </w:r>
      <w:r w:rsidR="0077455F" w:rsidRPr="00B94641">
        <w:rPr>
          <w:rFonts w:ascii="Tahoma" w:hAnsi="Tahoma" w:cs="Tahoma"/>
          <w:sz w:val="19"/>
          <w:szCs w:val="19"/>
        </w:rPr>
        <w:t>K</w:t>
      </w:r>
      <w:r w:rsidR="0095208E" w:rsidRPr="00B94641">
        <w:rPr>
          <w:rFonts w:ascii="Tahoma" w:hAnsi="Tahoma" w:cs="Tahoma"/>
          <w:sz w:val="19"/>
          <w:szCs w:val="19"/>
        </w:rPr>
        <w:t xml:space="preserve">lientovi </w:t>
      </w:r>
      <w:r w:rsidR="003C1C1B">
        <w:rPr>
          <w:rFonts w:ascii="Tahoma" w:hAnsi="Tahoma" w:cs="Tahoma"/>
          <w:sz w:val="19"/>
          <w:szCs w:val="19"/>
        </w:rPr>
        <w:t>S</w:t>
      </w:r>
      <w:r w:rsidR="00925F51" w:rsidRPr="00B94641">
        <w:rPr>
          <w:rFonts w:ascii="Tahoma" w:hAnsi="Tahoma" w:cs="Tahoma"/>
          <w:sz w:val="19"/>
          <w:szCs w:val="19"/>
        </w:rPr>
        <w:t xml:space="preserve">lužby </w:t>
      </w:r>
      <w:r w:rsidR="0095208E" w:rsidRPr="00B94641">
        <w:rPr>
          <w:rFonts w:ascii="Tahoma" w:hAnsi="Tahoma" w:cs="Tahoma"/>
          <w:sz w:val="19"/>
          <w:szCs w:val="19"/>
        </w:rPr>
        <w:t>s</w:t>
      </w:r>
      <w:r w:rsidR="00266537" w:rsidRPr="00B94641">
        <w:rPr>
          <w:rFonts w:ascii="Tahoma" w:hAnsi="Tahoma" w:cs="Tahoma"/>
          <w:sz w:val="19"/>
          <w:szCs w:val="19"/>
        </w:rPr>
        <w:t> </w:t>
      </w:r>
      <w:r w:rsidR="0095208E" w:rsidRPr="00B94641">
        <w:rPr>
          <w:rFonts w:ascii="Tahoma" w:hAnsi="Tahoma" w:cs="Tahoma"/>
          <w:sz w:val="19"/>
          <w:szCs w:val="19"/>
        </w:rPr>
        <w:t>odbornou péčí a řídit se jeho pokyny.</w:t>
      </w:r>
    </w:p>
    <w:p w14:paraId="59307428" w14:textId="7D9576CE" w:rsidR="00B94641" w:rsidRDefault="00B94641" w:rsidP="00795929">
      <w:pPr>
        <w:pStyle w:val="Zkladntext"/>
        <w:numPr>
          <w:ilvl w:val="0"/>
          <w:numId w:val="20"/>
        </w:numPr>
        <w:spacing w:after="160" w:line="276" w:lineRule="auto"/>
        <w:ind w:left="567" w:hanging="567"/>
        <w:jc w:val="both"/>
        <w:rPr>
          <w:rFonts w:ascii="Tahoma" w:hAnsi="Tahoma" w:cs="Tahoma"/>
          <w:sz w:val="19"/>
          <w:szCs w:val="19"/>
        </w:rPr>
      </w:pPr>
      <w:r w:rsidRPr="00B94641">
        <w:rPr>
          <w:rFonts w:ascii="Tahoma" w:hAnsi="Tahoma" w:cs="Tahoma"/>
          <w:sz w:val="19"/>
          <w:szCs w:val="19"/>
        </w:rPr>
        <w:t>Smluvní strany se dohodly, že pokud o to Poradce požádá, vystaví Klient bez zbytečného odkladu, nejpozději však do deseti (10) kalendářních dnů, ve prospěch Poradce písemné osvědčení o</w:t>
      </w:r>
      <w:r w:rsidR="00A62978">
        <w:rPr>
          <w:rFonts w:ascii="Tahoma" w:hAnsi="Tahoma" w:cs="Tahoma"/>
          <w:sz w:val="19"/>
          <w:szCs w:val="19"/>
        </w:rPr>
        <w:t> poradenských</w:t>
      </w:r>
      <w:r w:rsidRPr="00B94641">
        <w:rPr>
          <w:rFonts w:ascii="Tahoma" w:hAnsi="Tahoma" w:cs="Tahoma"/>
          <w:sz w:val="19"/>
          <w:szCs w:val="19"/>
        </w:rPr>
        <w:t xml:space="preserve"> službách poskytnutých Poradcem na základě Smlouvy pro účely prokázání kvalifikace dle ust. § 79 odst. 2 písm. b) zákona č. 134/2016 Sb., o zadávání veřejných zakázek, ve znění pozdějších předpisů</w:t>
      </w:r>
      <w:r w:rsidR="0039693D">
        <w:rPr>
          <w:rFonts w:ascii="Tahoma" w:hAnsi="Tahoma" w:cs="Tahoma"/>
          <w:sz w:val="19"/>
          <w:szCs w:val="19"/>
        </w:rPr>
        <w:t xml:space="preserve"> (dále jen „</w:t>
      </w:r>
      <w:r w:rsidR="0039693D">
        <w:rPr>
          <w:rFonts w:ascii="Tahoma" w:hAnsi="Tahoma" w:cs="Tahoma"/>
          <w:b/>
          <w:bCs/>
          <w:sz w:val="19"/>
          <w:szCs w:val="19"/>
        </w:rPr>
        <w:t>ZZVZ</w:t>
      </w:r>
      <w:r w:rsidR="0039693D">
        <w:rPr>
          <w:rFonts w:ascii="Tahoma" w:hAnsi="Tahoma" w:cs="Tahoma"/>
          <w:sz w:val="19"/>
          <w:szCs w:val="19"/>
        </w:rPr>
        <w:t>“)</w:t>
      </w:r>
      <w:r w:rsidRPr="00B94641">
        <w:rPr>
          <w:rFonts w:ascii="Tahoma" w:hAnsi="Tahoma" w:cs="Tahoma"/>
          <w:sz w:val="19"/>
          <w:szCs w:val="19"/>
        </w:rPr>
        <w:t>, obsahující náležitosti předložené Poradcem v rámci jeho žádosti.</w:t>
      </w:r>
    </w:p>
    <w:p w14:paraId="6D327AA6" w14:textId="3D406B8A" w:rsidR="00BB1F51" w:rsidRDefault="00391394" w:rsidP="00391394">
      <w:pPr>
        <w:pStyle w:val="Zkladntext"/>
        <w:numPr>
          <w:ilvl w:val="0"/>
          <w:numId w:val="20"/>
        </w:numPr>
        <w:spacing w:after="160" w:line="276" w:lineRule="auto"/>
        <w:ind w:left="567" w:hanging="567"/>
        <w:jc w:val="both"/>
        <w:rPr>
          <w:rFonts w:ascii="Tahoma" w:hAnsi="Tahoma" w:cs="Tahoma"/>
          <w:sz w:val="19"/>
          <w:szCs w:val="19"/>
        </w:rPr>
      </w:pPr>
      <w:r w:rsidRPr="005C1DF5">
        <w:rPr>
          <w:rFonts w:ascii="Tahoma" w:hAnsi="Tahoma" w:cs="Tahoma"/>
          <w:sz w:val="19"/>
          <w:szCs w:val="19"/>
        </w:rPr>
        <w:t xml:space="preserve">Poradce odpovídá za řádné a včasné provádění předmětu </w:t>
      </w:r>
      <w:r w:rsidR="0039693D">
        <w:rPr>
          <w:rFonts w:ascii="Tahoma" w:hAnsi="Tahoma" w:cs="Tahoma"/>
          <w:sz w:val="19"/>
          <w:szCs w:val="19"/>
        </w:rPr>
        <w:t>S</w:t>
      </w:r>
      <w:r w:rsidRPr="005C1DF5">
        <w:rPr>
          <w:rFonts w:ascii="Tahoma" w:hAnsi="Tahoma" w:cs="Tahoma"/>
          <w:sz w:val="19"/>
          <w:szCs w:val="19"/>
        </w:rPr>
        <w:t xml:space="preserve">mlouvy v rozsahu stanoveném příslušnými ustanoveními občanského zákoníku, </w:t>
      </w:r>
      <w:r w:rsidR="0039693D">
        <w:rPr>
          <w:rFonts w:ascii="Tahoma" w:hAnsi="Tahoma" w:cs="Tahoma"/>
          <w:sz w:val="19"/>
          <w:szCs w:val="19"/>
        </w:rPr>
        <w:t>ZZVZ</w:t>
      </w:r>
      <w:r w:rsidRPr="005C1DF5">
        <w:rPr>
          <w:rFonts w:ascii="Tahoma" w:hAnsi="Tahoma" w:cs="Tahoma"/>
          <w:sz w:val="19"/>
          <w:szCs w:val="19"/>
        </w:rPr>
        <w:t xml:space="preserve">, dotačními podmínkami a touto Smlouvou. </w:t>
      </w:r>
    </w:p>
    <w:p w14:paraId="1D29FEBC" w14:textId="59FD62EE" w:rsidR="00BB1F51" w:rsidRDefault="00391394" w:rsidP="00391394">
      <w:pPr>
        <w:pStyle w:val="Zkladntext"/>
        <w:numPr>
          <w:ilvl w:val="0"/>
          <w:numId w:val="20"/>
        </w:numPr>
        <w:spacing w:after="160" w:line="276" w:lineRule="auto"/>
        <w:ind w:left="567" w:hanging="567"/>
        <w:jc w:val="both"/>
        <w:rPr>
          <w:rFonts w:ascii="Tahoma" w:hAnsi="Tahoma" w:cs="Tahoma"/>
          <w:sz w:val="19"/>
          <w:szCs w:val="19"/>
        </w:rPr>
      </w:pPr>
      <w:r w:rsidRPr="005C1DF5">
        <w:rPr>
          <w:rFonts w:ascii="Tahoma" w:hAnsi="Tahoma" w:cs="Tahoma"/>
          <w:sz w:val="19"/>
          <w:szCs w:val="19"/>
        </w:rPr>
        <w:t>Poradce odpovídá za případné vady plnění a vzniklé škody způsobené Klientovi v</w:t>
      </w:r>
      <w:r w:rsidR="00BB1F51">
        <w:rPr>
          <w:rFonts w:ascii="Tahoma" w:hAnsi="Tahoma" w:cs="Tahoma"/>
          <w:sz w:val="19"/>
          <w:szCs w:val="19"/>
        </w:rPr>
        <w:t> </w:t>
      </w:r>
      <w:r w:rsidRPr="005C1DF5">
        <w:rPr>
          <w:rFonts w:ascii="Tahoma" w:hAnsi="Tahoma" w:cs="Tahoma"/>
          <w:sz w:val="19"/>
          <w:szCs w:val="19"/>
        </w:rPr>
        <w:t>souvislosti s</w:t>
      </w:r>
      <w:r w:rsidR="00BB1F51">
        <w:rPr>
          <w:rFonts w:ascii="Tahoma" w:hAnsi="Tahoma" w:cs="Tahoma"/>
          <w:sz w:val="19"/>
          <w:szCs w:val="19"/>
        </w:rPr>
        <w:t> </w:t>
      </w:r>
      <w:r w:rsidRPr="005C1DF5">
        <w:rPr>
          <w:rFonts w:ascii="Tahoma" w:hAnsi="Tahoma" w:cs="Tahoma"/>
          <w:sz w:val="19"/>
          <w:szCs w:val="19"/>
        </w:rPr>
        <w:t>plněním předmětu Smlouvy. Za škodu bude vždy považována výše nepřiznané či krácené dotace z</w:t>
      </w:r>
      <w:r w:rsidR="00BB1F51">
        <w:rPr>
          <w:rFonts w:ascii="Tahoma" w:hAnsi="Tahoma" w:cs="Tahoma"/>
          <w:sz w:val="19"/>
          <w:szCs w:val="19"/>
        </w:rPr>
        <w:t> </w:t>
      </w:r>
      <w:r w:rsidRPr="005C1DF5">
        <w:rPr>
          <w:rFonts w:ascii="Tahoma" w:hAnsi="Tahoma" w:cs="Tahoma"/>
          <w:sz w:val="19"/>
          <w:szCs w:val="19"/>
        </w:rPr>
        <w:t xml:space="preserve">důvodu pochybením </w:t>
      </w:r>
      <w:r w:rsidR="004A38C4" w:rsidRPr="005C1DF5">
        <w:rPr>
          <w:rFonts w:ascii="Tahoma" w:hAnsi="Tahoma" w:cs="Tahoma"/>
          <w:sz w:val="19"/>
          <w:szCs w:val="19"/>
        </w:rPr>
        <w:t>Poradce</w:t>
      </w:r>
      <w:r w:rsidRPr="005C1DF5">
        <w:rPr>
          <w:rFonts w:ascii="Tahoma" w:hAnsi="Tahoma" w:cs="Tahoma"/>
          <w:sz w:val="19"/>
          <w:szCs w:val="19"/>
        </w:rPr>
        <w:t xml:space="preserve"> při plnění předmětu smlouvy. </w:t>
      </w:r>
    </w:p>
    <w:p w14:paraId="7EB19046" w14:textId="6925F0D9" w:rsidR="00391394" w:rsidRPr="005C1DF5" w:rsidRDefault="00391394" w:rsidP="00391394">
      <w:pPr>
        <w:pStyle w:val="Zkladntext"/>
        <w:numPr>
          <w:ilvl w:val="0"/>
          <w:numId w:val="20"/>
        </w:numPr>
        <w:spacing w:after="160" w:line="276" w:lineRule="auto"/>
        <w:ind w:left="567" w:hanging="567"/>
        <w:jc w:val="both"/>
        <w:rPr>
          <w:rFonts w:ascii="Tahoma" w:hAnsi="Tahoma" w:cs="Tahoma"/>
          <w:sz w:val="19"/>
          <w:szCs w:val="19"/>
        </w:rPr>
      </w:pPr>
      <w:r w:rsidRPr="005C1DF5">
        <w:rPr>
          <w:rFonts w:ascii="Tahoma" w:hAnsi="Tahoma" w:cs="Tahoma"/>
          <w:sz w:val="19"/>
          <w:szCs w:val="19"/>
        </w:rPr>
        <w:t>Poradce je po celou dobu plnění předmětu smlouvy povinen mít uzavřenu pojistnou smlouvu, jejímž předmětem je pojištění odpovědnosti za škodu způsobenou Poradcem třetí osobě při a v souvislosti s</w:t>
      </w:r>
      <w:r w:rsidR="00BB1F51">
        <w:rPr>
          <w:rFonts w:ascii="Tahoma" w:hAnsi="Tahoma" w:cs="Tahoma"/>
          <w:sz w:val="19"/>
          <w:szCs w:val="19"/>
        </w:rPr>
        <w:t> </w:t>
      </w:r>
      <w:r w:rsidRPr="005C1DF5">
        <w:rPr>
          <w:rFonts w:ascii="Tahoma" w:hAnsi="Tahoma" w:cs="Tahoma"/>
          <w:sz w:val="19"/>
          <w:szCs w:val="19"/>
        </w:rPr>
        <w:t xml:space="preserve">prováděním předmětu Smlouvy s minimálním limitem pojistného plnění ve výši </w:t>
      </w:r>
      <w:r w:rsidR="002A5A4A">
        <w:rPr>
          <w:rFonts w:ascii="Tahoma" w:hAnsi="Tahoma" w:cs="Tahoma"/>
          <w:sz w:val="19"/>
          <w:szCs w:val="19"/>
        </w:rPr>
        <w:t>10</w:t>
      </w:r>
      <w:r w:rsidRPr="005C1DF5">
        <w:rPr>
          <w:rFonts w:ascii="Tahoma" w:hAnsi="Tahoma" w:cs="Tahoma"/>
          <w:sz w:val="19"/>
          <w:szCs w:val="19"/>
        </w:rPr>
        <w:t>.000.000 Kč (nebo jeho ekvivalentu v jiné měně). Poradce je povinen výše uvedenou pojistnou smlouvu udržovat v</w:t>
      </w:r>
      <w:r w:rsidR="002A5A4A">
        <w:rPr>
          <w:rFonts w:ascii="Tahoma" w:hAnsi="Tahoma" w:cs="Tahoma"/>
          <w:sz w:val="19"/>
          <w:szCs w:val="19"/>
        </w:rPr>
        <w:t> </w:t>
      </w:r>
      <w:r w:rsidRPr="005C1DF5">
        <w:rPr>
          <w:rFonts w:ascii="Tahoma" w:hAnsi="Tahoma" w:cs="Tahoma"/>
          <w:sz w:val="19"/>
          <w:szCs w:val="19"/>
        </w:rPr>
        <w:t xml:space="preserve">platnosti a účinnosti po celou dobu trvání </w:t>
      </w:r>
      <w:r w:rsidR="0039693D">
        <w:rPr>
          <w:rFonts w:ascii="Tahoma" w:hAnsi="Tahoma" w:cs="Tahoma"/>
          <w:sz w:val="19"/>
          <w:szCs w:val="19"/>
        </w:rPr>
        <w:t>S</w:t>
      </w:r>
      <w:r w:rsidRPr="005C1DF5">
        <w:rPr>
          <w:rFonts w:ascii="Tahoma" w:hAnsi="Tahoma" w:cs="Tahoma"/>
          <w:sz w:val="19"/>
          <w:szCs w:val="19"/>
        </w:rPr>
        <w:t>mlouvy a řádně hradit sjednané pojistné. Poradce je povinen Klientovi na požádání prokázat existenci pojištění v uvedeném rozsahu.</w:t>
      </w:r>
    </w:p>
    <w:p w14:paraId="5253CDE4" w14:textId="05115AA0" w:rsidR="00B94641" w:rsidRPr="00FA59C8" w:rsidRDefault="00B94641" w:rsidP="00B94641">
      <w:pPr>
        <w:pStyle w:val="Zkladntext"/>
        <w:keepNext/>
        <w:spacing w:line="276" w:lineRule="auto"/>
        <w:ind w:left="426"/>
        <w:jc w:val="center"/>
        <w:rPr>
          <w:rFonts w:ascii="Tahoma" w:hAnsi="Tahoma" w:cs="Tahoma"/>
          <w:b/>
          <w:bCs/>
          <w:sz w:val="19"/>
          <w:szCs w:val="19"/>
        </w:rPr>
      </w:pPr>
      <w:r w:rsidRPr="00FA59C8">
        <w:rPr>
          <w:rFonts w:ascii="Tahoma" w:hAnsi="Tahoma" w:cs="Tahoma"/>
          <w:b/>
          <w:bCs/>
          <w:sz w:val="19"/>
          <w:szCs w:val="19"/>
        </w:rPr>
        <w:t>I</w:t>
      </w:r>
      <w:r>
        <w:rPr>
          <w:rFonts w:ascii="Tahoma" w:hAnsi="Tahoma" w:cs="Tahoma"/>
          <w:b/>
          <w:bCs/>
          <w:sz w:val="19"/>
          <w:szCs w:val="19"/>
        </w:rPr>
        <w:t>II</w:t>
      </w:r>
      <w:r w:rsidRPr="00FA59C8">
        <w:rPr>
          <w:rFonts w:ascii="Tahoma" w:hAnsi="Tahoma" w:cs="Tahoma"/>
          <w:b/>
          <w:bCs/>
          <w:sz w:val="19"/>
          <w:szCs w:val="19"/>
        </w:rPr>
        <w:t>.</w:t>
      </w:r>
    </w:p>
    <w:p w14:paraId="740E9438" w14:textId="75101563" w:rsidR="00B94641" w:rsidRPr="00F549D5" w:rsidRDefault="00B94641" w:rsidP="00B94641">
      <w:pPr>
        <w:pStyle w:val="Zkladntext"/>
        <w:keepNext/>
        <w:spacing w:after="40" w:line="276" w:lineRule="auto"/>
        <w:ind w:left="426"/>
        <w:jc w:val="center"/>
        <w:rPr>
          <w:rFonts w:ascii="Tahoma" w:hAnsi="Tahoma" w:cs="Tahoma"/>
          <w:b/>
          <w:bCs/>
          <w:smallCaps/>
          <w:sz w:val="19"/>
          <w:szCs w:val="19"/>
        </w:rPr>
      </w:pPr>
      <w:r w:rsidRPr="00F549D5">
        <w:rPr>
          <w:rFonts w:ascii="Tahoma" w:hAnsi="Tahoma" w:cs="Tahoma"/>
          <w:b/>
          <w:bCs/>
          <w:smallCaps/>
          <w:sz w:val="19"/>
          <w:szCs w:val="19"/>
        </w:rPr>
        <w:t xml:space="preserve">Práva a povinnosti </w:t>
      </w:r>
      <w:r>
        <w:rPr>
          <w:rFonts w:ascii="Tahoma" w:hAnsi="Tahoma" w:cs="Tahoma"/>
          <w:b/>
          <w:bCs/>
          <w:smallCaps/>
          <w:sz w:val="19"/>
          <w:szCs w:val="19"/>
        </w:rPr>
        <w:t>Klienta</w:t>
      </w:r>
    </w:p>
    <w:p w14:paraId="2367E718" w14:textId="2AC5DD12" w:rsidR="00B94641" w:rsidRPr="002C4DEE" w:rsidRDefault="00B94641" w:rsidP="00AC2C60">
      <w:pPr>
        <w:pStyle w:val="Zkladntext"/>
        <w:numPr>
          <w:ilvl w:val="0"/>
          <w:numId w:val="21"/>
        </w:numPr>
        <w:spacing w:after="160" w:line="276" w:lineRule="auto"/>
        <w:ind w:left="567" w:hanging="567"/>
        <w:jc w:val="both"/>
        <w:rPr>
          <w:rFonts w:ascii="Tahoma" w:hAnsi="Tahoma" w:cs="Tahoma"/>
          <w:sz w:val="19"/>
          <w:szCs w:val="19"/>
        </w:rPr>
      </w:pPr>
      <w:r w:rsidRPr="002C4DEE">
        <w:rPr>
          <w:rFonts w:ascii="Tahoma" w:hAnsi="Tahoma" w:cs="Tahoma"/>
          <w:sz w:val="19"/>
          <w:szCs w:val="19"/>
        </w:rPr>
        <w:t xml:space="preserve">Klient poskytne </w:t>
      </w:r>
      <w:r>
        <w:rPr>
          <w:rFonts w:ascii="Tahoma" w:hAnsi="Tahoma" w:cs="Tahoma"/>
          <w:sz w:val="19"/>
          <w:szCs w:val="19"/>
        </w:rPr>
        <w:t>Poradci</w:t>
      </w:r>
      <w:r w:rsidRPr="002C4DEE">
        <w:rPr>
          <w:rFonts w:ascii="Tahoma" w:hAnsi="Tahoma" w:cs="Tahoma"/>
          <w:sz w:val="19"/>
          <w:szCs w:val="19"/>
        </w:rPr>
        <w:t xml:space="preserve">, popřípadě </w:t>
      </w:r>
      <w:r>
        <w:rPr>
          <w:rFonts w:ascii="Tahoma" w:hAnsi="Tahoma" w:cs="Tahoma"/>
          <w:sz w:val="19"/>
          <w:szCs w:val="19"/>
        </w:rPr>
        <w:t>Poradc</w:t>
      </w:r>
      <w:r w:rsidR="006172C1">
        <w:rPr>
          <w:rFonts w:ascii="Tahoma" w:hAnsi="Tahoma" w:cs="Tahoma"/>
          <w:sz w:val="19"/>
          <w:szCs w:val="19"/>
        </w:rPr>
        <w:t>em</w:t>
      </w:r>
      <w:r w:rsidRPr="002C4DEE">
        <w:rPr>
          <w:rFonts w:ascii="Tahoma" w:hAnsi="Tahoma" w:cs="Tahoma"/>
          <w:sz w:val="19"/>
          <w:szCs w:val="19"/>
        </w:rPr>
        <w:t xml:space="preserve"> zmocněné</w:t>
      </w:r>
      <w:r>
        <w:rPr>
          <w:rFonts w:ascii="Tahoma" w:hAnsi="Tahoma" w:cs="Tahoma"/>
          <w:sz w:val="19"/>
          <w:szCs w:val="19"/>
        </w:rPr>
        <w:t xml:space="preserve"> či určené</w:t>
      </w:r>
      <w:r w:rsidRPr="002C4DEE">
        <w:rPr>
          <w:rFonts w:ascii="Tahoma" w:hAnsi="Tahoma" w:cs="Tahoma"/>
          <w:sz w:val="19"/>
          <w:szCs w:val="19"/>
        </w:rPr>
        <w:t xml:space="preserve"> osobě, včasné, pravdivé, úplné a</w:t>
      </w:r>
      <w:r>
        <w:rPr>
          <w:rFonts w:ascii="Tahoma" w:hAnsi="Tahoma" w:cs="Tahoma"/>
          <w:sz w:val="19"/>
          <w:szCs w:val="19"/>
        </w:rPr>
        <w:t> </w:t>
      </w:r>
      <w:r w:rsidRPr="002C4DEE">
        <w:rPr>
          <w:rFonts w:ascii="Tahoma" w:hAnsi="Tahoma" w:cs="Tahoma"/>
          <w:sz w:val="19"/>
          <w:szCs w:val="19"/>
        </w:rPr>
        <w:t>přehledné informace, označí potřebné skutečnosti, předloží veškeré listinné materiály potřebné k</w:t>
      </w:r>
      <w:r>
        <w:rPr>
          <w:rFonts w:ascii="Tahoma" w:hAnsi="Tahoma" w:cs="Tahoma"/>
          <w:sz w:val="19"/>
          <w:szCs w:val="19"/>
        </w:rPr>
        <w:t> </w:t>
      </w:r>
      <w:r w:rsidRPr="002C4DEE">
        <w:rPr>
          <w:rFonts w:ascii="Tahoma" w:hAnsi="Tahoma" w:cs="Tahoma"/>
          <w:sz w:val="19"/>
          <w:szCs w:val="19"/>
        </w:rPr>
        <w:t xml:space="preserve">řádnému poskytování </w:t>
      </w:r>
      <w:r>
        <w:rPr>
          <w:rFonts w:ascii="Tahoma" w:hAnsi="Tahoma" w:cs="Tahoma"/>
          <w:sz w:val="19"/>
          <w:szCs w:val="19"/>
        </w:rPr>
        <w:t>Poradenských</w:t>
      </w:r>
      <w:r w:rsidRPr="002C4DEE">
        <w:rPr>
          <w:rFonts w:ascii="Tahoma" w:hAnsi="Tahoma" w:cs="Tahoma"/>
          <w:sz w:val="19"/>
          <w:szCs w:val="19"/>
        </w:rPr>
        <w:t xml:space="preserve"> služeb podle Smlouvy a</w:t>
      </w:r>
      <w:r>
        <w:rPr>
          <w:rFonts w:ascii="Tahoma" w:hAnsi="Tahoma" w:cs="Tahoma"/>
          <w:sz w:val="19"/>
          <w:szCs w:val="19"/>
        </w:rPr>
        <w:t xml:space="preserve"> </w:t>
      </w:r>
      <w:r w:rsidRPr="002C4DEE">
        <w:rPr>
          <w:rFonts w:ascii="Tahoma" w:hAnsi="Tahoma" w:cs="Tahoma"/>
          <w:sz w:val="19"/>
          <w:szCs w:val="19"/>
        </w:rPr>
        <w:t xml:space="preserve">poskytne </w:t>
      </w:r>
      <w:r>
        <w:rPr>
          <w:rFonts w:ascii="Tahoma" w:hAnsi="Tahoma" w:cs="Tahoma"/>
          <w:sz w:val="19"/>
          <w:szCs w:val="19"/>
        </w:rPr>
        <w:t>Poradci</w:t>
      </w:r>
      <w:r w:rsidRPr="002C4DEE">
        <w:rPr>
          <w:rFonts w:ascii="Tahoma" w:hAnsi="Tahoma" w:cs="Tahoma"/>
          <w:sz w:val="19"/>
          <w:szCs w:val="19"/>
        </w:rPr>
        <w:t xml:space="preserve"> potřebnou součinnost. </w:t>
      </w:r>
      <w:r>
        <w:rPr>
          <w:rFonts w:ascii="Tahoma" w:hAnsi="Tahoma" w:cs="Tahoma"/>
          <w:sz w:val="19"/>
          <w:szCs w:val="19"/>
        </w:rPr>
        <w:t>Poradce</w:t>
      </w:r>
      <w:r w:rsidRPr="002C4DEE">
        <w:rPr>
          <w:rFonts w:ascii="Tahoma" w:hAnsi="Tahoma" w:cs="Tahoma"/>
          <w:sz w:val="19"/>
          <w:szCs w:val="19"/>
        </w:rPr>
        <w:t xml:space="preserve"> se zavazuje Klientovi poskytnout součinnost v rámci určení, které informace je třeba poskytnout.</w:t>
      </w:r>
    </w:p>
    <w:p w14:paraId="13AEFF73" w14:textId="7B663952" w:rsidR="00B94641" w:rsidRDefault="00B94641" w:rsidP="00AC2C60">
      <w:pPr>
        <w:pStyle w:val="Zkladntext"/>
        <w:numPr>
          <w:ilvl w:val="0"/>
          <w:numId w:val="21"/>
        </w:numPr>
        <w:spacing w:after="160" w:line="276" w:lineRule="auto"/>
        <w:ind w:left="567" w:hanging="567"/>
        <w:jc w:val="both"/>
        <w:rPr>
          <w:rFonts w:ascii="Tahoma" w:hAnsi="Tahoma" w:cs="Tahoma"/>
          <w:sz w:val="19"/>
          <w:szCs w:val="19"/>
        </w:rPr>
      </w:pPr>
      <w:r w:rsidRPr="002C4DEE">
        <w:rPr>
          <w:rFonts w:ascii="Tahoma" w:hAnsi="Tahoma" w:cs="Tahoma"/>
          <w:sz w:val="19"/>
          <w:szCs w:val="19"/>
        </w:rPr>
        <w:t xml:space="preserve">Klient odpovídá za pravdivost údajů, které </w:t>
      </w:r>
      <w:r>
        <w:rPr>
          <w:rFonts w:ascii="Tahoma" w:hAnsi="Tahoma" w:cs="Tahoma"/>
          <w:sz w:val="19"/>
          <w:szCs w:val="19"/>
        </w:rPr>
        <w:t>Poradci</w:t>
      </w:r>
      <w:r w:rsidRPr="002C4DEE">
        <w:rPr>
          <w:rFonts w:ascii="Tahoma" w:hAnsi="Tahoma" w:cs="Tahoma"/>
          <w:sz w:val="19"/>
          <w:szCs w:val="19"/>
        </w:rPr>
        <w:t xml:space="preserve"> v souvislosti s poskytováním </w:t>
      </w:r>
      <w:r w:rsidR="00BB1F51">
        <w:rPr>
          <w:rFonts w:ascii="Tahoma" w:hAnsi="Tahoma" w:cs="Tahoma"/>
          <w:sz w:val="19"/>
          <w:szCs w:val="19"/>
        </w:rPr>
        <w:t>S</w:t>
      </w:r>
      <w:r w:rsidRPr="002C4DEE">
        <w:rPr>
          <w:rFonts w:ascii="Tahoma" w:hAnsi="Tahoma" w:cs="Tahoma"/>
          <w:sz w:val="19"/>
          <w:szCs w:val="19"/>
        </w:rPr>
        <w:t>lužeb poskytl, a je si vědom nebezpečí škody, kterou by nepravdivé informace mohly způsobit, pokud jde o</w:t>
      </w:r>
      <w:r>
        <w:rPr>
          <w:rFonts w:ascii="Tahoma" w:hAnsi="Tahoma" w:cs="Tahoma"/>
          <w:sz w:val="19"/>
          <w:szCs w:val="19"/>
        </w:rPr>
        <w:t> </w:t>
      </w:r>
      <w:r w:rsidRPr="002C4DEE">
        <w:rPr>
          <w:rFonts w:ascii="Tahoma" w:hAnsi="Tahoma" w:cs="Tahoma"/>
          <w:sz w:val="19"/>
          <w:szCs w:val="19"/>
        </w:rPr>
        <w:t xml:space="preserve">výsledek </w:t>
      </w:r>
      <w:r w:rsidR="00E60C32">
        <w:rPr>
          <w:rFonts w:ascii="Tahoma" w:hAnsi="Tahoma" w:cs="Tahoma"/>
          <w:sz w:val="19"/>
          <w:szCs w:val="19"/>
        </w:rPr>
        <w:t>S</w:t>
      </w:r>
      <w:r w:rsidRPr="002C4DEE">
        <w:rPr>
          <w:rFonts w:ascii="Tahoma" w:hAnsi="Tahoma" w:cs="Tahoma"/>
          <w:sz w:val="19"/>
          <w:szCs w:val="19"/>
        </w:rPr>
        <w:t>lužeb.</w:t>
      </w:r>
    </w:p>
    <w:p w14:paraId="26D5C1E2" w14:textId="673DBF26" w:rsidR="00815705" w:rsidRPr="00FA59C8" w:rsidRDefault="00815705" w:rsidP="00815705">
      <w:pPr>
        <w:pStyle w:val="Zkladntext"/>
        <w:keepNext/>
        <w:spacing w:line="276" w:lineRule="auto"/>
        <w:ind w:left="426"/>
        <w:jc w:val="center"/>
        <w:rPr>
          <w:rFonts w:ascii="Tahoma" w:hAnsi="Tahoma" w:cs="Tahoma"/>
          <w:b/>
          <w:bCs/>
          <w:sz w:val="19"/>
          <w:szCs w:val="19"/>
        </w:rPr>
      </w:pPr>
      <w:r w:rsidRPr="00FA59C8">
        <w:rPr>
          <w:rFonts w:ascii="Tahoma" w:hAnsi="Tahoma" w:cs="Tahoma"/>
          <w:b/>
          <w:bCs/>
          <w:sz w:val="19"/>
          <w:szCs w:val="19"/>
        </w:rPr>
        <w:lastRenderedPageBreak/>
        <w:t>I</w:t>
      </w:r>
      <w:r w:rsidR="00B94641">
        <w:rPr>
          <w:rFonts w:ascii="Tahoma" w:hAnsi="Tahoma" w:cs="Tahoma"/>
          <w:b/>
          <w:bCs/>
          <w:sz w:val="19"/>
          <w:szCs w:val="19"/>
        </w:rPr>
        <w:t>V</w:t>
      </w:r>
      <w:r w:rsidRPr="00FA59C8">
        <w:rPr>
          <w:rFonts w:ascii="Tahoma" w:hAnsi="Tahoma" w:cs="Tahoma"/>
          <w:b/>
          <w:bCs/>
          <w:sz w:val="19"/>
          <w:szCs w:val="19"/>
        </w:rPr>
        <w:t>.</w:t>
      </w:r>
    </w:p>
    <w:p w14:paraId="717BCDE5" w14:textId="0CAF4D82" w:rsidR="00815705" w:rsidRPr="00AE3C23" w:rsidRDefault="00815705" w:rsidP="00815705">
      <w:pPr>
        <w:pStyle w:val="Zkladntext"/>
        <w:keepNext/>
        <w:spacing w:after="40" w:line="276" w:lineRule="auto"/>
        <w:ind w:left="426"/>
        <w:jc w:val="center"/>
        <w:rPr>
          <w:rFonts w:ascii="Tahoma" w:hAnsi="Tahoma"/>
          <w:b/>
          <w:smallCaps/>
          <w:sz w:val="19"/>
        </w:rPr>
      </w:pPr>
      <w:r w:rsidRPr="00AE3C23">
        <w:rPr>
          <w:rFonts w:ascii="Tahoma" w:hAnsi="Tahoma"/>
          <w:b/>
          <w:smallCaps/>
          <w:sz w:val="19"/>
        </w:rPr>
        <w:t>Odměna a platební podmínky</w:t>
      </w:r>
    </w:p>
    <w:p w14:paraId="66A4432F" w14:textId="63DC4496" w:rsidR="003B6617" w:rsidRPr="00ED1F6E" w:rsidRDefault="009A0404" w:rsidP="002A5A4A">
      <w:pPr>
        <w:pStyle w:val="Zkladntext"/>
        <w:keepNext/>
        <w:keepLines/>
        <w:numPr>
          <w:ilvl w:val="0"/>
          <w:numId w:val="22"/>
        </w:numPr>
        <w:spacing w:after="160" w:line="276" w:lineRule="auto"/>
        <w:ind w:left="567" w:hanging="567"/>
        <w:jc w:val="both"/>
        <w:rPr>
          <w:rFonts w:ascii="Tahoma" w:hAnsi="Tahoma" w:cs="Tahoma"/>
          <w:sz w:val="19"/>
          <w:szCs w:val="19"/>
        </w:rPr>
      </w:pPr>
      <w:r w:rsidRPr="00ED1F6E">
        <w:rPr>
          <w:rFonts w:ascii="Tahoma" w:hAnsi="Tahoma" w:cs="Tahoma"/>
          <w:sz w:val="19"/>
          <w:szCs w:val="19"/>
        </w:rPr>
        <w:t xml:space="preserve">Za poskytnuté </w:t>
      </w:r>
      <w:r w:rsidR="00D56EDA">
        <w:rPr>
          <w:rFonts w:ascii="Tahoma" w:hAnsi="Tahoma" w:cs="Tahoma"/>
          <w:sz w:val="19"/>
          <w:szCs w:val="19"/>
        </w:rPr>
        <w:t>Služby dle čl. I. odst. 2 písm. A.</w:t>
      </w:r>
      <w:r w:rsidR="007D62F9">
        <w:rPr>
          <w:rFonts w:ascii="Tahoma" w:hAnsi="Tahoma" w:cs="Tahoma"/>
          <w:sz w:val="19"/>
          <w:szCs w:val="19"/>
        </w:rPr>
        <w:t xml:space="preserve"> této Smlouvy </w:t>
      </w:r>
      <w:r w:rsidRPr="00ED1F6E">
        <w:rPr>
          <w:rFonts w:ascii="Tahoma" w:hAnsi="Tahoma" w:cs="Tahoma"/>
          <w:sz w:val="19"/>
          <w:szCs w:val="19"/>
        </w:rPr>
        <w:t xml:space="preserve">se </w:t>
      </w:r>
      <w:r w:rsidR="006172C1">
        <w:rPr>
          <w:rFonts w:ascii="Tahoma" w:hAnsi="Tahoma" w:cs="Tahoma"/>
          <w:sz w:val="19"/>
          <w:szCs w:val="19"/>
        </w:rPr>
        <w:t>K</w:t>
      </w:r>
      <w:r w:rsidRPr="00ED1F6E">
        <w:rPr>
          <w:rFonts w:ascii="Tahoma" w:hAnsi="Tahoma" w:cs="Tahoma"/>
          <w:sz w:val="19"/>
          <w:szCs w:val="19"/>
        </w:rPr>
        <w:t xml:space="preserve">lient zavazuje zaplatit Poradci smluvní odměnu </w:t>
      </w:r>
      <w:r w:rsidR="00CC55EF">
        <w:rPr>
          <w:rFonts w:ascii="Tahoma" w:hAnsi="Tahoma" w:cs="Tahoma"/>
          <w:sz w:val="19"/>
          <w:szCs w:val="19"/>
        </w:rPr>
        <w:t>v </w:t>
      </w:r>
      <w:r w:rsidR="00D56EDA">
        <w:rPr>
          <w:rFonts w:ascii="Tahoma" w:hAnsi="Tahoma" w:cs="Tahoma"/>
          <w:sz w:val="19"/>
          <w:szCs w:val="19"/>
        </w:rPr>
        <w:t>měsíční</w:t>
      </w:r>
      <w:r w:rsidR="00CC55EF">
        <w:rPr>
          <w:rFonts w:ascii="Tahoma" w:hAnsi="Tahoma" w:cs="Tahoma"/>
          <w:sz w:val="19"/>
          <w:szCs w:val="19"/>
        </w:rPr>
        <w:t xml:space="preserve"> výši </w:t>
      </w:r>
      <w:r w:rsidR="004D2F0B">
        <w:rPr>
          <w:rFonts w:ascii="Tahoma" w:hAnsi="Tahoma" w:cs="Tahoma"/>
          <w:b/>
          <w:bCs/>
          <w:sz w:val="19"/>
          <w:szCs w:val="19"/>
        </w:rPr>
        <w:t>25.000</w:t>
      </w:r>
      <w:r w:rsidR="00CC55EF" w:rsidRPr="006D2C77">
        <w:rPr>
          <w:rFonts w:ascii="Tahoma" w:hAnsi="Tahoma" w:cs="Tahoma"/>
          <w:b/>
          <w:bCs/>
          <w:sz w:val="19"/>
          <w:szCs w:val="19"/>
        </w:rPr>
        <w:t xml:space="preserve"> Kč</w:t>
      </w:r>
      <w:r w:rsidR="00CC55EF">
        <w:rPr>
          <w:rFonts w:ascii="Tahoma" w:hAnsi="Tahoma" w:cs="Tahoma"/>
          <w:sz w:val="19"/>
          <w:szCs w:val="19"/>
        </w:rPr>
        <w:t xml:space="preserve"> (slovy: </w:t>
      </w:r>
      <w:r w:rsidR="004D2F0B">
        <w:rPr>
          <w:rFonts w:ascii="Tahoma" w:hAnsi="Tahoma" w:cs="Tahoma"/>
          <w:i/>
          <w:iCs/>
          <w:sz w:val="19"/>
          <w:szCs w:val="19"/>
        </w:rPr>
        <w:t>dvacet pět tisíc korun českých</w:t>
      </w:r>
      <w:r w:rsidR="00CC55EF">
        <w:rPr>
          <w:rFonts w:ascii="Tahoma" w:hAnsi="Tahoma" w:cs="Tahoma"/>
          <w:sz w:val="19"/>
          <w:szCs w:val="19"/>
        </w:rPr>
        <w:t>) bez DPH</w:t>
      </w:r>
      <w:r w:rsidR="00D56EDA">
        <w:rPr>
          <w:rFonts w:ascii="Tahoma" w:hAnsi="Tahoma" w:cs="Tahoma"/>
          <w:sz w:val="19"/>
          <w:szCs w:val="19"/>
        </w:rPr>
        <w:t>, a to po dobu maximálně 24 měsíců. Tato</w:t>
      </w:r>
      <w:r w:rsidR="00E60C32">
        <w:rPr>
          <w:rFonts w:ascii="Tahoma" w:hAnsi="Tahoma" w:cs="Tahoma"/>
          <w:sz w:val="19"/>
          <w:szCs w:val="19"/>
        </w:rPr>
        <w:t> </w:t>
      </w:r>
      <w:r w:rsidR="00D56EDA">
        <w:rPr>
          <w:rFonts w:ascii="Tahoma" w:hAnsi="Tahoma" w:cs="Tahoma"/>
          <w:sz w:val="19"/>
          <w:szCs w:val="19"/>
        </w:rPr>
        <w:t xml:space="preserve">odměna </w:t>
      </w:r>
      <w:r w:rsidR="00D56EDA">
        <w:rPr>
          <w:rFonts w:ascii="Tahoma" w:hAnsi="Tahoma" w:cs="Tahoma"/>
          <w:bCs/>
          <w:sz w:val="19"/>
          <w:szCs w:val="19"/>
        </w:rPr>
        <w:t xml:space="preserve">bude Klientem hrazena Poradci paušálně, a to za každý kalendářní měsíc poskytování </w:t>
      </w:r>
      <w:r w:rsidR="00E60C32">
        <w:rPr>
          <w:rFonts w:ascii="Tahoma" w:hAnsi="Tahoma" w:cs="Tahoma"/>
          <w:bCs/>
          <w:sz w:val="19"/>
          <w:szCs w:val="19"/>
        </w:rPr>
        <w:t>těchto služeb</w:t>
      </w:r>
      <w:r w:rsidR="00D56EDA">
        <w:rPr>
          <w:rFonts w:ascii="Tahoma" w:hAnsi="Tahoma" w:cs="Tahoma"/>
          <w:bCs/>
          <w:sz w:val="19"/>
          <w:szCs w:val="19"/>
        </w:rPr>
        <w:t>.</w:t>
      </w:r>
    </w:p>
    <w:p w14:paraId="63CE0FF3" w14:textId="2901FD0A" w:rsidR="00D56EDA" w:rsidRPr="00165E0C" w:rsidRDefault="00D56EDA" w:rsidP="000305C0">
      <w:pPr>
        <w:pStyle w:val="Zkladntext"/>
        <w:keepNext/>
        <w:keepLines/>
        <w:numPr>
          <w:ilvl w:val="0"/>
          <w:numId w:val="22"/>
        </w:numPr>
        <w:spacing w:after="160" w:line="276" w:lineRule="auto"/>
        <w:ind w:left="567" w:hanging="567"/>
        <w:jc w:val="both"/>
        <w:rPr>
          <w:rFonts w:ascii="Tahoma" w:hAnsi="Tahoma" w:cs="Tahoma"/>
          <w:bCs/>
          <w:sz w:val="19"/>
          <w:szCs w:val="19"/>
        </w:rPr>
      </w:pPr>
      <w:r>
        <w:rPr>
          <w:rFonts w:ascii="Tahoma" w:hAnsi="Tahoma" w:cs="Tahoma"/>
          <w:bCs/>
          <w:sz w:val="19"/>
          <w:szCs w:val="19"/>
        </w:rPr>
        <w:t xml:space="preserve">Za poskytnuté Služby dle čl. I. odst. 2 písm. B. až D. této Smlouvy se Klient zavazuje zaplatit Poradci smluvní odměnu ve výši </w:t>
      </w:r>
      <w:r w:rsidR="004D2F0B">
        <w:rPr>
          <w:rFonts w:ascii="Tahoma" w:hAnsi="Tahoma" w:cs="Tahoma"/>
          <w:b/>
          <w:bCs/>
          <w:sz w:val="19"/>
          <w:szCs w:val="19"/>
        </w:rPr>
        <w:t>2.500</w:t>
      </w:r>
      <w:r w:rsidRPr="006D2C77">
        <w:rPr>
          <w:rFonts w:ascii="Tahoma" w:hAnsi="Tahoma" w:cs="Tahoma"/>
          <w:b/>
          <w:bCs/>
          <w:sz w:val="19"/>
          <w:szCs w:val="19"/>
        </w:rPr>
        <w:t xml:space="preserve"> Kč</w:t>
      </w:r>
      <w:r>
        <w:rPr>
          <w:rFonts w:ascii="Tahoma" w:hAnsi="Tahoma" w:cs="Tahoma"/>
          <w:sz w:val="19"/>
          <w:szCs w:val="19"/>
        </w:rPr>
        <w:t xml:space="preserve"> (slovy: </w:t>
      </w:r>
      <w:r w:rsidR="004D2F0B">
        <w:rPr>
          <w:rFonts w:ascii="Tahoma" w:hAnsi="Tahoma" w:cs="Tahoma"/>
          <w:i/>
          <w:iCs/>
          <w:sz w:val="19"/>
          <w:szCs w:val="19"/>
        </w:rPr>
        <w:t>dva tisíce pět set korun českých</w:t>
      </w:r>
      <w:r>
        <w:rPr>
          <w:rFonts w:ascii="Tahoma" w:hAnsi="Tahoma" w:cs="Tahoma"/>
          <w:sz w:val="19"/>
          <w:szCs w:val="19"/>
        </w:rPr>
        <w:t xml:space="preserve">) bez DPH za hodinu poskytování </w:t>
      </w:r>
      <w:r w:rsidR="00E60C32">
        <w:rPr>
          <w:rFonts w:ascii="Tahoma" w:hAnsi="Tahoma" w:cs="Tahoma"/>
          <w:sz w:val="19"/>
          <w:szCs w:val="19"/>
        </w:rPr>
        <w:t>těchto služeb</w:t>
      </w:r>
      <w:r>
        <w:rPr>
          <w:rFonts w:ascii="Tahoma" w:hAnsi="Tahoma" w:cs="Tahoma"/>
          <w:sz w:val="19"/>
          <w:szCs w:val="19"/>
        </w:rPr>
        <w:t xml:space="preserve">. </w:t>
      </w:r>
      <w:r>
        <w:rPr>
          <w:rFonts w:ascii="Tahoma" w:hAnsi="Tahoma" w:cs="Tahoma"/>
          <w:bCs/>
          <w:sz w:val="19"/>
          <w:szCs w:val="19"/>
        </w:rPr>
        <w:t>Odměna za Fázi II, Fázi III a Fázi IV bude Klientem hrazena Poradci na základě dílčích objednávek, a</w:t>
      </w:r>
      <w:r w:rsidR="00E60C32">
        <w:rPr>
          <w:rFonts w:ascii="Tahoma" w:hAnsi="Tahoma" w:cs="Tahoma"/>
          <w:bCs/>
          <w:sz w:val="19"/>
          <w:szCs w:val="19"/>
        </w:rPr>
        <w:t> </w:t>
      </w:r>
      <w:r>
        <w:rPr>
          <w:rFonts w:ascii="Tahoma" w:hAnsi="Tahoma" w:cs="Tahoma"/>
          <w:bCs/>
          <w:sz w:val="19"/>
          <w:szCs w:val="19"/>
        </w:rPr>
        <w:t>to do výše maximálního časového rozsahu dle uvedené hodinové sazby</w:t>
      </w:r>
      <w:r>
        <w:rPr>
          <w:rFonts w:ascii="Tahoma" w:hAnsi="Tahoma" w:cs="Tahoma"/>
          <w:sz w:val="19"/>
          <w:szCs w:val="19"/>
        </w:rPr>
        <w:t>, která bude Poradcem účtována za každý kalendářní měsíc poskytování těchto služeb.</w:t>
      </w:r>
    </w:p>
    <w:p w14:paraId="79A59C39" w14:textId="278B65EC" w:rsidR="00165E0C" w:rsidRDefault="00165E0C" w:rsidP="000305C0">
      <w:pPr>
        <w:pStyle w:val="Zkladntext"/>
        <w:keepNext/>
        <w:keepLines/>
        <w:numPr>
          <w:ilvl w:val="0"/>
          <w:numId w:val="22"/>
        </w:numPr>
        <w:spacing w:after="160" w:line="276" w:lineRule="auto"/>
        <w:ind w:left="567" w:hanging="567"/>
        <w:jc w:val="both"/>
        <w:rPr>
          <w:rFonts w:ascii="Tahoma" w:hAnsi="Tahoma" w:cs="Tahoma"/>
          <w:bCs/>
          <w:sz w:val="19"/>
          <w:szCs w:val="19"/>
        </w:rPr>
      </w:pPr>
      <w:r>
        <w:rPr>
          <w:rFonts w:ascii="Tahoma" w:hAnsi="Tahoma" w:cs="Tahoma"/>
          <w:sz w:val="19"/>
          <w:szCs w:val="19"/>
        </w:rPr>
        <w:t>Výše uvedená smluvní odměna zahrnuje všechny náklady Poradce spojené s předmětem plnění Smlouvy. Náklady na případné správní poplatky, kolky atp. budou v plné výši přeúčtovány bez režie či jiné přirážky.</w:t>
      </w:r>
    </w:p>
    <w:p w14:paraId="6F740144" w14:textId="413413BE" w:rsidR="00CA3969" w:rsidRPr="00CC38B9" w:rsidRDefault="00132E8B" w:rsidP="00CC38B9">
      <w:pPr>
        <w:pStyle w:val="Zkladntext"/>
        <w:keepNext/>
        <w:keepLines/>
        <w:numPr>
          <w:ilvl w:val="0"/>
          <w:numId w:val="22"/>
        </w:numPr>
        <w:spacing w:after="160" w:line="276" w:lineRule="auto"/>
        <w:ind w:left="567" w:hanging="567"/>
        <w:jc w:val="both"/>
        <w:rPr>
          <w:rFonts w:ascii="Tahoma" w:hAnsi="Tahoma" w:cs="Tahoma"/>
          <w:bCs/>
          <w:sz w:val="19"/>
          <w:szCs w:val="19"/>
        </w:rPr>
      </w:pPr>
      <w:r w:rsidRPr="00132E8B">
        <w:rPr>
          <w:rFonts w:ascii="Tahoma" w:hAnsi="Tahoma" w:cs="Tahoma"/>
          <w:bCs/>
          <w:sz w:val="19"/>
          <w:szCs w:val="19"/>
        </w:rPr>
        <w:t xml:space="preserve">Celková odměna </w:t>
      </w:r>
      <w:r>
        <w:rPr>
          <w:rFonts w:ascii="Tahoma" w:hAnsi="Tahoma" w:cs="Tahoma"/>
          <w:bCs/>
          <w:sz w:val="19"/>
          <w:szCs w:val="19"/>
        </w:rPr>
        <w:t>Poradce</w:t>
      </w:r>
      <w:r w:rsidRPr="00132E8B">
        <w:rPr>
          <w:rFonts w:ascii="Tahoma" w:hAnsi="Tahoma" w:cs="Tahoma"/>
          <w:bCs/>
          <w:sz w:val="19"/>
          <w:szCs w:val="19"/>
        </w:rPr>
        <w:t xml:space="preserve"> za </w:t>
      </w:r>
      <w:r>
        <w:rPr>
          <w:rFonts w:ascii="Tahoma" w:hAnsi="Tahoma" w:cs="Tahoma"/>
          <w:bCs/>
          <w:sz w:val="19"/>
          <w:szCs w:val="19"/>
        </w:rPr>
        <w:t>S</w:t>
      </w:r>
      <w:r w:rsidRPr="00132E8B">
        <w:rPr>
          <w:rFonts w:ascii="Tahoma" w:hAnsi="Tahoma" w:cs="Tahoma"/>
          <w:bCs/>
          <w:sz w:val="19"/>
          <w:szCs w:val="19"/>
        </w:rPr>
        <w:t xml:space="preserve">lužby poskytnuté Klientovi na základě </w:t>
      </w:r>
      <w:r w:rsidR="00E60C32">
        <w:rPr>
          <w:rFonts w:ascii="Tahoma" w:hAnsi="Tahoma" w:cs="Tahoma"/>
          <w:bCs/>
          <w:sz w:val="19"/>
          <w:szCs w:val="19"/>
        </w:rPr>
        <w:t xml:space="preserve">této </w:t>
      </w:r>
      <w:r w:rsidRPr="00132E8B">
        <w:rPr>
          <w:rFonts w:ascii="Tahoma" w:hAnsi="Tahoma" w:cs="Tahoma"/>
          <w:bCs/>
          <w:sz w:val="19"/>
          <w:szCs w:val="19"/>
        </w:rPr>
        <w:t xml:space="preserve">Smlouvy nepřesáhne částku </w:t>
      </w:r>
      <w:r w:rsidR="00E60C32">
        <w:rPr>
          <w:rFonts w:ascii="Tahoma" w:hAnsi="Tahoma" w:cs="Tahoma"/>
          <w:bCs/>
          <w:sz w:val="19"/>
          <w:szCs w:val="19"/>
        </w:rPr>
        <w:t xml:space="preserve">ve výši 2.000.000 Kč (slovy: </w:t>
      </w:r>
      <w:r w:rsidR="00E60C32">
        <w:rPr>
          <w:rFonts w:ascii="Tahoma" w:hAnsi="Tahoma" w:cs="Tahoma"/>
          <w:bCs/>
          <w:i/>
          <w:iCs/>
          <w:sz w:val="19"/>
          <w:szCs w:val="19"/>
        </w:rPr>
        <w:t>dva miliony korun českých</w:t>
      </w:r>
      <w:r w:rsidR="00E60C32">
        <w:rPr>
          <w:rFonts w:ascii="Tahoma" w:hAnsi="Tahoma" w:cs="Tahoma"/>
          <w:bCs/>
          <w:sz w:val="19"/>
          <w:szCs w:val="19"/>
        </w:rPr>
        <w:t>) bez DPH</w:t>
      </w:r>
      <w:r w:rsidRPr="00132E8B">
        <w:rPr>
          <w:rFonts w:ascii="Tahoma" w:hAnsi="Tahoma" w:cs="Tahoma"/>
          <w:bCs/>
          <w:sz w:val="19"/>
          <w:szCs w:val="19"/>
        </w:rPr>
        <w:t>.</w:t>
      </w:r>
    </w:p>
    <w:p w14:paraId="7B0EE8DF" w14:textId="5EE82A90" w:rsidR="00CA3969" w:rsidRDefault="00F60646" w:rsidP="002A5A4A">
      <w:pPr>
        <w:pStyle w:val="Zkladntext"/>
        <w:keepNext/>
        <w:keepLines/>
        <w:numPr>
          <w:ilvl w:val="0"/>
          <w:numId w:val="22"/>
        </w:numPr>
        <w:spacing w:after="160" w:line="276" w:lineRule="auto"/>
        <w:ind w:left="567" w:hanging="567"/>
        <w:jc w:val="both"/>
        <w:rPr>
          <w:rFonts w:ascii="Tahoma" w:hAnsi="Tahoma" w:cs="Tahoma"/>
          <w:bCs/>
          <w:sz w:val="19"/>
          <w:szCs w:val="19"/>
        </w:rPr>
      </w:pPr>
      <w:r>
        <w:rPr>
          <w:rFonts w:ascii="Tahoma" w:hAnsi="Tahoma" w:cs="Tahoma"/>
          <w:bCs/>
          <w:sz w:val="19"/>
          <w:szCs w:val="19"/>
        </w:rPr>
        <w:t>Poradce</w:t>
      </w:r>
      <w:r w:rsidR="00CA3969" w:rsidRPr="00CA3969">
        <w:rPr>
          <w:rFonts w:ascii="Tahoma" w:hAnsi="Tahoma" w:cs="Tahoma"/>
          <w:bCs/>
          <w:sz w:val="19"/>
          <w:szCs w:val="19"/>
        </w:rPr>
        <w:t xml:space="preserve"> je oprávněn práce vyúčtovat jen do výše Klientem odsouhlaseného soupisu</w:t>
      </w:r>
      <w:r w:rsidR="00CA3969">
        <w:rPr>
          <w:rFonts w:ascii="Tahoma" w:hAnsi="Tahoma" w:cs="Tahoma"/>
          <w:bCs/>
          <w:sz w:val="19"/>
          <w:szCs w:val="19"/>
        </w:rPr>
        <w:t xml:space="preserve"> </w:t>
      </w:r>
      <w:r w:rsidR="00CA3969" w:rsidRPr="00CA3969">
        <w:rPr>
          <w:rFonts w:ascii="Tahoma" w:hAnsi="Tahoma" w:cs="Tahoma"/>
          <w:bCs/>
          <w:sz w:val="19"/>
          <w:szCs w:val="19"/>
        </w:rPr>
        <w:t>prací, nikoliv do výše dílčí objednávky.</w:t>
      </w:r>
    </w:p>
    <w:p w14:paraId="5993837A" w14:textId="43179F17" w:rsidR="00CA3969" w:rsidRPr="00CA3969" w:rsidRDefault="00CA3969" w:rsidP="002A5A4A">
      <w:pPr>
        <w:pStyle w:val="Zkladntext"/>
        <w:keepNext/>
        <w:keepLines/>
        <w:numPr>
          <w:ilvl w:val="0"/>
          <w:numId w:val="22"/>
        </w:numPr>
        <w:spacing w:after="160" w:line="276" w:lineRule="auto"/>
        <w:ind w:left="567" w:hanging="567"/>
        <w:jc w:val="both"/>
        <w:rPr>
          <w:rFonts w:ascii="Tahoma" w:hAnsi="Tahoma" w:cs="Tahoma"/>
          <w:bCs/>
          <w:sz w:val="19"/>
          <w:szCs w:val="19"/>
        </w:rPr>
      </w:pPr>
      <w:r w:rsidRPr="00CA3969">
        <w:rPr>
          <w:rFonts w:ascii="Tahoma" w:hAnsi="Tahoma" w:cs="Tahoma"/>
          <w:bCs/>
          <w:sz w:val="19"/>
          <w:szCs w:val="19"/>
        </w:rPr>
        <w:t xml:space="preserve">V případě překročení předpokládané časové náročnosti je </w:t>
      </w:r>
      <w:r>
        <w:rPr>
          <w:rFonts w:ascii="Tahoma" w:hAnsi="Tahoma" w:cs="Tahoma"/>
          <w:bCs/>
          <w:sz w:val="19"/>
          <w:szCs w:val="19"/>
        </w:rPr>
        <w:t>Poradce</w:t>
      </w:r>
      <w:r w:rsidRPr="00CA3969">
        <w:rPr>
          <w:rFonts w:ascii="Tahoma" w:hAnsi="Tahoma" w:cs="Tahoma"/>
          <w:bCs/>
          <w:sz w:val="19"/>
          <w:szCs w:val="19"/>
        </w:rPr>
        <w:t xml:space="preserve"> povinen na toto</w:t>
      </w:r>
      <w:r>
        <w:rPr>
          <w:rFonts w:ascii="Tahoma" w:hAnsi="Tahoma" w:cs="Tahoma"/>
          <w:bCs/>
          <w:sz w:val="19"/>
          <w:szCs w:val="19"/>
        </w:rPr>
        <w:t xml:space="preserve"> Klienta</w:t>
      </w:r>
      <w:r w:rsidRPr="00CA3969">
        <w:rPr>
          <w:rFonts w:ascii="Tahoma" w:hAnsi="Tahoma" w:cs="Tahoma"/>
          <w:bCs/>
          <w:sz w:val="19"/>
          <w:szCs w:val="19"/>
        </w:rPr>
        <w:t xml:space="preserve"> předem upozornit, navrhne novou potřebu času na dokončení. </w:t>
      </w:r>
      <w:r w:rsidR="002A5A4A">
        <w:rPr>
          <w:rFonts w:ascii="Tahoma" w:hAnsi="Tahoma" w:cs="Tahoma"/>
          <w:bCs/>
          <w:sz w:val="19"/>
          <w:szCs w:val="19"/>
        </w:rPr>
        <w:t>Klient</w:t>
      </w:r>
      <w:r w:rsidRPr="00CA3969">
        <w:rPr>
          <w:rFonts w:ascii="Tahoma" w:hAnsi="Tahoma" w:cs="Tahoma"/>
          <w:bCs/>
          <w:sz w:val="19"/>
          <w:szCs w:val="19"/>
        </w:rPr>
        <w:t xml:space="preserve"> se</w:t>
      </w:r>
      <w:r>
        <w:rPr>
          <w:rFonts w:ascii="Tahoma" w:hAnsi="Tahoma" w:cs="Tahoma"/>
          <w:bCs/>
          <w:sz w:val="19"/>
          <w:szCs w:val="19"/>
        </w:rPr>
        <w:t xml:space="preserve"> </w:t>
      </w:r>
      <w:r w:rsidRPr="00CA3969">
        <w:rPr>
          <w:rFonts w:ascii="Tahoma" w:hAnsi="Tahoma" w:cs="Tahoma"/>
          <w:bCs/>
          <w:sz w:val="19"/>
          <w:szCs w:val="19"/>
        </w:rPr>
        <w:t>rozhodne, jak pokračovat a případně vystaví další objednávku.</w:t>
      </w:r>
    </w:p>
    <w:p w14:paraId="19340E7A" w14:textId="7AA8AD6F" w:rsidR="002A5A4A" w:rsidRPr="002A5A4A" w:rsidRDefault="002A5A4A" w:rsidP="002A5A4A">
      <w:pPr>
        <w:pStyle w:val="Zkladntext"/>
        <w:keepNext/>
        <w:keepLines/>
        <w:numPr>
          <w:ilvl w:val="0"/>
          <w:numId w:val="22"/>
        </w:numPr>
        <w:spacing w:after="160" w:line="276" w:lineRule="auto"/>
        <w:ind w:left="567" w:hanging="567"/>
        <w:jc w:val="both"/>
        <w:rPr>
          <w:rFonts w:ascii="Tahoma" w:hAnsi="Tahoma" w:cs="Tahoma"/>
          <w:sz w:val="19"/>
          <w:szCs w:val="19"/>
        </w:rPr>
      </w:pPr>
      <w:r>
        <w:rPr>
          <w:rFonts w:ascii="Tahoma" w:hAnsi="Tahoma" w:cs="Tahoma"/>
          <w:bCs/>
          <w:sz w:val="19"/>
          <w:szCs w:val="19"/>
        </w:rPr>
        <w:t>Klient</w:t>
      </w:r>
      <w:r w:rsidRPr="002A5A4A">
        <w:rPr>
          <w:rFonts w:ascii="Tahoma" w:hAnsi="Tahoma" w:cs="Tahoma"/>
          <w:sz w:val="19"/>
          <w:szCs w:val="19"/>
        </w:rPr>
        <w:t xml:space="preserve"> je kdykoliv oprávněn práce v rozsahu dílčích objednávek zastavit, a to bez udání</w:t>
      </w:r>
      <w:r>
        <w:rPr>
          <w:rFonts w:ascii="Tahoma" w:hAnsi="Tahoma" w:cs="Tahoma"/>
          <w:sz w:val="19"/>
          <w:szCs w:val="19"/>
        </w:rPr>
        <w:t xml:space="preserve"> </w:t>
      </w:r>
      <w:r w:rsidRPr="002A5A4A">
        <w:rPr>
          <w:rFonts w:ascii="Tahoma" w:hAnsi="Tahoma" w:cs="Tahoma"/>
          <w:sz w:val="19"/>
          <w:szCs w:val="19"/>
        </w:rPr>
        <w:t>důvodů. V</w:t>
      </w:r>
      <w:r>
        <w:rPr>
          <w:rFonts w:ascii="Tahoma" w:hAnsi="Tahoma" w:cs="Tahoma"/>
          <w:sz w:val="19"/>
          <w:szCs w:val="19"/>
        </w:rPr>
        <w:t> </w:t>
      </w:r>
      <w:r w:rsidRPr="002A5A4A">
        <w:rPr>
          <w:rFonts w:ascii="Tahoma" w:hAnsi="Tahoma" w:cs="Tahoma"/>
          <w:bCs/>
          <w:sz w:val="19"/>
          <w:szCs w:val="19"/>
        </w:rPr>
        <w:t>takovém</w:t>
      </w:r>
      <w:r w:rsidRPr="002A5A4A">
        <w:rPr>
          <w:rFonts w:ascii="Tahoma" w:hAnsi="Tahoma" w:cs="Tahoma"/>
          <w:sz w:val="19"/>
          <w:szCs w:val="19"/>
        </w:rPr>
        <w:t xml:space="preserve"> případě budou práce ihned ukončeny a vyúčtovány dle skutečně</w:t>
      </w:r>
      <w:r>
        <w:rPr>
          <w:rFonts w:ascii="Tahoma" w:hAnsi="Tahoma" w:cs="Tahoma"/>
          <w:sz w:val="19"/>
          <w:szCs w:val="19"/>
        </w:rPr>
        <w:t xml:space="preserve"> </w:t>
      </w:r>
      <w:r w:rsidRPr="002A5A4A">
        <w:rPr>
          <w:rFonts w:ascii="Tahoma" w:hAnsi="Tahoma" w:cs="Tahoma"/>
          <w:sz w:val="19"/>
          <w:szCs w:val="19"/>
        </w:rPr>
        <w:t>provedených prací.</w:t>
      </w:r>
    </w:p>
    <w:p w14:paraId="454A6E15" w14:textId="154EBE06" w:rsidR="002A5A4A" w:rsidRDefault="002A5A4A" w:rsidP="002A5A4A">
      <w:pPr>
        <w:pStyle w:val="Zkladntext"/>
        <w:keepNext/>
        <w:keepLines/>
        <w:numPr>
          <w:ilvl w:val="0"/>
          <w:numId w:val="22"/>
        </w:numPr>
        <w:spacing w:after="160" w:line="276" w:lineRule="auto"/>
        <w:ind w:left="567" w:hanging="567"/>
        <w:jc w:val="both"/>
        <w:rPr>
          <w:rFonts w:ascii="Tahoma" w:hAnsi="Tahoma" w:cs="Tahoma"/>
          <w:sz w:val="19"/>
          <w:szCs w:val="19"/>
        </w:rPr>
      </w:pPr>
      <w:r w:rsidRPr="002A5A4A">
        <w:rPr>
          <w:rFonts w:ascii="Tahoma" w:hAnsi="Tahoma" w:cs="Tahoma"/>
          <w:sz w:val="19"/>
          <w:szCs w:val="19"/>
        </w:rPr>
        <w:t xml:space="preserve">Při obdržení dotace, o kterou bylo požádáno v rámci plnění dílčí objednávky, bude </w:t>
      </w:r>
      <w:r>
        <w:rPr>
          <w:rFonts w:ascii="Tahoma" w:hAnsi="Tahoma" w:cs="Tahoma"/>
          <w:sz w:val="19"/>
          <w:szCs w:val="19"/>
        </w:rPr>
        <w:t>Poradci</w:t>
      </w:r>
      <w:r w:rsidRPr="002A5A4A">
        <w:rPr>
          <w:rFonts w:ascii="Tahoma" w:hAnsi="Tahoma" w:cs="Tahoma"/>
          <w:sz w:val="19"/>
          <w:szCs w:val="19"/>
        </w:rPr>
        <w:t xml:space="preserve"> </w:t>
      </w:r>
      <w:r>
        <w:rPr>
          <w:rFonts w:ascii="Tahoma" w:hAnsi="Tahoma" w:cs="Tahoma"/>
          <w:sz w:val="19"/>
          <w:szCs w:val="19"/>
        </w:rPr>
        <w:t>Klientem</w:t>
      </w:r>
      <w:r w:rsidRPr="002A5A4A">
        <w:rPr>
          <w:rFonts w:ascii="Tahoma" w:hAnsi="Tahoma" w:cs="Tahoma"/>
          <w:sz w:val="19"/>
          <w:szCs w:val="19"/>
        </w:rPr>
        <w:t xml:space="preserve"> vyplacena částka odpovídající 8</w:t>
      </w:r>
      <w:r>
        <w:rPr>
          <w:rFonts w:ascii="Tahoma" w:hAnsi="Tahoma" w:cs="Tahoma"/>
          <w:sz w:val="19"/>
          <w:szCs w:val="19"/>
        </w:rPr>
        <w:t xml:space="preserve"> </w:t>
      </w:r>
      <w:r w:rsidRPr="002A5A4A">
        <w:rPr>
          <w:rFonts w:ascii="Tahoma" w:hAnsi="Tahoma" w:cs="Tahoma"/>
          <w:sz w:val="19"/>
          <w:szCs w:val="19"/>
        </w:rPr>
        <w:t xml:space="preserve">% dosažené dotační podpory (tj. z hodnoty té části </w:t>
      </w:r>
      <w:r w:rsidRPr="002A5A4A">
        <w:rPr>
          <w:rFonts w:ascii="Tahoma" w:hAnsi="Tahoma" w:cs="Tahoma"/>
          <w:bCs/>
          <w:sz w:val="19"/>
          <w:szCs w:val="19"/>
        </w:rPr>
        <w:t>projektu</w:t>
      </w:r>
      <w:r w:rsidRPr="002A5A4A">
        <w:rPr>
          <w:rFonts w:ascii="Tahoma" w:hAnsi="Tahoma" w:cs="Tahoma"/>
          <w:sz w:val="19"/>
          <w:szCs w:val="19"/>
        </w:rPr>
        <w:t xml:space="preserve">, která nebude financována z vlastních zdrojů </w:t>
      </w:r>
      <w:r>
        <w:rPr>
          <w:rFonts w:ascii="Tahoma" w:hAnsi="Tahoma" w:cs="Tahoma"/>
          <w:sz w:val="19"/>
          <w:szCs w:val="19"/>
        </w:rPr>
        <w:t>Klienta</w:t>
      </w:r>
      <w:r w:rsidRPr="002A5A4A">
        <w:rPr>
          <w:rFonts w:ascii="Tahoma" w:hAnsi="Tahoma" w:cs="Tahoma"/>
          <w:sz w:val="19"/>
          <w:szCs w:val="19"/>
        </w:rPr>
        <w:t xml:space="preserve"> či spolufinancována z jiných zdrojů, které nebyly zajištěny na základě činnosti </w:t>
      </w:r>
      <w:r>
        <w:rPr>
          <w:rFonts w:ascii="Tahoma" w:hAnsi="Tahoma" w:cs="Tahoma"/>
          <w:sz w:val="19"/>
          <w:szCs w:val="19"/>
        </w:rPr>
        <w:t>Poradce</w:t>
      </w:r>
      <w:r w:rsidRPr="002A5A4A">
        <w:rPr>
          <w:rFonts w:ascii="Tahoma" w:hAnsi="Tahoma" w:cs="Tahoma"/>
          <w:sz w:val="19"/>
          <w:szCs w:val="19"/>
        </w:rPr>
        <w:t xml:space="preserve">) minus náklady Fáze II a </w:t>
      </w:r>
      <w:r>
        <w:rPr>
          <w:rFonts w:ascii="Tahoma" w:hAnsi="Tahoma" w:cs="Tahoma"/>
          <w:sz w:val="19"/>
          <w:szCs w:val="19"/>
        </w:rPr>
        <w:t xml:space="preserve">Fáze </w:t>
      </w:r>
      <w:r w:rsidRPr="002A5A4A">
        <w:rPr>
          <w:rFonts w:ascii="Tahoma" w:hAnsi="Tahoma" w:cs="Tahoma"/>
          <w:sz w:val="19"/>
          <w:szCs w:val="19"/>
        </w:rPr>
        <w:t>III souvisejících s projektem, na</w:t>
      </w:r>
      <w:r>
        <w:rPr>
          <w:rFonts w:ascii="Tahoma" w:hAnsi="Tahoma" w:cs="Tahoma"/>
          <w:sz w:val="19"/>
          <w:szCs w:val="19"/>
        </w:rPr>
        <w:t> </w:t>
      </w:r>
      <w:r w:rsidRPr="002A5A4A">
        <w:rPr>
          <w:rFonts w:ascii="Tahoma" w:hAnsi="Tahoma" w:cs="Tahoma"/>
          <w:sz w:val="19"/>
          <w:szCs w:val="19"/>
        </w:rPr>
        <w:t>který byla dotace obstarána (dále též „</w:t>
      </w:r>
      <w:r w:rsidRPr="002A5A4A">
        <w:rPr>
          <w:rFonts w:ascii="Tahoma" w:hAnsi="Tahoma" w:cs="Tahoma"/>
          <w:b/>
          <w:bCs/>
          <w:sz w:val="19"/>
          <w:szCs w:val="19"/>
        </w:rPr>
        <w:t>Podíl</w:t>
      </w:r>
      <w:r w:rsidRPr="002A5A4A">
        <w:rPr>
          <w:rFonts w:ascii="Tahoma" w:hAnsi="Tahoma" w:cs="Tahoma"/>
          <w:sz w:val="19"/>
          <w:szCs w:val="19"/>
        </w:rPr>
        <w:t xml:space="preserve">"). Nárok na Podíl </w:t>
      </w:r>
      <w:r>
        <w:rPr>
          <w:rFonts w:ascii="Tahoma" w:hAnsi="Tahoma" w:cs="Tahoma"/>
          <w:sz w:val="19"/>
          <w:szCs w:val="19"/>
        </w:rPr>
        <w:t>Poradci</w:t>
      </w:r>
      <w:r w:rsidRPr="002A5A4A">
        <w:rPr>
          <w:rFonts w:ascii="Tahoma" w:hAnsi="Tahoma" w:cs="Tahoma"/>
          <w:sz w:val="19"/>
          <w:szCs w:val="19"/>
        </w:rPr>
        <w:t xml:space="preserve"> vzniká následující měsíc poté, kdy bude </w:t>
      </w:r>
      <w:r>
        <w:rPr>
          <w:rFonts w:ascii="Tahoma" w:hAnsi="Tahoma" w:cs="Tahoma"/>
          <w:sz w:val="19"/>
          <w:szCs w:val="19"/>
        </w:rPr>
        <w:t>Klientovi</w:t>
      </w:r>
      <w:r w:rsidRPr="002A5A4A">
        <w:rPr>
          <w:rFonts w:ascii="Tahoma" w:hAnsi="Tahoma" w:cs="Tahoma"/>
          <w:sz w:val="19"/>
          <w:szCs w:val="19"/>
        </w:rPr>
        <w:t xml:space="preserve"> doručeno</w:t>
      </w:r>
      <w:r>
        <w:rPr>
          <w:rFonts w:ascii="Tahoma" w:hAnsi="Tahoma" w:cs="Tahoma"/>
          <w:sz w:val="19"/>
          <w:szCs w:val="19"/>
        </w:rPr>
        <w:t xml:space="preserve"> </w:t>
      </w:r>
      <w:r w:rsidRPr="002A5A4A">
        <w:rPr>
          <w:rFonts w:ascii="Tahoma" w:hAnsi="Tahoma" w:cs="Tahoma"/>
          <w:sz w:val="19"/>
          <w:szCs w:val="19"/>
        </w:rPr>
        <w:t>Rozhodnutí o poskytnutí financování projektu (příslušný právní akt).</w:t>
      </w:r>
    </w:p>
    <w:p w14:paraId="5662F952" w14:textId="45CB77DC" w:rsidR="002A5A4A" w:rsidRPr="000305C0" w:rsidRDefault="000305C0" w:rsidP="000305C0">
      <w:pPr>
        <w:pStyle w:val="Zkladntext"/>
        <w:numPr>
          <w:ilvl w:val="0"/>
          <w:numId w:val="22"/>
        </w:numPr>
        <w:spacing w:after="160" w:line="276" w:lineRule="auto"/>
        <w:ind w:left="567" w:hanging="567"/>
        <w:jc w:val="both"/>
        <w:rPr>
          <w:rFonts w:ascii="Tahoma" w:hAnsi="Tahoma" w:cs="Tahoma"/>
          <w:sz w:val="19"/>
          <w:szCs w:val="19"/>
        </w:rPr>
      </w:pPr>
      <w:r>
        <w:rPr>
          <w:rFonts w:ascii="Tahoma" w:hAnsi="Tahoma" w:cs="Tahoma"/>
          <w:sz w:val="19"/>
          <w:szCs w:val="19"/>
        </w:rPr>
        <w:t>Klient</w:t>
      </w:r>
      <w:r w:rsidRPr="000305C0">
        <w:rPr>
          <w:rFonts w:ascii="Tahoma" w:hAnsi="Tahoma" w:cs="Tahoma"/>
          <w:sz w:val="19"/>
          <w:szCs w:val="19"/>
        </w:rPr>
        <w:t xml:space="preserve"> </w:t>
      </w:r>
      <w:r>
        <w:rPr>
          <w:rFonts w:ascii="Tahoma" w:hAnsi="Tahoma" w:cs="Tahoma"/>
          <w:sz w:val="19"/>
          <w:szCs w:val="19"/>
        </w:rPr>
        <w:t xml:space="preserve">prohlašuje, že </w:t>
      </w:r>
      <w:r w:rsidRPr="000305C0">
        <w:rPr>
          <w:rFonts w:ascii="Tahoma" w:hAnsi="Tahoma" w:cs="Tahoma"/>
          <w:sz w:val="19"/>
          <w:szCs w:val="19"/>
        </w:rPr>
        <w:t xml:space="preserve">je oprávněn k tomu, že si bude financování (dotace) obstarávat i vlastními silami či třetí osobou. </w:t>
      </w:r>
      <w:r>
        <w:rPr>
          <w:rFonts w:ascii="Tahoma" w:hAnsi="Tahoma" w:cs="Tahoma"/>
          <w:sz w:val="19"/>
          <w:szCs w:val="19"/>
        </w:rPr>
        <w:t xml:space="preserve">V </w:t>
      </w:r>
      <w:r w:rsidRPr="000305C0">
        <w:rPr>
          <w:rFonts w:ascii="Tahoma" w:hAnsi="Tahoma" w:cs="Tahoma"/>
          <w:sz w:val="19"/>
          <w:szCs w:val="19"/>
        </w:rPr>
        <w:t xml:space="preserve">takovém případě </w:t>
      </w:r>
      <w:r>
        <w:rPr>
          <w:rFonts w:ascii="Tahoma" w:hAnsi="Tahoma" w:cs="Tahoma"/>
          <w:sz w:val="19"/>
          <w:szCs w:val="19"/>
        </w:rPr>
        <w:t>Poradci</w:t>
      </w:r>
      <w:r w:rsidRPr="000305C0">
        <w:rPr>
          <w:rFonts w:ascii="Tahoma" w:hAnsi="Tahoma" w:cs="Tahoma"/>
          <w:sz w:val="19"/>
          <w:szCs w:val="19"/>
        </w:rPr>
        <w:t xml:space="preserve"> nevzniká nárok na honorář ve smyslu Fáze II, </w:t>
      </w:r>
      <w:r w:rsidR="00E60C32">
        <w:rPr>
          <w:rFonts w:ascii="Tahoma" w:hAnsi="Tahoma" w:cs="Tahoma"/>
          <w:sz w:val="19"/>
          <w:szCs w:val="19"/>
        </w:rPr>
        <w:t xml:space="preserve">Fáze </w:t>
      </w:r>
      <w:r w:rsidRPr="000305C0">
        <w:rPr>
          <w:rFonts w:ascii="Tahoma" w:hAnsi="Tahoma" w:cs="Tahoma"/>
          <w:sz w:val="19"/>
          <w:szCs w:val="19"/>
        </w:rPr>
        <w:t>III</w:t>
      </w:r>
      <w:r w:rsidR="00E60C32">
        <w:rPr>
          <w:rFonts w:ascii="Tahoma" w:hAnsi="Tahoma" w:cs="Tahoma"/>
          <w:sz w:val="19"/>
          <w:szCs w:val="19"/>
        </w:rPr>
        <w:t xml:space="preserve"> a Fáze</w:t>
      </w:r>
      <w:r w:rsidRPr="000305C0">
        <w:rPr>
          <w:rFonts w:ascii="Tahoma" w:hAnsi="Tahoma" w:cs="Tahoma"/>
          <w:sz w:val="19"/>
          <w:szCs w:val="19"/>
        </w:rPr>
        <w:t xml:space="preserve"> IV, pokud se obě strany výslovně nedohodli jinak.</w:t>
      </w:r>
    </w:p>
    <w:p w14:paraId="4BF714E2" w14:textId="111BA8BC" w:rsidR="00F37F3C" w:rsidRPr="00F37F3C" w:rsidRDefault="0059146D" w:rsidP="004226D5">
      <w:pPr>
        <w:pStyle w:val="Zkladntext"/>
        <w:numPr>
          <w:ilvl w:val="0"/>
          <w:numId w:val="22"/>
        </w:numPr>
        <w:spacing w:after="160" w:line="276" w:lineRule="auto"/>
        <w:ind w:left="567" w:hanging="567"/>
        <w:jc w:val="both"/>
        <w:rPr>
          <w:rFonts w:ascii="Tahoma" w:hAnsi="Tahoma" w:cs="Tahoma"/>
          <w:sz w:val="19"/>
          <w:szCs w:val="19"/>
        </w:rPr>
      </w:pPr>
      <w:r w:rsidRPr="7156716F">
        <w:rPr>
          <w:rFonts w:ascii="Tahoma" w:hAnsi="Tahoma" w:cs="Tahoma"/>
          <w:sz w:val="19"/>
          <w:szCs w:val="19"/>
        </w:rPr>
        <w:t xml:space="preserve">Smluvní odměna bude splatná na základě daňového dokladu (faktury) vystaveného Poradcem </w:t>
      </w:r>
      <w:r w:rsidR="00AE657B" w:rsidRPr="7156716F">
        <w:rPr>
          <w:rFonts w:ascii="Tahoma" w:hAnsi="Tahoma" w:cs="Tahoma"/>
          <w:sz w:val="19"/>
          <w:szCs w:val="19"/>
        </w:rPr>
        <w:t xml:space="preserve">dle jednotlivých </w:t>
      </w:r>
      <w:r w:rsidR="000305C0" w:rsidRPr="7156716F">
        <w:rPr>
          <w:rFonts w:ascii="Tahoma" w:hAnsi="Tahoma" w:cs="Tahoma"/>
          <w:sz w:val="19"/>
          <w:szCs w:val="19"/>
        </w:rPr>
        <w:t>Fází</w:t>
      </w:r>
      <w:r w:rsidR="00DA5583" w:rsidRPr="7156716F">
        <w:rPr>
          <w:rFonts w:ascii="Tahoma" w:hAnsi="Tahoma" w:cs="Tahoma"/>
          <w:sz w:val="19"/>
          <w:szCs w:val="19"/>
        </w:rPr>
        <w:t xml:space="preserve">, a to do </w:t>
      </w:r>
      <w:r w:rsidR="000305C0" w:rsidRPr="7156716F">
        <w:rPr>
          <w:rFonts w:ascii="Tahoma" w:hAnsi="Tahoma" w:cs="Tahoma"/>
          <w:sz w:val="19"/>
          <w:szCs w:val="19"/>
        </w:rPr>
        <w:t>šedesáti</w:t>
      </w:r>
      <w:r w:rsidR="00DA5583" w:rsidRPr="7156716F">
        <w:rPr>
          <w:rFonts w:ascii="Tahoma" w:hAnsi="Tahoma" w:cs="Tahoma"/>
          <w:sz w:val="19"/>
          <w:szCs w:val="19"/>
        </w:rPr>
        <w:t xml:space="preserve"> (</w:t>
      </w:r>
      <w:r w:rsidR="000305C0" w:rsidRPr="7156716F">
        <w:rPr>
          <w:rFonts w:ascii="Tahoma" w:hAnsi="Tahoma" w:cs="Tahoma"/>
          <w:sz w:val="19"/>
          <w:szCs w:val="19"/>
        </w:rPr>
        <w:t>6</w:t>
      </w:r>
      <w:r w:rsidR="00DA5583" w:rsidRPr="7156716F">
        <w:rPr>
          <w:rFonts w:ascii="Tahoma" w:hAnsi="Tahoma" w:cs="Tahoma"/>
          <w:sz w:val="19"/>
          <w:szCs w:val="19"/>
        </w:rPr>
        <w:t>0) kalendářních dnů od doručení vystaveného daňového dokladu (faktury) Klientovi</w:t>
      </w:r>
      <w:r w:rsidR="00257E13" w:rsidRPr="7156716F">
        <w:rPr>
          <w:rFonts w:ascii="Tahoma" w:hAnsi="Tahoma" w:cs="Tahoma"/>
          <w:sz w:val="19"/>
          <w:szCs w:val="19"/>
        </w:rPr>
        <w:t>.</w:t>
      </w:r>
      <w:r w:rsidR="00DA5583" w:rsidRPr="7156716F">
        <w:rPr>
          <w:rFonts w:ascii="Tahoma" w:hAnsi="Tahoma" w:cs="Tahoma"/>
          <w:sz w:val="19"/>
          <w:szCs w:val="19"/>
        </w:rPr>
        <w:t xml:space="preserve"> Daňový doklad (faktura) musí obsahovat náležitosti dle platných a účinných právních předpisů, zejména daňového dokladu ve smyslu zákona č. 235/2004 Sb., o dani z přidané hodnoty, ve znění pozdějších předpisů, a obchodní listiny ve smyslu ust. § 435 občanského zákoníku.</w:t>
      </w:r>
      <w:r w:rsidR="004226D5" w:rsidRPr="7156716F">
        <w:rPr>
          <w:rFonts w:ascii="Tahoma" w:hAnsi="Tahoma" w:cs="Tahoma"/>
          <w:sz w:val="19"/>
          <w:szCs w:val="19"/>
        </w:rPr>
        <w:t xml:space="preserve"> Daňové doklady (faktury) Poradce doručí Klientovi </w:t>
      </w:r>
      <w:r w:rsidR="00F37F3C" w:rsidRPr="7156716F">
        <w:rPr>
          <w:rFonts w:ascii="Tahoma" w:hAnsi="Tahoma" w:cs="Tahoma"/>
          <w:sz w:val="19"/>
          <w:szCs w:val="19"/>
        </w:rPr>
        <w:t>elektronicky</w:t>
      </w:r>
      <w:r w:rsidR="004226D5" w:rsidRPr="7156716F">
        <w:rPr>
          <w:rFonts w:ascii="Tahoma" w:hAnsi="Tahoma" w:cs="Tahoma"/>
          <w:sz w:val="19"/>
          <w:szCs w:val="19"/>
        </w:rPr>
        <w:t xml:space="preserve"> na </w:t>
      </w:r>
      <w:r w:rsidR="00C44CA5">
        <w:rPr>
          <w:rFonts w:ascii="Tahoma" w:hAnsi="Tahoma" w:cs="Tahoma"/>
          <w:sz w:val="19"/>
          <w:szCs w:val="19"/>
        </w:rPr>
        <w:t>XXXXXXXXXXX</w:t>
      </w:r>
      <w:r w:rsidR="004226D5" w:rsidRPr="7156716F">
        <w:rPr>
          <w:rFonts w:ascii="Tahoma" w:hAnsi="Tahoma" w:cs="Tahoma"/>
          <w:sz w:val="19"/>
          <w:szCs w:val="19"/>
        </w:rPr>
        <w:t>.</w:t>
      </w:r>
      <w:r w:rsidR="00F37F3C" w:rsidRPr="7156716F">
        <w:rPr>
          <w:rFonts w:ascii="Tahoma" w:hAnsi="Tahoma" w:cs="Tahoma"/>
          <w:sz w:val="19"/>
          <w:szCs w:val="19"/>
        </w:rPr>
        <w:t xml:space="preserve"> Součástí daňového dokladu (faktury) bude soupis skutečně provedených prací a výkonů, který bude Klientem písemně předem odsouhlasen. Klient nebude poskytovat zálohy.</w:t>
      </w:r>
    </w:p>
    <w:p w14:paraId="4D745F33" w14:textId="4DDCDE45" w:rsidR="0095208E" w:rsidRDefault="004E379D" w:rsidP="00AC2C60">
      <w:pPr>
        <w:pStyle w:val="Zkladntext"/>
        <w:numPr>
          <w:ilvl w:val="0"/>
          <w:numId w:val="22"/>
        </w:numPr>
        <w:spacing w:after="160" w:line="276" w:lineRule="auto"/>
        <w:ind w:left="567" w:hanging="567"/>
        <w:jc w:val="both"/>
        <w:rPr>
          <w:rFonts w:ascii="Tahoma" w:hAnsi="Tahoma" w:cs="Tahoma"/>
          <w:sz w:val="19"/>
          <w:szCs w:val="19"/>
        </w:rPr>
      </w:pPr>
      <w:r w:rsidRPr="00ED1F6E">
        <w:rPr>
          <w:rFonts w:ascii="Tahoma" w:hAnsi="Tahoma" w:cs="Tahoma"/>
          <w:sz w:val="19"/>
          <w:szCs w:val="19"/>
        </w:rPr>
        <w:t>Stane-li se Poradce v průběhu platnosti Smlouvy plátcem DPH, bude k</w:t>
      </w:r>
      <w:r w:rsidR="0095208E" w:rsidRPr="00ED1F6E">
        <w:rPr>
          <w:rFonts w:ascii="Tahoma" w:hAnsi="Tahoma" w:cs="Tahoma"/>
          <w:sz w:val="19"/>
          <w:szCs w:val="19"/>
        </w:rPr>
        <w:t xml:space="preserve">e smluvní </w:t>
      </w:r>
      <w:r w:rsidR="00F60646">
        <w:rPr>
          <w:rFonts w:ascii="Tahoma" w:hAnsi="Tahoma" w:cs="Tahoma"/>
          <w:sz w:val="19"/>
          <w:szCs w:val="19"/>
        </w:rPr>
        <w:t xml:space="preserve">odměně </w:t>
      </w:r>
      <w:r w:rsidR="0095208E" w:rsidRPr="00ED1F6E">
        <w:rPr>
          <w:rFonts w:ascii="Tahoma" w:hAnsi="Tahoma" w:cs="Tahoma"/>
          <w:sz w:val="19"/>
          <w:szCs w:val="19"/>
        </w:rPr>
        <w:t>připočten</w:t>
      </w:r>
      <w:r w:rsidR="00B01BB5" w:rsidRPr="00ED1F6E">
        <w:rPr>
          <w:rFonts w:ascii="Tahoma" w:hAnsi="Tahoma" w:cs="Tahoma"/>
          <w:sz w:val="19"/>
          <w:szCs w:val="19"/>
        </w:rPr>
        <w:t>o</w:t>
      </w:r>
      <w:r w:rsidR="0095208E" w:rsidRPr="00ED1F6E">
        <w:rPr>
          <w:rFonts w:ascii="Tahoma" w:hAnsi="Tahoma" w:cs="Tahoma"/>
          <w:sz w:val="19"/>
          <w:szCs w:val="19"/>
        </w:rPr>
        <w:t xml:space="preserve"> DPH </w:t>
      </w:r>
      <w:r w:rsidR="00B01BB5" w:rsidRPr="00ED1F6E">
        <w:rPr>
          <w:rFonts w:ascii="Tahoma" w:hAnsi="Tahoma" w:cs="Tahoma"/>
          <w:sz w:val="19"/>
          <w:szCs w:val="19"/>
        </w:rPr>
        <w:t>v zákonné výši</w:t>
      </w:r>
      <w:r w:rsidR="00815353" w:rsidRPr="00ED1F6E">
        <w:rPr>
          <w:rFonts w:ascii="Tahoma" w:hAnsi="Tahoma" w:cs="Tahoma"/>
          <w:sz w:val="19"/>
          <w:szCs w:val="19"/>
        </w:rPr>
        <w:t>.</w:t>
      </w:r>
      <w:r w:rsidR="0095208E" w:rsidRPr="00ED1F6E">
        <w:rPr>
          <w:rFonts w:ascii="Tahoma" w:hAnsi="Tahoma" w:cs="Tahoma"/>
          <w:sz w:val="19"/>
          <w:szCs w:val="19"/>
        </w:rPr>
        <w:t xml:space="preserve"> </w:t>
      </w:r>
    </w:p>
    <w:p w14:paraId="428AC521" w14:textId="7884875C" w:rsidR="00A01745" w:rsidRPr="0051180D" w:rsidRDefault="00A01745" w:rsidP="00AC2C60">
      <w:pPr>
        <w:pStyle w:val="Zkladntext"/>
        <w:numPr>
          <w:ilvl w:val="0"/>
          <w:numId w:val="22"/>
        </w:numPr>
        <w:spacing w:after="160" w:line="276" w:lineRule="auto"/>
        <w:ind w:left="567" w:hanging="567"/>
        <w:jc w:val="both"/>
        <w:rPr>
          <w:rFonts w:ascii="Tahoma" w:hAnsi="Tahoma" w:cs="Tahoma"/>
          <w:sz w:val="19"/>
          <w:szCs w:val="19"/>
        </w:rPr>
      </w:pPr>
      <w:r w:rsidRPr="00851F43">
        <w:rPr>
          <w:rFonts w:ascii="Tahoma" w:hAnsi="Tahoma" w:cs="Tahoma"/>
          <w:sz w:val="19"/>
          <w:szCs w:val="19"/>
        </w:rPr>
        <w:t xml:space="preserve">Daňový doklad </w:t>
      </w:r>
      <w:r>
        <w:rPr>
          <w:rFonts w:ascii="Tahoma" w:hAnsi="Tahoma" w:cs="Tahoma"/>
          <w:sz w:val="19"/>
          <w:szCs w:val="19"/>
        </w:rPr>
        <w:t xml:space="preserve">(faktura) </w:t>
      </w:r>
      <w:r w:rsidRPr="00851F43">
        <w:rPr>
          <w:rFonts w:ascii="Tahoma" w:hAnsi="Tahoma" w:cs="Tahoma"/>
          <w:sz w:val="19"/>
          <w:szCs w:val="19"/>
        </w:rPr>
        <w:t xml:space="preserve">bude zaslán na </w:t>
      </w:r>
      <w:r w:rsidRPr="0051180D">
        <w:rPr>
          <w:rFonts w:ascii="Tahoma" w:hAnsi="Tahoma" w:cs="Tahoma"/>
          <w:sz w:val="19"/>
          <w:szCs w:val="19"/>
        </w:rPr>
        <w:t>adresu sídla Klienta. Klient je oprávněn jednostranným písemným oznámením doručovací adresu změnit s účinky od prvního (1.) dne měsíce následujícího po doručení oznámení o změně</w:t>
      </w:r>
      <w:r w:rsidR="0072797F">
        <w:rPr>
          <w:rFonts w:ascii="Tahoma" w:hAnsi="Tahoma" w:cs="Tahoma"/>
          <w:sz w:val="19"/>
          <w:szCs w:val="19"/>
        </w:rPr>
        <w:t xml:space="preserve"> Poradci</w:t>
      </w:r>
      <w:r w:rsidRPr="0051180D">
        <w:rPr>
          <w:rFonts w:ascii="Tahoma" w:hAnsi="Tahoma" w:cs="Tahoma"/>
          <w:sz w:val="19"/>
          <w:szCs w:val="19"/>
        </w:rPr>
        <w:t>. Smluvní strany se dohodly, že na daňovém dokladu (faktuře) bude uváděno číslo Smlouvy sdělené Klientem.</w:t>
      </w:r>
    </w:p>
    <w:p w14:paraId="6E30005C" w14:textId="71EBE228" w:rsidR="00A01745" w:rsidRPr="005C1DF5" w:rsidRDefault="00A01745" w:rsidP="00AC2C60">
      <w:pPr>
        <w:pStyle w:val="Zkladntext"/>
        <w:numPr>
          <w:ilvl w:val="0"/>
          <w:numId w:val="22"/>
        </w:numPr>
        <w:spacing w:after="160" w:line="276" w:lineRule="auto"/>
        <w:ind w:left="567" w:hanging="567"/>
        <w:jc w:val="both"/>
        <w:rPr>
          <w:rFonts w:ascii="Tahoma" w:hAnsi="Tahoma" w:cs="Tahoma"/>
          <w:sz w:val="19"/>
          <w:szCs w:val="19"/>
        </w:rPr>
      </w:pPr>
      <w:r w:rsidRPr="0041281B">
        <w:rPr>
          <w:rFonts w:ascii="Tahoma" w:hAnsi="Tahoma" w:cs="Tahoma"/>
          <w:sz w:val="19"/>
          <w:szCs w:val="19"/>
        </w:rPr>
        <w:lastRenderedPageBreak/>
        <w:t xml:space="preserve">Klient je oprávněn ve lhůtě splatnosti </w:t>
      </w:r>
      <w:r>
        <w:rPr>
          <w:rFonts w:ascii="Tahoma" w:hAnsi="Tahoma" w:cs="Tahoma"/>
          <w:sz w:val="19"/>
          <w:szCs w:val="19"/>
        </w:rPr>
        <w:t xml:space="preserve">Poradci </w:t>
      </w:r>
      <w:r w:rsidRPr="0041281B">
        <w:rPr>
          <w:rFonts w:ascii="Tahoma" w:hAnsi="Tahoma" w:cs="Tahoma"/>
          <w:sz w:val="19"/>
          <w:szCs w:val="19"/>
        </w:rPr>
        <w:t>vrátit s písemným zdůvodněním bez zaplacení daňový doklad (fakturu), který nebude mít náležitosti daňového dokladu (faktury), bude předložen předčasně, nebo nebude mít náležitosti sjednané v</w:t>
      </w:r>
      <w:r>
        <w:rPr>
          <w:rFonts w:ascii="Tahoma" w:hAnsi="Tahoma" w:cs="Tahoma"/>
          <w:sz w:val="19"/>
          <w:szCs w:val="19"/>
        </w:rPr>
        <w:t>e</w:t>
      </w:r>
      <w:r w:rsidRPr="0041281B">
        <w:rPr>
          <w:rFonts w:ascii="Tahoma" w:hAnsi="Tahoma" w:cs="Tahoma"/>
          <w:sz w:val="19"/>
          <w:szCs w:val="19"/>
        </w:rPr>
        <w:t xml:space="preserve"> Smlouvě. V</w:t>
      </w:r>
      <w:r>
        <w:rPr>
          <w:rFonts w:ascii="Tahoma" w:hAnsi="Tahoma" w:cs="Tahoma"/>
          <w:sz w:val="19"/>
          <w:szCs w:val="19"/>
        </w:rPr>
        <w:t> </w:t>
      </w:r>
      <w:r w:rsidRPr="0041281B">
        <w:rPr>
          <w:rFonts w:ascii="Tahoma" w:hAnsi="Tahoma" w:cs="Tahoma"/>
          <w:sz w:val="19"/>
          <w:szCs w:val="19"/>
        </w:rPr>
        <w:t>takovém případě běží nová lhůta splatnosti v</w:t>
      </w:r>
      <w:r w:rsidR="00904DDA">
        <w:rPr>
          <w:rFonts w:ascii="Tahoma" w:hAnsi="Tahoma" w:cs="Tahoma"/>
          <w:sz w:val="19"/>
          <w:szCs w:val="19"/>
        </w:rPr>
        <w:t> </w:t>
      </w:r>
      <w:r w:rsidRPr="0041281B">
        <w:rPr>
          <w:rFonts w:ascii="Tahoma" w:hAnsi="Tahoma" w:cs="Tahoma"/>
          <w:sz w:val="19"/>
          <w:szCs w:val="19"/>
        </w:rPr>
        <w:t xml:space="preserve">délce </w:t>
      </w:r>
      <w:r w:rsidRPr="005C1DF5">
        <w:rPr>
          <w:rFonts w:ascii="Tahoma" w:hAnsi="Tahoma" w:cs="Tahoma"/>
          <w:sz w:val="19"/>
          <w:szCs w:val="19"/>
        </w:rPr>
        <w:t>patnácti (15) kalendářních dnů ode dne doručení bezvadného daňového dokladu (faktury)</w:t>
      </w:r>
      <w:r w:rsidR="00DA5583" w:rsidRPr="005C1DF5">
        <w:rPr>
          <w:rFonts w:ascii="Tahoma" w:hAnsi="Tahoma" w:cs="Tahoma"/>
          <w:sz w:val="19"/>
          <w:szCs w:val="19"/>
        </w:rPr>
        <w:t>.</w:t>
      </w:r>
    </w:p>
    <w:p w14:paraId="112024DC" w14:textId="76A0FE9E" w:rsidR="00815705" w:rsidRPr="00AF3573" w:rsidRDefault="00815705" w:rsidP="00AF3573">
      <w:pPr>
        <w:spacing w:after="0" w:line="276" w:lineRule="auto"/>
        <w:jc w:val="center"/>
        <w:rPr>
          <w:rFonts w:ascii="Tahoma" w:hAnsi="Tahoma" w:cs="Tahoma"/>
          <w:b/>
          <w:bCs/>
          <w:sz w:val="19"/>
          <w:szCs w:val="19"/>
        </w:rPr>
      </w:pPr>
      <w:r w:rsidRPr="005C1DF5">
        <w:rPr>
          <w:rFonts w:ascii="Tahoma" w:hAnsi="Tahoma" w:cs="Tahoma"/>
          <w:b/>
          <w:bCs/>
          <w:sz w:val="19"/>
          <w:szCs w:val="19"/>
        </w:rPr>
        <w:t>V.</w:t>
      </w:r>
    </w:p>
    <w:p w14:paraId="7DC6843D" w14:textId="6972EAE4" w:rsidR="00815705" w:rsidRPr="002B7184" w:rsidRDefault="00815705" w:rsidP="00AF3573">
      <w:pPr>
        <w:spacing w:after="40" w:line="276" w:lineRule="auto"/>
        <w:jc w:val="center"/>
        <w:rPr>
          <w:rFonts w:ascii="Tahoma" w:hAnsi="Tahoma"/>
          <w:b/>
          <w:smallCaps/>
          <w:sz w:val="19"/>
        </w:rPr>
      </w:pPr>
      <w:r w:rsidRPr="002B7184">
        <w:rPr>
          <w:rFonts w:ascii="Tahoma" w:hAnsi="Tahoma"/>
          <w:b/>
          <w:smallCaps/>
          <w:sz w:val="19"/>
        </w:rPr>
        <w:t>Závěrečná ustanovení</w:t>
      </w:r>
    </w:p>
    <w:p w14:paraId="395C8D37" w14:textId="7AC9ED14" w:rsidR="007C7C0F" w:rsidRPr="00795929" w:rsidRDefault="00316816" w:rsidP="00AC2C60">
      <w:pPr>
        <w:pStyle w:val="Zkladntext"/>
        <w:numPr>
          <w:ilvl w:val="0"/>
          <w:numId w:val="23"/>
        </w:numPr>
        <w:spacing w:after="160" w:line="276" w:lineRule="auto"/>
        <w:ind w:left="567" w:hanging="567"/>
        <w:jc w:val="both"/>
        <w:rPr>
          <w:rFonts w:ascii="Tahoma" w:hAnsi="Tahoma" w:cs="Tahoma"/>
          <w:sz w:val="19"/>
          <w:szCs w:val="19"/>
        </w:rPr>
      </w:pPr>
      <w:r w:rsidRPr="000305C0">
        <w:rPr>
          <w:rFonts w:ascii="Tahoma" w:hAnsi="Tahoma" w:cs="Tahoma"/>
          <w:bCs/>
          <w:sz w:val="19"/>
          <w:szCs w:val="19"/>
        </w:rPr>
        <w:t>Smlouva se uzavírá na dobu určitou</w:t>
      </w:r>
      <w:r>
        <w:rPr>
          <w:rFonts w:ascii="Tahoma" w:hAnsi="Tahoma" w:cs="Tahoma"/>
          <w:bCs/>
          <w:sz w:val="19"/>
          <w:szCs w:val="19"/>
        </w:rPr>
        <w:t>,</w:t>
      </w:r>
      <w:r w:rsidRPr="000305C0">
        <w:rPr>
          <w:rFonts w:ascii="Tahoma" w:hAnsi="Tahoma" w:cs="Tahoma"/>
          <w:bCs/>
          <w:sz w:val="19"/>
          <w:szCs w:val="19"/>
        </w:rPr>
        <w:t xml:space="preserve"> a to na </w:t>
      </w:r>
      <w:r>
        <w:rPr>
          <w:rFonts w:ascii="Tahoma" w:hAnsi="Tahoma" w:cs="Tahoma"/>
          <w:bCs/>
          <w:sz w:val="19"/>
          <w:szCs w:val="19"/>
        </w:rPr>
        <w:t>dva (</w:t>
      </w:r>
      <w:r w:rsidRPr="000305C0">
        <w:rPr>
          <w:rFonts w:ascii="Tahoma" w:hAnsi="Tahoma" w:cs="Tahoma"/>
          <w:bCs/>
          <w:sz w:val="19"/>
          <w:szCs w:val="19"/>
        </w:rPr>
        <w:t>2</w:t>
      </w:r>
      <w:r>
        <w:rPr>
          <w:rFonts w:ascii="Tahoma" w:hAnsi="Tahoma" w:cs="Tahoma"/>
          <w:bCs/>
          <w:sz w:val="19"/>
          <w:szCs w:val="19"/>
        </w:rPr>
        <w:t>)</w:t>
      </w:r>
      <w:r w:rsidRPr="000305C0">
        <w:rPr>
          <w:rFonts w:ascii="Tahoma" w:hAnsi="Tahoma" w:cs="Tahoma"/>
          <w:bCs/>
          <w:sz w:val="19"/>
          <w:szCs w:val="19"/>
        </w:rPr>
        <w:t xml:space="preserve"> roky</w:t>
      </w:r>
      <w:r>
        <w:rPr>
          <w:rFonts w:ascii="Tahoma" w:hAnsi="Tahoma" w:cs="Tahoma"/>
          <w:bCs/>
          <w:sz w:val="19"/>
          <w:szCs w:val="19"/>
        </w:rPr>
        <w:t>,</w:t>
      </w:r>
      <w:r w:rsidRPr="000305C0">
        <w:rPr>
          <w:rFonts w:ascii="Tahoma" w:hAnsi="Tahoma" w:cs="Tahoma"/>
          <w:bCs/>
          <w:sz w:val="19"/>
          <w:szCs w:val="19"/>
        </w:rPr>
        <w:t xml:space="preserve"> nebo do výše čerpání </w:t>
      </w:r>
      <w:r>
        <w:rPr>
          <w:rFonts w:ascii="Tahoma" w:hAnsi="Tahoma" w:cs="Tahoma"/>
          <w:bCs/>
          <w:sz w:val="19"/>
          <w:szCs w:val="19"/>
        </w:rPr>
        <w:t>limitu dle čl. IV. odst. </w:t>
      </w:r>
      <w:r w:rsidR="00165E0C">
        <w:rPr>
          <w:rFonts w:ascii="Tahoma" w:hAnsi="Tahoma" w:cs="Tahoma"/>
          <w:bCs/>
          <w:sz w:val="19"/>
          <w:szCs w:val="19"/>
        </w:rPr>
        <w:t>4.</w:t>
      </w:r>
      <w:r>
        <w:rPr>
          <w:rFonts w:ascii="Tahoma" w:hAnsi="Tahoma" w:cs="Tahoma"/>
          <w:bCs/>
          <w:sz w:val="19"/>
          <w:szCs w:val="19"/>
        </w:rPr>
        <w:t> Smlouvy, a to</w:t>
      </w:r>
      <w:r w:rsidRPr="000305C0">
        <w:rPr>
          <w:rFonts w:ascii="Tahoma" w:hAnsi="Tahoma" w:cs="Tahoma"/>
          <w:bCs/>
          <w:sz w:val="19"/>
          <w:szCs w:val="19"/>
        </w:rPr>
        <w:t xml:space="preserve"> včetně Podílu</w:t>
      </w:r>
      <w:r w:rsidR="00C32CE1" w:rsidRPr="00795929">
        <w:rPr>
          <w:rFonts w:ascii="Tahoma" w:hAnsi="Tahoma" w:cs="Tahoma"/>
          <w:sz w:val="19"/>
          <w:szCs w:val="19"/>
        </w:rPr>
        <w:t>, podle toho, která z těchto skutečností nastane dříve</w:t>
      </w:r>
      <w:r w:rsidR="00374031" w:rsidRPr="00795929">
        <w:rPr>
          <w:rFonts w:ascii="Tahoma" w:hAnsi="Tahoma" w:cs="Tahoma"/>
          <w:sz w:val="19"/>
          <w:szCs w:val="19"/>
        </w:rPr>
        <w:t>.</w:t>
      </w:r>
      <w:r w:rsidR="002B7184" w:rsidRPr="00795929">
        <w:rPr>
          <w:rFonts w:ascii="Tahoma" w:hAnsi="Tahoma" w:cs="Tahoma"/>
          <w:sz w:val="19"/>
          <w:szCs w:val="19"/>
        </w:rPr>
        <w:t xml:space="preserve"> </w:t>
      </w:r>
    </w:p>
    <w:p w14:paraId="57C663E4" w14:textId="14498CC8" w:rsidR="00316816" w:rsidRDefault="00316816" w:rsidP="00AC2C60">
      <w:pPr>
        <w:pStyle w:val="Zkladntext"/>
        <w:numPr>
          <w:ilvl w:val="0"/>
          <w:numId w:val="23"/>
        </w:numPr>
        <w:spacing w:after="160" w:line="276" w:lineRule="auto"/>
        <w:ind w:left="567" w:hanging="567"/>
        <w:jc w:val="both"/>
        <w:rPr>
          <w:rFonts w:ascii="Tahoma" w:hAnsi="Tahoma" w:cs="Tahoma"/>
          <w:sz w:val="19"/>
          <w:szCs w:val="19"/>
        </w:rPr>
      </w:pPr>
      <w:r w:rsidRPr="00316816">
        <w:rPr>
          <w:rFonts w:ascii="Tahoma" w:hAnsi="Tahoma" w:cs="Tahoma"/>
          <w:sz w:val="19"/>
          <w:szCs w:val="19"/>
        </w:rPr>
        <w:t xml:space="preserve">Po ukončení platnosti </w:t>
      </w:r>
      <w:r>
        <w:rPr>
          <w:rFonts w:ascii="Tahoma" w:hAnsi="Tahoma" w:cs="Tahoma"/>
          <w:sz w:val="19"/>
          <w:szCs w:val="19"/>
        </w:rPr>
        <w:t>S</w:t>
      </w:r>
      <w:r w:rsidRPr="00316816">
        <w:rPr>
          <w:rFonts w:ascii="Tahoma" w:hAnsi="Tahoma" w:cs="Tahoma"/>
          <w:sz w:val="19"/>
          <w:szCs w:val="19"/>
        </w:rPr>
        <w:t xml:space="preserve">mlouvy přecházejí práva na výstupy z </w:t>
      </w:r>
      <w:r>
        <w:rPr>
          <w:rFonts w:ascii="Tahoma" w:hAnsi="Tahoma" w:cs="Tahoma"/>
          <w:sz w:val="19"/>
          <w:szCs w:val="19"/>
        </w:rPr>
        <w:t>F</w:t>
      </w:r>
      <w:r w:rsidRPr="00316816">
        <w:rPr>
          <w:rFonts w:ascii="Tahoma" w:hAnsi="Tahoma" w:cs="Tahoma"/>
          <w:sz w:val="19"/>
          <w:szCs w:val="19"/>
        </w:rPr>
        <w:t xml:space="preserve">áze I, </w:t>
      </w:r>
      <w:r>
        <w:rPr>
          <w:rFonts w:ascii="Tahoma" w:hAnsi="Tahoma" w:cs="Tahoma"/>
          <w:sz w:val="19"/>
          <w:szCs w:val="19"/>
        </w:rPr>
        <w:t xml:space="preserve">Fáze </w:t>
      </w:r>
      <w:r w:rsidRPr="00316816">
        <w:rPr>
          <w:rFonts w:ascii="Tahoma" w:hAnsi="Tahoma" w:cs="Tahoma"/>
          <w:sz w:val="19"/>
          <w:szCs w:val="19"/>
        </w:rPr>
        <w:t xml:space="preserve">II i </w:t>
      </w:r>
      <w:r>
        <w:rPr>
          <w:rFonts w:ascii="Tahoma" w:hAnsi="Tahoma" w:cs="Tahoma"/>
          <w:sz w:val="19"/>
          <w:szCs w:val="19"/>
        </w:rPr>
        <w:t xml:space="preserve">Fáze </w:t>
      </w:r>
      <w:r w:rsidRPr="00316816">
        <w:rPr>
          <w:rFonts w:ascii="Tahoma" w:hAnsi="Tahoma" w:cs="Tahoma"/>
          <w:sz w:val="19"/>
          <w:szCs w:val="19"/>
        </w:rPr>
        <w:t xml:space="preserve">III na </w:t>
      </w:r>
      <w:r>
        <w:rPr>
          <w:rFonts w:ascii="Tahoma" w:hAnsi="Tahoma" w:cs="Tahoma"/>
          <w:sz w:val="19"/>
          <w:szCs w:val="19"/>
        </w:rPr>
        <w:t>Klienta</w:t>
      </w:r>
      <w:r w:rsidRPr="00316816">
        <w:rPr>
          <w:rFonts w:ascii="Tahoma" w:hAnsi="Tahoma" w:cs="Tahoma"/>
          <w:sz w:val="19"/>
          <w:szCs w:val="19"/>
        </w:rPr>
        <w:t>.</w:t>
      </w:r>
    </w:p>
    <w:p w14:paraId="1D0CD600" w14:textId="23A3A38F" w:rsidR="00FB542B" w:rsidRPr="005C1DF5" w:rsidRDefault="00AF3573" w:rsidP="00AC2C60">
      <w:pPr>
        <w:pStyle w:val="Zkladntext"/>
        <w:numPr>
          <w:ilvl w:val="0"/>
          <w:numId w:val="23"/>
        </w:numPr>
        <w:spacing w:after="160" w:line="276" w:lineRule="auto"/>
        <w:ind w:left="567" w:hanging="567"/>
        <w:jc w:val="both"/>
        <w:rPr>
          <w:rFonts w:ascii="Tahoma" w:hAnsi="Tahoma" w:cs="Tahoma"/>
          <w:sz w:val="19"/>
          <w:szCs w:val="19"/>
        </w:rPr>
      </w:pPr>
      <w:r w:rsidRPr="00AF3573">
        <w:rPr>
          <w:rFonts w:ascii="Tahoma" w:hAnsi="Tahoma" w:cs="Tahoma"/>
          <w:sz w:val="19"/>
          <w:szCs w:val="19"/>
        </w:rPr>
        <w:t>Právní vztahy založené Smlouvou se řídí českým právním řádem, zejména občanským zákoníkem.</w:t>
      </w:r>
      <w:r w:rsidR="00B94641" w:rsidRPr="00B94641">
        <w:rPr>
          <w:rFonts w:ascii="Tahoma" w:hAnsi="Tahoma" w:cs="Tahoma"/>
          <w:sz w:val="19"/>
          <w:szCs w:val="19"/>
        </w:rPr>
        <w:t xml:space="preserve"> </w:t>
      </w:r>
      <w:r w:rsidR="00B94641" w:rsidRPr="00AB60C7">
        <w:rPr>
          <w:rFonts w:ascii="Tahoma" w:hAnsi="Tahoma" w:cs="Tahoma"/>
          <w:sz w:val="19"/>
          <w:szCs w:val="19"/>
        </w:rPr>
        <w:t>K</w:t>
      </w:r>
      <w:r w:rsidR="005730C7">
        <w:rPr>
          <w:rFonts w:ascii="Tahoma" w:hAnsi="Tahoma" w:cs="Tahoma"/>
          <w:sz w:val="19"/>
          <w:szCs w:val="19"/>
        </w:rPr>
        <w:t> </w:t>
      </w:r>
      <w:r w:rsidR="00B94641" w:rsidRPr="00AB60C7">
        <w:rPr>
          <w:rFonts w:ascii="Tahoma" w:hAnsi="Tahoma" w:cs="Tahoma"/>
          <w:sz w:val="19"/>
          <w:szCs w:val="19"/>
        </w:rPr>
        <w:t>rozhodování sporů vzešlých z</w:t>
      </w:r>
      <w:r w:rsidR="00B94641">
        <w:rPr>
          <w:rFonts w:ascii="Tahoma" w:hAnsi="Tahoma" w:cs="Tahoma"/>
          <w:sz w:val="19"/>
          <w:szCs w:val="19"/>
        </w:rPr>
        <w:t>e S</w:t>
      </w:r>
      <w:r w:rsidR="00B94641" w:rsidRPr="00AB60C7">
        <w:rPr>
          <w:rFonts w:ascii="Tahoma" w:hAnsi="Tahoma" w:cs="Tahoma"/>
          <w:sz w:val="19"/>
          <w:szCs w:val="19"/>
        </w:rPr>
        <w:t xml:space="preserve">mlouvy jsou příslušné soudy České republiky podle platných právních </w:t>
      </w:r>
      <w:r w:rsidR="00B94641" w:rsidRPr="005C1DF5">
        <w:rPr>
          <w:rFonts w:ascii="Tahoma" w:hAnsi="Tahoma" w:cs="Tahoma"/>
          <w:sz w:val="19"/>
          <w:szCs w:val="19"/>
        </w:rPr>
        <w:t>předpisů.</w:t>
      </w:r>
    </w:p>
    <w:p w14:paraId="302B0B69" w14:textId="1C41E56A" w:rsidR="00316816" w:rsidRPr="00316816" w:rsidRDefault="00316816" w:rsidP="00316816">
      <w:pPr>
        <w:pStyle w:val="Zkladntext"/>
        <w:numPr>
          <w:ilvl w:val="0"/>
          <w:numId w:val="23"/>
        </w:numPr>
        <w:spacing w:after="160" w:line="276" w:lineRule="auto"/>
        <w:ind w:left="567" w:hanging="567"/>
        <w:jc w:val="both"/>
        <w:rPr>
          <w:rFonts w:ascii="Tahoma" w:hAnsi="Tahoma" w:cs="Tahoma"/>
          <w:sz w:val="19"/>
          <w:szCs w:val="19"/>
        </w:rPr>
      </w:pPr>
      <w:r w:rsidRPr="00316816">
        <w:rPr>
          <w:rFonts w:ascii="Tahoma" w:hAnsi="Tahoma" w:cs="Tahoma"/>
          <w:sz w:val="19"/>
          <w:szCs w:val="19"/>
        </w:rPr>
        <w:t xml:space="preserve">Kontaktní osobou na straně Klienta je </w:t>
      </w:r>
      <w:r w:rsidR="0055518C">
        <w:rPr>
          <w:rFonts w:ascii="Tahoma" w:hAnsi="Tahoma" w:cs="Tahoma"/>
          <w:sz w:val="19"/>
          <w:szCs w:val="19"/>
        </w:rPr>
        <w:t>XXXXXXXXXXXXXX</w:t>
      </w:r>
      <w:r w:rsidRPr="00316816">
        <w:rPr>
          <w:rFonts w:ascii="Tahoma" w:hAnsi="Tahoma" w:cs="Tahoma"/>
          <w:sz w:val="19"/>
          <w:szCs w:val="19"/>
        </w:rPr>
        <w:t xml:space="preserve">, tel. </w:t>
      </w:r>
      <w:r w:rsidR="0055518C">
        <w:rPr>
          <w:rFonts w:ascii="Tahoma" w:hAnsi="Tahoma" w:cs="Tahoma"/>
          <w:sz w:val="19"/>
          <w:szCs w:val="19"/>
        </w:rPr>
        <w:t>XXXXXXXXXXX</w:t>
      </w:r>
      <w:r w:rsidRPr="00316816">
        <w:rPr>
          <w:rFonts w:ascii="Tahoma" w:hAnsi="Tahoma" w:cs="Tahoma"/>
          <w:sz w:val="19"/>
          <w:szCs w:val="19"/>
        </w:rPr>
        <w:t xml:space="preserve">, email </w:t>
      </w:r>
      <w:r w:rsidR="0055518C" w:rsidRPr="0055518C">
        <w:rPr>
          <w:rFonts w:ascii="Tahoma" w:hAnsi="Tahoma" w:cs="Tahoma"/>
          <w:sz w:val="19"/>
          <w:szCs w:val="19"/>
        </w:rPr>
        <w:t>XXXXXXXXXXXX</w:t>
      </w:r>
      <w:r w:rsidRPr="00316816">
        <w:rPr>
          <w:rFonts w:ascii="Tahoma" w:hAnsi="Tahoma" w:cs="Tahoma"/>
          <w:sz w:val="19"/>
          <w:szCs w:val="19"/>
        </w:rPr>
        <w:t>.</w:t>
      </w:r>
      <w:r>
        <w:rPr>
          <w:rFonts w:ascii="Tahoma" w:hAnsi="Tahoma" w:cs="Tahoma"/>
          <w:sz w:val="19"/>
          <w:szCs w:val="19"/>
        </w:rPr>
        <w:t xml:space="preserve"> </w:t>
      </w:r>
      <w:r w:rsidRPr="00316816">
        <w:rPr>
          <w:rFonts w:ascii="Tahoma" w:hAnsi="Tahoma" w:cs="Tahoma"/>
          <w:sz w:val="19"/>
          <w:szCs w:val="19"/>
        </w:rPr>
        <w:t xml:space="preserve">Uvedená kontaktní osoba Klienta je oprávněna určit další kontaktní osoby, které mají být informovány o plnění Právních služeb. Kontaktní osobou na straně </w:t>
      </w:r>
      <w:r>
        <w:rPr>
          <w:rFonts w:ascii="Tahoma" w:hAnsi="Tahoma" w:cs="Tahoma"/>
          <w:sz w:val="19"/>
          <w:szCs w:val="19"/>
        </w:rPr>
        <w:t>Poradce</w:t>
      </w:r>
      <w:r w:rsidRPr="00316816">
        <w:rPr>
          <w:rFonts w:ascii="Tahoma" w:hAnsi="Tahoma" w:cs="Tahoma"/>
          <w:sz w:val="19"/>
          <w:szCs w:val="19"/>
        </w:rPr>
        <w:t xml:space="preserve"> je </w:t>
      </w:r>
      <w:r w:rsidR="0055518C">
        <w:rPr>
          <w:rFonts w:ascii="Tahoma" w:hAnsi="Tahoma" w:cs="Tahoma"/>
          <w:sz w:val="19"/>
          <w:szCs w:val="19"/>
        </w:rPr>
        <w:t>XXXXXXXXXX</w:t>
      </w:r>
      <w:r w:rsidRPr="00316816">
        <w:rPr>
          <w:rFonts w:ascii="Tahoma" w:hAnsi="Tahoma" w:cs="Tahoma"/>
          <w:sz w:val="19"/>
          <w:szCs w:val="19"/>
        </w:rPr>
        <w:t xml:space="preserve">, tel. </w:t>
      </w:r>
      <w:r w:rsidR="0055518C">
        <w:rPr>
          <w:rFonts w:ascii="Tahoma" w:hAnsi="Tahoma" w:cs="Tahoma"/>
          <w:sz w:val="19"/>
          <w:szCs w:val="19"/>
        </w:rPr>
        <w:t>XXXXXXXXXX</w:t>
      </w:r>
      <w:r w:rsidRPr="00316816">
        <w:rPr>
          <w:rFonts w:ascii="Tahoma" w:hAnsi="Tahoma" w:cs="Tahoma"/>
          <w:sz w:val="19"/>
          <w:szCs w:val="19"/>
        </w:rPr>
        <w:t>, email</w:t>
      </w:r>
      <w:r w:rsidR="00F60646">
        <w:rPr>
          <w:rFonts w:ascii="Tahoma" w:hAnsi="Tahoma" w:cs="Tahoma"/>
          <w:sz w:val="19"/>
          <w:szCs w:val="19"/>
        </w:rPr>
        <w:t xml:space="preserve"> </w:t>
      </w:r>
      <w:r w:rsidR="0055518C" w:rsidRPr="0055518C">
        <w:rPr>
          <w:rFonts w:ascii="Tahoma" w:hAnsi="Tahoma" w:cs="Tahoma"/>
          <w:sz w:val="19"/>
          <w:szCs w:val="19"/>
        </w:rPr>
        <w:t>XXXXXXXXXXXX</w:t>
      </w:r>
      <w:r w:rsidRPr="00316816">
        <w:rPr>
          <w:rFonts w:ascii="Tahoma" w:hAnsi="Tahoma" w:cs="Tahoma"/>
          <w:sz w:val="19"/>
          <w:szCs w:val="19"/>
        </w:rPr>
        <w:t>.</w:t>
      </w:r>
      <w:r w:rsidR="00F60646">
        <w:rPr>
          <w:rFonts w:ascii="Tahoma" w:hAnsi="Tahoma" w:cs="Tahoma"/>
          <w:sz w:val="19"/>
          <w:szCs w:val="19"/>
        </w:rPr>
        <w:t xml:space="preserve"> </w:t>
      </w:r>
      <w:r>
        <w:rPr>
          <w:rFonts w:ascii="Tahoma" w:hAnsi="Tahoma" w:cs="Tahoma"/>
          <w:sz w:val="19"/>
          <w:szCs w:val="19"/>
        </w:rPr>
        <w:t xml:space="preserve"> </w:t>
      </w:r>
    </w:p>
    <w:p w14:paraId="19F8C20A" w14:textId="1838542F" w:rsidR="00316816" w:rsidRPr="00316816" w:rsidRDefault="00316816" w:rsidP="00316816">
      <w:pPr>
        <w:pStyle w:val="Zkladntext"/>
        <w:numPr>
          <w:ilvl w:val="0"/>
          <w:numId w:val="23"/>
        </w:numPr>
        <w:spacing w:after="160" w:line="276" w:lineRule="auto"/>
        <w:ind w:left="567" w:hanging="567"/>
        <w:jc w:val="both"/>
        <w:rPr>
          <w:rFonts w:ascii="Tahoma" w:hAnsi="Tahoma" w:cs="Tahoma"/>
          <w:sz w:val="19"/>
          <w:szCs w:val="19"/>
        </w:rPr>
      </w:pPr>
      <w:r w:rsidRPr="00316816">
        <w:rPr>
          <w:rFonts w:ascii="Tahoma" w:hAnsi="Tahoma" w:cs="Tahoma"/>
          <w:sz w:val="19"/>
          <w:szCs w:val="19"/>
        </w:rPr>
        <w:t xml:space="preserve">Stane-li se některé ustanovení Smlouvy neplatné či neúčinné, nedotýká se to ostatních ustanovení Smlouvy, která zůstávají platná a účinná.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 </w:t>
      </w:r>
    </w:p>
    <w:p w14:paraId="7738C8C1" w14:textId="2CCD9D67" w:rsidR="00316816" w:rsidRPr="00316816" w:rsidRDefault="00316816" w:rsidP="00316816">
      <w:pPr>
        <w:pStyle w:val="Zkladntext"/>
        <w:numPr>
          <w:ilvl w:val="0"/>
          <w:numId w:val="23"/>
        </w:numPr>
        <w:spacing w:after="160" w:line="276" w:lineRule="auto"/>
        <w:ind w:left="567" w:hanging="567"/>
        <w:jc w:val="both"/>
        <w:rPr>
          <w:rFonts w:ascii="Tahoma" w:hAnsi="Tahoma" w:cs="Tahoma"/>
          <w:sz w:val="19"/>
          <w:szCs w:val="19"/>
        </w:rPr>
      </w:pPr>
      <w:r w:rsidRPr="00316816">
        <w:rPr>
          <w:rFonts w:ascii="Tahoma" w:hAnsi="Tahoma" w:cs="Tahoma"/>
          <w:sz w:val="19"/>
          <w:szCs w:val="19"/>
        </w:rPr>
        <w:t>Smlouvu může Klient i Poradce vypovědět i bez udání důvodu ve lhůtě jednoho (1) měsíce. Výpovědní doba začíná běžet prvním (1.) dnem následujícím po doručení výpovědi druhé Smluvní straně.</w:t>
      </w:r>
    </w:p>
    <w:p w14:paraId="587A8D1F" w14:textId="4B879327" w:rsidR="00316816" w:rsidRPr="00316816" w:rsidRDefault="00316816" w:rsidP="00316816">
      <w:pPr>
        <w:pStyle w:val="Zkladntext"/>
        <w:numPr>
          <w:ilvl w:val="0"/>
          <w:numId w:val="23"/>
        </w:numPr>
        <w:spacing w:after="160" w:line="276" w:lineRule="auto"/>
        <w:ind w:left="567" w:hanging="567"/>
        <w:jc w:val="both"/>
        <w:rPr>
          <w:rFonts w:ascii="Tahoma" w:hAnsi="Tahoma" w:cs="Tahoma"/>
          <w:sz w:val="19"/>
          <w:szCs w:val="19"/>
        </w:rPr>
      </w:pPr>
      <w:r w:rsidRPr="00316816">
        <w:rPr>
          <w:rFonts w:ascii="Tahoma" w:hAnsi="Tahoma" w:cs="Tahoma"/>
          <w:sz w:val="19"/>
          <w:szCs w:val="19"/>
        </w:rPr>
        <w:t>Smlouva nabývá platnosti dnem jejího podpisu oběma Smluvními stranami a účinnosti uveřejněním v registru smluv podle zákona č. 340/2015 Sb., o zvláštních podmínkách účinnosti některých smluv, uveřejňování těchto smluv a o registru smluv (zákon o registru smluv), ve znění pozdějších předpisů (dále jen „</w:t>
      </w:r>
      <w:r w:rsidRPr="00316816">
        <w:rPr>
          <w:rFonts w:ascii="Tahoma" w:hAnsi="Tahoma" w:cs="Tahoma"/>
          <w:b/>
          <w:bCs/>
          <w:sz w:val="19"/>
          <w:szCs w:val="19"/>
        </w:rPr>
        <w:t>zákon o registru smluv</w:t>
      </w:r>
      <w:r w:rsidRPr="00316816">
        <w:rPr>
          <w:rFonts w:ascii="Tahoma" w:hAnsi="Tahoma" w:cs="Tahoma"/>
          <w:sz w:val="19"/>
          <w:szCs w:val="19"/>
        </w:rPr>
        <w:t>“). Smluvní strany se dohodly, že uveřejnění Smlouvy v registru smluv zajistí Klient.</w:t>
      </w:r>
    </w:p>
    <w:p w14:paraId="7084C596" w14:textId="00359BB8" w:rsidR="00316816" w:rsidRPr="00316816" w:rsidRDefault="00316816" w:rsidP="00316816">
      <w:pPr>
        <w:pStyle w:val="Zkladntext"/>
        <w:numPr>
          <w:ilvl w:val="0"/>
          <w:numId w:val="23"/>
        </w:numPr>
        <w:spacing w:after="160" w:line="276" w:lineRule="auto"/>
        <w:ind w:left="567" w:hanging="567"/>
        <w:jc w:val="both"/>
        <w:rPr>
          <w:rFonts w:ascii="Tahoma" w:hAnsi="Tahoma" w:cs="Tahoma"/>
          <w:sz w:val="19"/>
          <w:szCs w:val="19"/>
        </w:rPr>
      </w:pPr>
      <w:r>
        <w:rPr>
          <w:rFonts w:ascii="Tahoma" w:hAnsi="Tahoma" w:cs="Tahoma"/>
          <w:sz w:val="19"/>
          <w:szCs w:val="19"/>
        </w:rPr>
        <w:t>Poradce</w:t>
      </w:r>
      <w:r w:rsidRPr="00316816">
        <w:rPr>
          <w:rFonts w:ascii="Tahoma" w:hAnsi="Tahoma" w:cs="Tahoma"/>
          <w:sz w:val="19"/>
          <w:szCs w:val="19"/>
        </w:rPr>
        <w:t xml:space="preserve"> prohlašuje, že Smlouva neobsahuje informace, které nelze poskytovat podle právních předpisů upravujících svobodný přístup k informacím. Poradce bere na vědomí, že Klient coby povinná osoba ve smyslu zákona o registru smluv je povinen Smlouvu uveřejnit v registru smluv. Tato skutečnost nebrání </w:t>
      </w:r>
      <w:r>
        <w:rPr>
          <w:rFonts w:ascii="Tahoma" w:hAnsi="Tahoma" w:cs="Tahoma"/>
          <w:sz w:val="19"/>
          <w:szCs w:val="19"/>
        </w:rPr>
        <w:t>Poradci</w:t>
      </w:r>
      <w:r w:rsidRPr="00316816">
        <w:rPr>
          <w:rFonts w:ascii="Tahoma" w:hAnsi="Tahoma" w:cs="Tahoma"/>
          <w:sz w:val="19"/>
          <w:szCs w:val="19"/>
        </w:rPr>
        <w:t xml:space="preserve">, aby i z jeho strany došlo k uveřejnění této Smlouvy v registru smluv. Obě Smluvní strany jsou povinny nejpozději do deseti (10) dnů ode dne podpisu této Smlouvy provést kontrolu, zda je Smlouva uveřejněna v registru smluv. Zjistí-li </w:t>
      </w:r>
      <w:r>
        <w:rPr>
          <w:rFonts w:ascii="Tahoma" w:hAnsi="Tahoma" w:cs="Tahoma"/>
          <w:sz w:val="19"/>
          <w:szCs w:val="19"/>
        </w:rPr>
        <w:t>Poradce</w:t>
      </w:r>
      <w:r w:rsidRPr="00316816">
        <w:rPr>
          <w:rFonts w:ascii="Tahoma" w:hAnsi="Tahoma" w:cs="Tahoma"/>
          <w:sz w:val="19"/>
          <w:szCs w:val="19"/>
        </w:rPr>
        <w:t>, že Smlouva nebyla prostřednictvím registru smluv uveřejněna, je povinen neprodleně písemně informovat Klienta anebo Smlouvu sám uveřejnit.</w:t>
      </w:r>
    </w:p>
    <w:p w14:paraId="309CF7D7" w14:textId="77777777" w:rsidR="00316816" w:rsidRPr="00316816" w:rsidRDefault="00316816" w:rsidP="00316816">
      <w:pPr>
        <w:pStyle w:val="Zkladntext"/>
        <w:numPr>
          <w:ilvl w:val="0"/>
          <w:numId w:val="23"/>
        </w:numPr>
        <w:spacing w:after="160" w:line="276" w:lineRule="auto"/>
        <w:ind w:left="567" w:hanging="567"/>
        <w:jc w:val="both"/>
        <w:rPr>
          <w:rFonts w:ascii="Tahoma" w:hAnsi="Tahoma" w:cs="Tahoma"/>
          <w:sz w:val="19"/>
          <w:szCs w:val="19"/>
        </w:rPr>
      </w:pPr>
      <w:r w:rsidRPr="00316816">
        <w:rPr>
          <w:rFonts w:ascii="Tahoma" w:hAnsi="Tahoma" w:cs="Tahoma"/>
          <w:sz w:val="19"/>
          <w:szCs w:val="19"/>
        </w:rPr>
        <w:t>Při zpracování osobních údajů, ke kterému může v souvislosti s předmětem Smlouvy dojít, se Smluvní strany zavazují vystupovat tak, aby byly v co nejširší míře dodržovány povinnosti stanovené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316816">
        <w:rPr>
          <w:rFonts w:ascii="Tahoma" w:hAnsi="Tahoma" w:cs="Tahoma"/>
          <w:b/>
          <w:bCs/>
          <w:sz w:val="19"/>
          <w:szCs w:val="19"/>
        </w:rPr>
        <w:t>GDPR</w:t>
      </w:r>
      <w:r w:rsidRPr="00316816">
        <w:rPr>
          <w:rFonts w:ascii="Tahoma" w:hAnsi="Tahoma" w:cs="Tahoma"/>
          <w:sz w:val="19"/>
          <w:szCs w:val="19"/>
        </w:rPr>
        <w:t>“)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povinnosti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w:t>
      </w:r>
    </w:p>
    <w:p w14:paraId="10DCBFC3" w14:textId="77777777" w:rsidR="00316816" w:rsidRPr="00316816" w:rsidRDefault="00316816" w:rsidP="00316816">
      <w:pPr>
        <w:pStyle w:val="Zkladntext"/>
        <w:numPr>
          <w:ilvl w:val="0"/>
          <w:numId w:val="23"/>
        </w:numPr>
        <w:spacing w:after="160" w:line="276" w:lineRule="auto"/>
        <w:ind w:left="567" w:hanging="567"/>
        <w:jc w:val="both"/>
        <w:rPr>
          <w:rFonts w:ascii="Tahoma" w:hAnsi="Tahoma" w:cs="Tahoma"/>
          <w:sz w:val="19"/>
          <w:szCs w:val="19"/>
        </w:rPr>
      </w:pPr>
      <w:r w:rsidRPr="00316816">
        <w:rPr>
          <w:rFonts w:ascii="Tahoma" w:hAnsi="Tahoma" w:cs="Tahoma"/>
          <w:sz w:val="19"/>
          <w:szCs w:val="19"/>
        </w:rPr>
        <w:lastRenderedPageBreak/>
        <w:t>Smlouva je uzavírána v elektronické podobě.</w:t>
      </w:r>
    </w:p>
    <w:p w14:paraId="7FB54858" w14:textId="77777777" w:rsidR="00316816" w:rsidRPr="00316816" w:rsidRDefault="00316816" w:rsidP="00316816">
      <w:pPr>
        <w:pStyle w:val="Zkladntext"/>
        <w:numPr>
          <w:ilvl w:val="0"/>
          <w:numId w:val="23"/>
        </w:numPr>
        <w:spacing w:after="160" w:line="276" w:lineRule="auto"/>
        <w:ind w:left="567" w:hanging="567"/>
        <w:jc w:val="both"/>
        <w:rPr>
          <w:rFonts w:ascii="Tahoma" w:hAnsi="Tahoma" w:cs="Tahoma"/>
          <w:sz w:val="19"/>
          <w:szCs w:val="19"/>
        </w:rPr>
      </w:pPr>
      <w:r w:rsidRPr="00316816">
        <w:rPr>
          <w:rFonts w:ascii="Tahoma" w:hAnsi="Tahoma" w:cs="Tahoma"/>
          <w:sz w:val="19"/>
          <w:szCs w:val="19"/>
        </w:rPr>
        <w:t>Smlouva může být měněna pouze formou písemných vzestupně číslovaných dodatků podepsaných elektronicky k tomu oprávněnými zástupci obou Smluvních stran.</w:t>
      </w:r>
    </w:p>
    <w:p w14:paraId="4893DDAC" w14:textId="136D133B" w:rsidR="00AF3573" w:rsidRDefault="00316816" w:rsidP="00185DAD">
      <w:pPr>
        <w:pStyle w:val="Zkladntext"/>
        <w:numPr>
          <w:ilvl w:val="0"/>
          <w:numId w:val="23"/>
        </w:numPr>
        <w:spacing w:after="160" w:line="276" w:lineRule="auto"/>
        <w:ind w:left="567" w:hanging="567"/>
        <w:jc w:val="both"/>
        <w:rPr>
          <w:rFonts w:ascii="Tahoma" w:hAnsi="Tahoma" w:cs="Tahoma"/>
          <w:sz w:val="19"/>
          <w:szCs w:val="19"/>
        </w:rPr>
      </w:pPr>
      <w:r w:rsidRPr="00316816">
        <w:rPr>
          <w:rFonts w:ascii="Tahoma" w:hAnsi="Tahoma" w:cs="Tahoma"/>
          <w:sz w:val="19"/>
          <w:szCs w:val="19"/>
        </w:rPr>
        <w:t>Smluvní strany prohlašují, že Smlouva je souhlasným, svobodným a vážným projevem jejich skutečné vůle, na důkaz čehož připojují své podpisy.</w:t>
      </w:r>
    </w:p>
    <w:p w14:paraId="55CEA758" w14:textId="77777777" w:rsidR="00F60646" w:rsidRPr="00316816" w:rsidRDefault="00F60646" w:rsidP="00F60646">
      <w:pPr>
        <w:pStyle w:val="Zkladntext"/>
        <w:spacing w:after="160" w:line="276" w:lineRule="auto"/>
        <w:jc w:val="both"/>
        <w:rPr>
          <w:rFonts w:ascii="Tahoma" w:hAnsi="Tahoma" w:cs="Tahoma"/>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F3573" w:rsidRPr="00AF3573" w14:paraId="2806C16C" w14:textId="77777777" w:rsidTr="006B795F">
        <w:tc>
          <w:tcPr>
            <w:tcW w:w="4531" w:type="dxa"/>
          </w:tcPr>
          <w:p w14:paraId="6BABF622" w14:textId="677B09BF" w:rsidR="00AF3573" w:rsidRPr="00AF3573" w:rsidRDefault="00AF3573" w:rsidP="006B795F">
            <w:pPr>
              <w:spacing w:after="240" w:line="283" w:lineRule="auto"/>
              <w:rPr>
                <w:rFonts w:ascii="Tahoma" w:hAnsi="Tahoma" w:cs="Tahoma"/>
                <w:sz w:val="19"/>
                <w:szCs w:val="19"/>
              </w:rPr>
            </w:pPr>
            <w:r w:rsidRPr="00AF3573">
              <w:rPr>
                <w:rFonts w:ascii="Tahoma" w:hAnsi="Tahoma" w:cs="Tahoma"/>
                <w:sz w:val="19"/>
                <w:szCs w:val="19"/>
              </w:rPr>
              <w:t xml:space="preserve">V Praze dne </w:t>
            </w:r>
          </w:p>
        </w:tc>
        <w:tc>
          <w:tcPr>
            <w:tcW w:w="4531" w:type="dxa"/>
          </w:tcPr>
          <w:p w14:paraId="3F0E70B6" w14:textId="6DB7849A" w:rsidR="00AF3573" w:rsidRPr="00AF3573" w:rsidRDefault="00DF3558" w:rsidP="006B795F">
            <w:pPr>
              <w:spacing w:after="240" w:line="283" w:lineRule="auto"/>
              <w:rPr>
                <w:rFonts w:ascii="Tahoma" w:hAnsi="Tahoma" w:cs="Tahoma"/>
                <w:sz w:val="19"/>
                <w:szCs w:val="19"/>
              </w:rPr>
            </w:pPr>
            <w:r>
              <w:rPr>
                <w:rFonts w:ascii="Tahoma" w:hAnsi="Tahoma" w:cs="Tahoma"/>
                <w:sz w:val="19"/>
                <w:szCs w:val="19"/>
              </w:rPr>
              <w:t xml:space="preserve">           </w:t>
            </w:r>
            <w:r w:rsidR="00AF3573" w:rsidRPr="00AF3573">
              <w:rPr>
                <w:rFonts w:ascii="Tahoma" w:hAnsi="Tahoma" w:cs="Tahoma"/>
                <w:sz w:val="19"/>
                <w:szCs w:val="19"/>
              </w:rPr>
              <w:t xml:space="preserve">V Praze dne </w:t>
            </w:r>
          </w:p>
        </w:tc>
      </w:tr>
      <w:tr w:rsidR="00AF3573" w:rsidRPr="00AF3573" w14:paraId="76CC7321" w14:textId="77777777" w:rsidTr="00AF3573">
        <w:tc>
          <w:tcPr>
            <w:tcW w:w="4531" w:type="dxa"/>
          </w:tcPr>
          <w:p w14:paraId="263714C4" w14:textId="7E3BA0C3" w:rsidR="00AF3573" w:rsidRPr="00AF3573" w:rsidRDefault="00AF3573" w:rsidP="00380D07">
            <w:pPr>
              <w:spacing w:line="283" w:lineRule="auto"/>
              <w:rPr>
                <w:rFonts w:ascii="Tahoma" w:hAnsi="Tahoma" w:cs="Tahoma"/>
                <w:b/>
                <w:color w:val="000000"/>
                <w:sz w:val="19"/>
                <w:szCs w:val="19"/>
              </w:rPr>
            </w:pPr>
            <w:r w:rsidRPr="00AF3573">
              <w:rPr>
                <w:rFonts w:ascii="Tahoma" w:hAnsi="Tahoma" w:cs="Tahoma"/>
                <w:sz w:val="19"/>
                <w:szCs w:val="19"/>
              </w:rPr>
              <w:t xml:space="preserve">Za </w:t>
            </w:r>
            <w:r w:rsidR="00221CF3">
              <w:rPr>
                <w:rFonts w:ascii="Tahoma" w:hAnsi="Tahoma" w:cs="Tahoma"/>
                <w:b/>
                <w:bCs/>
                <w:sz w:val="19"/>
                <w:szCs w:val="19"/>
              </w:rPr>
              <w:t>Všeobecnou fakultní nemocnici v Praze</w:t>
            </w:r>
            <w:r w:rsidRPr="00AF3573">
              <w:rPr>
                <w:rFonts w:ascii="Tahoma" w:hAnsi="Tahoma" w:cs="Tahoma"/>
                <w:b/>
                <w:color w:val="000000"/>
                <w:sz w:val="19"/>
                <w:szCs w:val="19"/>
              </w:rPr>
              <w:t xml:space="preserve"> </w:t>
            </w:r>
          </w:p>
          <w:p w14:paraId="2A247673" w14:textId="77777777" w:rsidR="00AF3573" w:rsidRPr="00AF3573" w:rsidRDefault="00AF3573" w:rsidP="00380D07">
            <w:pPr>
              <w:pStyle w:val="Zkladntext"/>
              <w:spacing w:line="283" w:lineRule="auto"/>
              <w:rPr>
                <w:rFonts w:ascii="Tahoma" w:hAnsi="Tahoma" w:cs="Tahoma"/>
                <w:sz w:val="19"/>
                <w:szCs w:val="19"/>
              </w:rPr>
            </w:pPr>
          </w:p>
        </w:tc>
        <w:tc>
          <w:tcPr>
            <w:tcW w:w="4531" w:type="dxa"/>
          </w:tcPr>
          <w:p w14:paraId="53E0EC0C" w14:textId="75E579F7" w:rsidR="00AF3573" w:rsidRPr="00AF3573" w:rsidRDefault="00DF3558" w:rsidP="00380D07">
            <w:pPr>
              <w:pStyle w:val="Zkladntext"/>
              <w:spacing w:line="283" w:lineRule="auto"/>
              <w:rPr>
                <w:rFonts w:ascii="Tahoma" w:hAnsi="Tahoma" w:cs="Tahoma"/>
                <w:sz w:val="19"/>
                <w:szCs w:val="19"/>
              </w:rPr>
            </w:pPr>
            <w:r>
              <w:rPr>
                <w:rFonts w:ascii="Tahoma" w:hAnsi="Tahoma" w:cs="Tahoma"/>
                <w:sz w:val="19"/>
                <w:szCs w:val="19"/>
              </w:rPr>
              <w:t xml:space="preserve">           </w:t>
            </w:r>
            <w:r w:rsidR="00AF3573" w:rsidRPr="00AF3573">
              <w:rPr>
                <w:rFonts w:ascii="Tahoma" w:hAnsi="Tahoma" w:cs="Tahoma"/>
                <w:sz w:val="19"/>
                <w:szCs w:val="19"/>
              </w:rPr>
              <w:t xml:space="preserve">Za </w:t>
            </w:r>
            <w:r w:rsidR="00A514B7" w:rsidRPr="00ED1F6E">
              <w:rPr>
                <w:rFonts w:ascii="Tahoma" w:hAnsi="Tahoma" w:cs="Tahoma"/>
                <w:b/>
                <w:sz w:val="19"/>
                <w:szCs w:val="19"/>
              </w:rPr>
              <w:t>ACCESS EU</w:t>
            </w:r>
            <w:r w:rsidR="00F60646">
              <w:rPr>
                <w:rFonts w:ascii="Tahoma" w:hAnsi="Tahoma" w:cs="Tahoma"/>
                <w:b/>
                <w:sz w:val="19"/>
                <w:szCs w:val="19"/>
              </w:rPr>
              <w:t xml:space="preserve"> s.r.o.</w:t>
            </w:r>
          </w:p>
        </w:tc>
      </w:tr>
      <w:tr w:rsidR="00AF3573" w:rsidRPr="00AF3573" w14:paraId="124ACC6D" w14:textId="77777777" w:rsidTr="00AF3573">
        <w:tc>
          <w:tcPr>
            <w:tcW w:w="4531" w:type="dxa"/>
          </w:tcPr>
          <w:p w14:paraId="1C69B2F9" w14:textId="77777777" w:rsidR="00AF3573" w:rsidRPr="00AF3573" w:rsidRDefault="00AF3573" w:rsidP="00380D07">
            <w:pPr>
              <w:spacing w:line="283" w:lineRule="auto"/>
              <w:rPr>
                <w:rFonts w:ascii="Tahoma" w:hAnsi="Tahoma" w:cs="Tahoma"/>
                <w:sz w:val="19"/>
                <w:szCs w:val="19"/>
              </w:rPr>
            </w:pPr>
          </w:p>
        </w:tc>
        <w:tc>
          <w:tcPr>
            <w:tcW w:w="4531" w:type="dxa"/>
          </w:tcPr>
          <w:p w14:paraId="1E03C936" w14:textId="77777777" w:rsidR="00AF3573" w:rsidRPr="00AF3573" w:rsidRDefault="00AF3573" w:rsidP="00380D07">
            <w:pPr>
              <w:spacing w:line="283" w:lineRule="auto"/>
              <w:rPr>
                <w:rFonts w:ascii="Tahoma" w:hAnsi="Tahoma" w:cs="Tahoma"/>
                <w:sz w:val="19"/>
                <w:szCs w:val="19"/>
              </w:rPr>
            </w:pPr>
          </w:p>
        </w:tc>
      </w:tr>
      <w:tr w:rsidR="00AF3573" w:rsidRPr="00AF3573" w14:paraId="3358A136" w14:textId="77777777" w:rsidTr="00F60646">
        <w:trPr>
          <w:trHeight w:val="1389"/>
        </w:trPr>
        <w:tc>
          <w:tcPr>
            <w:tcW w:w="4531" w:type="dxa"/>
            <w:vAlign w:val="bottom"/>
          </w:tcPr>
          <w:p w14:paraId="5A9120BA" w14:textId="77777777" w:rsidR="00AF3573" w:rsidRPr="00AF3573" w:rsidRDefault="00AF3573" w:rsidP="00F60646">
            <w:pPr>
              <w:spacing w:line="283" w:lineRule="auto"/>
              <w:jc w:val="center"/>
              <w:rPr>
                <w:rFonts w:ascii="Tahoma" w:hAnsi="Tahoma" w:cs="Tahoma"/>
                <w:sz w:val="19"/>
                <w:szCs w:val="19"/>
              </w:rPr>
            </w:pPr>
          </w:p>
          <w:p w14:paraId="0CA16314" w14:textId="3F4920EA" w:rsidR="00AF3573" w:rsidRPr="00AF3573" w:rsidRDefault="00AF3573" w:rsidP="00F60646">
            <w:pPr>
              <w:tabs>
                <w:tab w:val="left" w:pos="4962"/>
              </w:tabs>
              <w:spacing w:line="276" w:lineRule="auto"/>
              <w:jc w:val="center"/>
              <w:rPr>
                <w:rFonts w:ascii="Tahoma" w:hAnsi="Tahoma" w:cs="Tahoma"/>
                <w:sz w:val="19"/>
                <w:szCs w:val="19"/>
              </w:rPr>
            </w:pPr>
            <w:r w:rsidRPr="00ED1F6E">
              <w:rPr>
                <w:rFonts w:ascii="Tahoma" w:hAnsi="Tahoma" w:cs="Tahoma"/>
                <w:sz w:val="19"/>
                <w:szCs w:val="19"/>
              </w:rPr>
              <w:t>___________________</w:t>
            </w:r>
          </w:p>
        </w:tc>
        <w:tc>
          <w:tcPr>
            <w:tcW w:w="4531" w:type="dxa"/>
            <w:vAlign w:val="bottom"/>
          </w:tcPr>
          <w:p w14:paraId="2662B223" w14:textId="60A31FD0" w:rsidR="00AF3573" w:rsidRPr="00AF3573" w:rsidRDefault="006B795F" w:rsidP="00AF3573">
            <w:pPr>
              <w:tabs>
                <w:tab w:val="left" w:pos="4962"/>
              </w:tabs>
              <w:spacing w:line="276" w:lineRule="auto"/>
              <w:jc w:val="center"/>
              <w:rPr>
                <w:rFonts w:ascii="Tahoma" w:hAnsi="Tahoma" w:cs="Tahoma"/>
                <w:sz w:val="19"/>
                <w:szCs w:val="19"/>
              </w:rPr>
            </w:pPr>
            <w:r w:rsidRPr="00ED1F6E">
              <w:rPr>
                <w:rFonts w:ascii="Tahoma" w:hAnsi="Tahoma" w:cs="Tahoma"/>
                <w:sz w:val="19"/>
                <w:szCs w:val="19"/>
              </w:rPr>
              <w:t>___________________</w:t>
            </w:r>
          </w:p>
        </w:tc>
      </w:tr>
      <w:tr w:rsidR="00DF3558" w:rsidRPr="00AF3573" w14:paraId="764A8E24" w14:textId="77777777" w:rsidTr="00AF3573">
        <w:tc>
          <w:tcPr>
            <w:tcW w:w="4531" w:type="dxa"/>
          </w:tcPr>
          <w:p w14:paraId="6A2D6CCE" w14:textId="582F1027" w:rsidR="00DF3558" w:rsidRPr="00AF3573" w:rsidRDefault="00DF3558" w:rsidP="00DF3558">
            <w:pPr>
              <w:spacing w:line="283" w:lineRule="auto"/>
              <w:jc w:val="center"/>
              <w:rPr>
                <w:rFonts w:ascii="Tahoma" w:hAnsi="Tahoma" w:cs="Tahoma"/>
                <w:bCs/>
                <w:sz w:val="19"/>
                <w:szCs w:val="19"/>
              </w:rPr>
            </w:pPr>
            <w:r w:rsidRPr="00413EC8">
              <w:rPr>
                <w:rFonts w:ascii="Tahoma" w:hAnsi="Tahoma" w:cs="Tahoma"/>
                <w:b/>
                <w:bCs/>
                <w:sz w:val="19"/>
                <w:szCs w:val="19"/>
              </w:rPr>
              <w:t>prof. MUDr. David Feltl, Ph.D, MBA</w:t>
            </w:r>
            <w:r w:rsidRPr="00D24064">
              <w:rPr>
                <w:rFonts w:ascii="Tahoma" w:hAnsi="Tahoma" w:cs="Tahoma"/>
                <w:bCs/>
                <w:sz w:val="19"/>
                <w:szCs w:val="19"/>
              </w:rPr>
              <w:t>,</w:t>
            </w:r>
          </w:p>
        </w:tc>
        <w:tc>
          <w:tcPr>
            <w:tcW w:w="4531" w:type="dxa"/>
          </w:tcPr>
          <w:p w14:paraId="6BB41305" w14:textId="1EE491EF" w:rsidR="00DF3558" w:rsidRPr="00AF3573" w:rsidRDefault="00DF3558" w:rsidP="00DF3558">
            <w:pPr>
              <w:spacing w:line="283" w:lineRule="auto"/>
              <w:jc w:val="center"/>
              <w:rPr>
                <w:rFonts w:ascii="Tahoma" w:hAnsi="Tahoma" w:cs="Tahoma"/>
                <w:bCs/>
                <w:sz w:val="19"/>
                <w:szCs w:val="19"/>
              </w:rPr>
            </w:pPr>
            <w:r w:rsidRPr="00AF3573">
              <w:rPr>
                <w:rFonts w:ascii="Tahoma" w:hAnsi="Tahoma" w:cs="Tahoma"/>
                <w:b/>
                <w:bCs/>
                <w:sz w:val="19"/>
                <w:szCs w:val="19"/>
              </w:rPr>
              <w:t>Mgr. Filip Drnec</w:t>
            </w:r>
            <w:r w:rsidRPr="00F549D5">
              <w:rPr>
                <w:rFonts w:ascii="Tahoma" w:hAnsi="Tahoma" w:cs="Tahoma"/>
                <w:sz w:val="19"/>
                <w:szCs w:val="19"/>
              </w:rPr>
              <w:t>,</w:t>
            </w:r>
          </w:p>
        </w:tc>
      </w:tr>
      <w:tr w:rsidR="00DF3558" w:rsidRPr="00AF3573" w14:paraId="048EAD25" w14:textId="77777777" w:rsidTr="00AF3573">
        <w:tc>
          <w:tcPr>
            <w:tcW w:w="4531" w:type="dxa"/>
          </w:tcPr>
          <w:p w14:paraId="253BE780" w14:textId="34C3740E" w:rsidR="00DF3558" w:rsidRPr="00AF3573" w:rsidRDefault="00DF3558" w:rsidP="00DF3558">
            <w:pPr>
              <w:spacing w:line="283" w:lineRule="auto"/>
              <w:jc w:val="center"/>
              <w:rPr>
                <w:rFonts w:ascii="Tahoma" w:hAnsi="Tahoma" w:cs="Tahoma"/>
                <w:sz w:val="19"/>
                <w:szCs w:val="19"/>
              </w:rPr>
            </w:pPr>
            <w:r>
              <w:rPr>
                <w:rFonts w:ascii="Tahoma" w:hAnsi="Tahoma" w:cs="Tahoma"/>
                <w:sz w:val="19"/>
                <w:szCs w:val="19"/>
              </w:rPr>
              <w:t>ředitel</w:t>
            </w:r>
          </w:p>
        </w:tc>
        <w:tc>
          <w:tcPr>
            <w:tcW w:w="4531" w:type="dxa"/>
          </w:tcPr>
          <w:p w14:paraId="062CED0D" w14:textId="790216B9" w:rsidR="00DF3558" w:rsidRPr="00AF3573" w:rsidRDefault="00DF3558" w:rsidP="00DF3558">
            <w:pPr>
              <w:spacing w:line="283" w:lineRule="auto"/>
              <w:jc w:val="center"/>
              <w:rPr>
                <w:rFonts w:ascii="Tahoma" w:hAnsi="Tahoma" w:cs="Tahoma"/>
                <w:sz w:val="19"/>
                <w:szCs w:val="19"/>
              </w:rPr>
            </w:pPr>
            <w:r>
              <w:rPr>
                <w:rFonts w:ascii="Tahoma" w:hAnsi="Tahoma" w:cs="Tahoma"/>
                <w:sz w:val="19"/>
                <w:szCs w:val="19"/>
              </w:rPr>
              <w:t>j</w:t>
            </w:r>
            <w:r w:rsidRPr="00AF3573">
              <w:rPr>
                <w:rFonts w:ascii="Tahoma" w:hAnsi="Tahoma" w:cs="Tahoma"/>
                <w:sz w:val="19"/>
                <w:szCs w:val="19"/>
              </w:rPr>
              <w:t>ednatel</w:t>
            </w:r>
            <w:r>
              <w:rPr>
                <w:rFonts w:ascii="Tahoma" w:hAnsi="Tahoma" w:cs="Tahoma"/>
                <w:sz w:val="19"/>
                <w:szCs w:val="19"/>
              </w:rPr>
              <w:t xml:space="preserve"> společnosti ACCESS EU s.r.o.</w:t>
            </w:r>
          </w:p>
        </w:tc>
      </w:tr>
    </w:tbl>
    <w:p w14:paraId="6DE1C0FF" w14:textId="0A115153" w:rsidR="00F60744" w:rsidRPr="00ED1F6E" w:rsidRDefault="00F60744" w:rsidP="006B795F">
      <w:pPr>
        <w:pStyle w:val="Zkladntext"/>
        <w:keepNext/>
        <w:widowControl/>
        <w:tabs>
          <w:tab w:val="left" w:pos="4962"/>
        </w:tabs>
        <w:spacing w:line="276" w:lineRule="auto"/>
        <w:rPr>
          <w:rFonts w:ascii="Tahoma" w:hAnsi="Tahoma" w:cs="Tahoma"/>
          <w:sz w:val="19"/>
          <w:szCs w:val="19"/>
        </w:rPr>
      </w:pPr>
    </w:p>
    <w:sectPr w:rsidR="00F60744" w:rsidRPr="00ED1F6E" w:rsidSect="007D62F9">
      <w:footerReference w:type="default" r:id="rId12"/>
      <w:headerReference w:type="first" r:id="rId13"/>
      <w:pgSz w:w="11906" w:h="16838"/>
      <w:pgMar w:top="1418" w:right="1418" w:bottom="1418" w:left="1418"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2FF6D" w14:textId="77777777" w:rsidR="00B16C88" w:rsidRDefault="00B16C88" w:rsidP="00BE12AC">
      <w:pPr>
        <w:spacing w:after="0" w:line="240" w:lineRule="auto"/>
      </w:pPr>
      <w:r>
        <w:separator/>
      </w:r>
    </w:p>
  </w:endnote>
  <w:endnote w:type="continuationSeparator" w:id="0">
    <w:p w14:paraId="40A92F05" w14:textId="77777777" w:rsidR="00B16C88" w:rsidRDefault="00B16C88" w:rsidP="00BE12AC">
      <w:pPr>
        <w:spacing w:after="0" w:line="240" w:lineRule="auto"/>
      </w:pPr>
      <w:r>
        <w:continuationSeparator/>
      </w:r>
    </w:p>
  </w:endnote>
  <w:endnote w:type="continuationNotice" w:id="1">
    <w:p w14:paraId="32D9893F" w14:textId="77777777" w:rsidR="00B16C88" w:rsidRDefault="00B16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imesEEW">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013156"/>
      <w:docPartObj>
        <w:docPartGallery w:val="Page Numbers (Bottom of Page)"/>
        <w:docPartUnique/>
      </w:docPartObj>
    </w:sdtPr>
    <w:sdtEndPr>
      <w:rPr>
        <w:rFonts w:ascii="Tahoma" w:hAnsi="Tahoma" w:cs="Tahoma"/>
        <w:sz w:val="19"/>
        <w:szCs w:val="19"/>
      </w:rPr>
    </w:sdtEndPr>
    <w:sdtContent>
      <w:p w14:paraId="6DA8B152" w14:textId="77777777" w:rsidR="00E30540" w:rsidRPr="00AF3573" w:rsidRDefault="00E30540">
        <w:pPr>
          <w:pStyle w:val="Zpat"/>
          <w:jc w:val="center"/>
          <w:rPr>
            <w:rFonts w:ascii="Tahoma" w:hAnsi="Tahoma" w:cs="Tahoma"/>
            <w:sz w:val="19"/>
            <w:szCs w:val="19"/>
          </w:rPr>
        </w:pPr>
        <w:r w:rsidRPr="00AF3573">
          <w:rPr>
            <w:rFonts w:ascii="Tahoma" w:hAnsi="Tahoma" w:cs="Tahoma"/>
            <w:sz w:val="19"/>
            <w:szCs w:val="19"/>
          </w:rPr>
          <w:fldChar w:fldCharType="begin"/>
        </w:r>
        <w:r w:rsidRPr="00AF3573">
          <w:rPr>
            <w:rFonts w:ascii="Tahoma" w:hAnsi="Tahoma" w:cs="Tahoma"/>
            <w:sz w:val="19"/>
            <w:szCs w:val="19"/>
          </w:rPr>
          <w:instrText>PAGE   \* MERGEFORMAT</w:instrText>
        </w:r>
        <w:r w:rsidRPr="00AF3573">
          <w:rPr>
            <w:rFonts w:ascii="Tahoma" w:hAnsi="Tahoma" w:cs="Tahoma"/>
            <w:sz w:val="19"/>
            <w:szCs w:val="19"/>
          </w:rPr>
          <w:fldChar w:fldCharType="separate"/>
        </w:r>
        <w:r w:rsidR="001113D0" w:rsidRPr="00AF3573">
          <w:rPr>
            <w:rFonts w:ascii="Tahoma" w:hAnsi="Tahoma" w:cs="Tahoma"/>
            <w:noProof/>
            <w:sz w:val="19"/>
            <w:szCs w:val="19"/>
          </w:rPr>
          <w:t>2</w:t>
        </w:r>
        <w:r w:rsidRPr="00AF3573">
          <w:rPr>
            <w:rFonts w:ascii="Tahoma" w:hAnsi="Tahoma" w:cs="Tahoma"/>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AD18B" w14:textId="77777777" w:rsidR="00B16C88" w:rsidRDefault="00B16C88" w:rsidP="00BE12AC">
      <w:pPr>
        <w:spacing w:after="0" w:line="240" w:lineRule="auto"/>
      </w:pPr>
      <w:r>
        <w:separator/>
      </w:r>
    </w:p>
  </w:footnote>
  <w:footnote w:type="continuationSeparator" w:id="0">
    <w:p w14:paraId="03CBD139" w14:textId="77777777" w:rsidR="00B16C88" w:rsidRDefault="00B16C88" w:rsidP="00BE12AC">
      <w:pPr>
        <w:spacing w:after="0" w:line="240" w:lineRule="auto"/>
      </w:pPr>
      <w:r>
        <w:continuationSeparator/>
      </w:r>
    </w:p>
  </w:footnote>
  <w:footnote w:type="continuationNotice" w:id="1">
    <w:p w14:paraId="7BA70381" w14:textId="77777777" w:rsidR="00B16C88" w:rsidRDefault="00B16C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F2FE" w14:textId="5267FB72" w:rsidR="00275DB0" w:rsidRDefault="00275DB0" w:rsidP="002E71FA">
    <w:pPr>
      <w:pStyle w:val="Zhlav"/>
      <w:jc w:val="right"/>
    </w:pPr>
    <w:r>
      <w:t xml:space="preserve">PO </w:t>
    </w:r>
    <w:r w:rsidR="002E71FA">
      <w:t>626/S/23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4854"/>
    <w:multiLevelType w:val="hybridMultilevel"/>
    <w:tmpl w:val="58726BD4"/>
    <w:lvl w:ilvl="0" w:tplc="0F2C905E">
      <w:start w:val="1"/>
      <w:numFmt w:val="decimal"/>
      <w:lvlText w:val="%1."/>
      <w:lvlJc w:val="left"/>
      <w:pPr>
        <w:ind w:left="928" w:hanging="360"/>
      </w:pPr>
      <w:rPr>
        <w:rFonts w:ascii="Times New Roman" w:hAnsi="Times New Roman" w:cs="Times New Roman"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0F61"/>
    <w:multiLevelType w:val="hybridMultilevel"/>
    <w:tmpl w:val="74F66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383EB3"/>
    <w:multiLevelType w:val="hybridMultilevel"/>
    <w:tmpl w:val="46A4535E"/>
    <w:lvl w:ilvl="0" w:tplc="FFFFFFFF">
      <w:start w:val="1"/>
      <w:numFmt w:val="lowerLetter"/>
      <w:lvlText w:val="%1."/>
      <w:lvlJc w:val="left"/>
      <w:pPr>
        <w:ind w:left="144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75F0EE3"/>
    <w:multiLevelType w:val="hybridMultilevel"/>
    <w:tmpl w:val="4B044990"/>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start w:val="1"/>
      <w:numFmt w:val="lowerRoman"/>
      <w:lvlText w:val="%3."/>
      <w:lvlJc w:val="right"/>
      <w:pPr>
        <w:ind w:left="2340" w:hanging="36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F7739C"/>
    <w:multiLevelType w:val="hybridMultilevel"/>
    <w:tmpl w:val="4B044990"/>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start w:val="1"/>
      <w:numFmt w:val="lowerRoman"/>
      <w:lvlText w:val="%3."/>
      <w:lvlJc w:val="right"/>
      <w:pPr>
        <w:ind w:left="2340" w:hanging="36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8F1AD9"/>
    <w:multiLevelType w:val="hybridMultilevel"/>
    <w:tmpl w:val="1220AC1A"/>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8DD3782"/>
    <w:multiLevelType w:val="hybridMultilevel"/>
    <w:tmpl w:val="99E2ECD8"/>
    <w:lvl w:ilvl="0" w:tplc="AB404500">
      <w:start w:val="1"/>
      <w:numFmt w:val="bullet"/>
      <w:lvlText w:val="-"/>
      <w:lvlJc w:val="left"/>
      <w:pPr>
        <w:ind w:left="786" w:hanging="360"/>
      </w:pPr>
      <w:rPr>
        <w:rFonts w:ascii="Times New Roman" w:eastAsia="Times New Roman" w:hAnsi="Times New Roman" w:cs="Times New Roman" w:hint="default"/>
        <w:sz w:val="24"/>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3FD625F9"/>
    <w:multiLevelType w:val="hybridMultilevel"/>
    <w:tmpl w:val="16BA326C"/>
    <w:lvl w:ilvl="0" w:tplc="E202E86C">
      <w:start w:val="1"/>
      <w:numFmt w:val="decimal"/>
      <w:lvlText w:val="%1."/>
      <w:lvlJc w:val="left"/>
      <w:pPr>
        <w:ind w:left="1637" w:hanging="360"/>
      </w:pPr>
      <w:rPr>
        <w:rFonts w:ascii="Tahoma" w:hAnsi="Tahoma" w:cs="Tahoma" w:hint="default"/>
        <w:sz w:val="19"/>
        <w:szCs w:val="19"/>
      </w:rPr>
    </w:lvl>
    <w:lvl w:ilvl="1" w:tplc="FFFFFFFF">
      <w:start w:val="1"/>
      <w:numFmt w:val="lowerLetter"/>
      <w:lvlText w:val="%2."/>
      <w:lvlJc w:val="left"/>
      <w:pPr>
        <w:ind w:left="1440" w:hanging="360"/>
      </w:pPr>
    </w:lvl>
    <w:lvl w:ilvl="2" w:tplc="72B2A1F4">
      <w:start w:val="1"/>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1E5775"/>
    <w:multiLevelType w:val="hybridMultilevel"/>
    <w:tmpl w:val="BEC0502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71129B5"/>
    <w:multiLevelType w:val="hybridMultilevel"/>
    <w:tmpl w:val="4B044990"/>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start w:val="1"/>
      <w:numFmt w:val="lowerRoman"/>
      <w:lvlText w:val="%3."/>
      <w:lvlJc w:val="right"/>
      <w:pPr>
        <w:ind w:left="2340" w:hanging="36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9B4A3A"/>
    <w:multiLevelType w:val="hybridMultilevel"/>
    <w:tmpl w:val="F5FAF7B8"/>
    <w:lvl w:ilvl="0" w:tplc="D42C198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7A1167"/>
    <w:multiLevelType w:val="hybridMultilevel"/>
    <w:tmpl w:val="5CB6492C"/>
    <w:lvl w:ilvl="0" w:tplc="04050001">
      <w:start w:val="1"/>
      <w:numFmt w:val="bullet"/>
      <w:lvlText w:val=""/>
      <w:lvlJc w:val="left"/>
      <w:pPr>
        <w:ind w:left="1296" w:hanging="360"/>
      </w:pPr>
      <w:rPr>
        <w:rFonts w:ascii="Symbol" w:hAnsi="Symbol" w:hint="default"/>
      </w:rPr>
    </w:lvl>
    <w:lvl w:ilvl="1" w:tplc="04050003">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3" w15:restartNumberingAfterBreak="0">
    <w:nsid w:val="4FFB0B8B"/>
    <w:multiLevelType w:val="hybridMultilevel"/>
    <w:tmpl w:val="081A11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81A338B"/>
    <w:multiLevelType w:val="hybridMultilevel"/>
    <w:tmpl w:val="4B044990"/>
    <w:lvl w:ilvl="0" w:tplc="0405000F">
      <w:start w:val="1"/>
      <w:numFmt w:val="decimal"/>
      <w:lvlText w:val="%1."/>
      <w:lvlJc w:val="left"/>
      <w:pPr>
        <w:ind w:left="720" w:hanging="360"/>
      </w:pPr>
      <w:rPr>
        <w:rFonts w:hint="default"/>
      </w:rPr>
    </w:lvl>
    <w:lvl w:ilvl="1" w:tplc="04050015">
      <w:start w:val="1"/>
      <w:numFmt w:val="upperLetter"/>
      <w:lvlText w:val="%2."/>
      <w:lvlJc w:val="left"/>
      <w:pPr>
        <w:ind w:left="1440" w:hanging="360"/>
      </w:pPr>
    </w:lvl>
    <w:lvl w:ilvl="2" w:tplc="0405001B">
      <w:start w:val="1"/>
      <w:numFmt w:val="lowerRoman"/>
      <w:lvlText w:val="%3."/>
      <w:lvlJc w:val="right"/>
      <w:pPr>
        <w:ind w:left="2340" w:hanging="360"/>
      </w:pPr>
    </w:lvl>
    <w:lvl w:ilvl="3" w:tplc="04050017">
      <w:start w:val="1"/>
      <w:numFmt w:val="lowerLetter"/>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F975DF"/>
    <w:multiLevelType w:val="hybridMultilevel"/>
    <w:tmpl w:val="6C2C6B9A"/>
    <w:lvl w:ilvl="0" w:tplc="04050003">
      <w:start w:val="1"/>
      <w:numFmt w:val="bullet"/>
      <w:lvlText w:val="o"/>
      <w:lvlJc w:val="left"/>
      <w:pPr>
        <w:ind w:left="3060" w:hanging="360"/>
      </w:pPr>
      <w:rPr>
        <w:rFonts w:ascii="Courier New" w:hAnsi="Courier New" w:cs="Courier New" w:hint="default"/>
      </w:rPr>
    </w:lvl>
    <w:lvl w:ilvl="1" w:tplc="04050003">
      <w:start w:val="1"/>
      <w:numFmt w:val="bullet"/>
      <w:lvlText w:val="o"/>
      <w:lvlJc w:val="left"/>
      <w:rPr>
        <w:rFonts w:ascii="Courier New" w:hAnsi="Courier New" w:cs="Courier New" w:hint="default"/>
      </w:rPr>
    </w:lvl>
    <w:lvl w:ilvl="2" w:tplc="04050005">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16" w15:restartNumberingAfterBreak="0">
    <w:nsid w:val="66551255"/>
    <w:multiLevelType w:val="hybridMultilevel"/>
    <w:tmpl w:val="E3A8610E"/>
    <w:lvl w:ilvl="0" w:tplc="F484FBA2">
      <w:start w:val="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F473B8"/>
    <w:multiLevelType w:val="hybridMultilevel"/>
    <w:tmpl w:val="C2C80290"/>
    <w:lvl w:ilvl="0" w:tplc="1BCA8D44">
      <w:start w:val="1"/>
      <w:numFmt w:val="decimal"/>
      <w:lvlText w:val="%1."/>
      <w:lvlJc w:val="left"/>
      <w:pPr>
        <w:ind w:left="1065" w:hanging="360"/>
      </w:pPr>
      <w:rPr>
        <w:rFonts w:ascii="Times New Roman" w:hAnsi="Times New Roman" w:cs="Times New Roman"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6CCF06CB"/>
    <w:multiLevelType w:val="hybridMultilevel"/>
    <w:tmpl w:val="4B044990"/>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start w:val="1"/>
      <w:numFmt w:val="lowerRoman"/>
      <w:lvlText w:val="%3."/>
      <w:lvlJc w:val="right"/>
      <w:pPr>
        <w:ind w:left="2340" w:hanging="36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596039"/>
    <w:multiLevelType w:val="hybridMultilevel"/>
    <w:tmpl w:val="4B58E97E"/>
    <w:lvl w:ilvl="0" w:tplc="1E9CC990">
      <w:start w:val="1"/>
      <w:numFmt w:val="decimal"/>
      <w:lvlText w:val="%1)"/>
      <w:lvlJc w:val="left"/>
      <w:pPr>
        <w:ind w:left="720" w:hanging="360"/>
      </w:pPr>
      <w:rPr>
        <w:rFonts w:asciiTheme="minorHAnsi" w:hAnsiTheme="minorHAnsi" w:cstheme="minorBid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657FC4"/>
    <w:multiLevelType w:val="hybridMultilevel"/>
    <w:tmpl w:val="9FE0BB08"/>
    <w:lvl w:ilvl="0" w:tplc="25CC471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827C88"/>
    <w:multiLevelType w:val="hybridMultilevel"/>
    <w:tmpl w:val="B454AE10"/>
    <w:lvl w:ilvl="0" w:tplc="04090003">
      <w:start w:val="1"/>
      <w:numFmt w:val="bullet"/>
      <w:lvlText w:val="o"/>
      <w:lvlJc w:val="left"/>
      <w:pPr>
        <w:ind w:left="1656" w:hanging="360"/>
      </w:pPr>
      <w:rPr>
        <w:rFonts w:ascii="Courier New" w:hAnsi="Courier New" w:cs="Courier New" w:hint="default"/>
      </w:rPr>
    </w:lvl>
    <w:lvl w:ilvl="1" w:tplc="04050003" w:tentative="1">
      <w:start w:val="1"/>
      <w:numFmt w:val="bullet"/>
      <w:lvlText w:val="o"/>
      <w:lvlJc w:val="left"/>
      <w:pPr>
        <w:ind w:left="2376" w:hanging="360"/>
      </w:pPr>
      <w:rPr>
        <w:rFonts w:ascii="Courier New" w:hAnsi="Courier New" w:cs="Courier New" w:hint="default"/>
      </w:rPr>
    </w:lvl>
    <w:lvl w:ilvl="2" w:tplc="04050005" w:tentative="1">
      <w:start w:val="1"/>
      <w:numFmt w:val="bullet"/>
      <w:lvlText w:val=""/>
      <w:lvlJc w:val="left"/>
      <w:pPr>
        <w:ind w:left="3096" w:hanging="360"/>
      </w:pPr>
      <w:rPr>
        <w:rFonts w:ascii="Wingdings" w:hAnsi="Wingdings" w:hint="default"/>
      </w:rPr>
    </w:lvl>
    <w:lvl w:ilvl="3" w:tplc="04050001" w:tentative="1">
      <w:start w:val="1"/>
      <w:numFmt w:val="bullet"/>
      <w:lvlText w:val=""/>
      <w:lvlJc w:val="left"/>
      <w:pPr>
        <w:ind w:left="3816" w:hanging="360"/>
      </w:pPr>
      <w:rPr>
        <w:rFonts w:ascii="Symbol" w:hAnsi="Symbol" w:hint="default"/>
      </w:rPr>
    </w:lvl>
    <w:lvl w:ilvl="4" w:tplc="04050003" w:tentative="1">
      <w:start w:val="1"/>
      <w:numFmt w:val="bullet"/>
      <w:lvlText w:val="o"/>
      <w:lvlJc w:val="left"/>
      <w:pPr>
        <w:ind w:left="4536" w:hanging="360"/>
      </w:pPr>
      <w:rPr>
        <w:rFonts w:ascii="Courier New" w:hAnsi="Courier New" w:cs="Courier New" w:hint="default"/>
      </w:rPr>
    </w:lvl>
    <w:lvl w:ilvl="5" w:tplc="04050005" w:tentative="1">
      <w:start w:val="1"/>
      <w:numFmt w:val="bullet"/>
      <w:lvlText w:val=""/>
      <w:lvlJc w:val="left"/>
      <w:pPr>
        <w:ind w:left="5256" w:hanging="360"/>
      </w:pPr>
      <w:rPr>
        <w:rFonts w:ascii="Wingdings" w:hAnsi="Wingdings" w:hint="default"/>
      </w:rPr>
    </w:lvl>
    <w:lvl w:ilvl="6" w:tplc="04050001" w:tentative="1">
      <w:start w:val="1"/>
      <w:numFmt w:val="bullet"/>
      <w:lvlText w:val=""/>
      <w:lvlJc w:val="left"/>
      <w:pPr>
        <w:ind w:left="5976" w:hanging="360"/>
      </w:pPr>
      <w:rPr>
        <w:rFonts w:ascii="Symbol" w:hAnsi="Symbol" w:hint="default"/>
      </w:rPr>
    </w:lvl>
    <w:lvl w:ilvl="7" w:tplc="04050003" w:tentative="1">
      <w:start w:val="1"/>
      <w:numFmt w:val="bullet"/>
      <w:lvlText w:val="o"/>
      <w:lvlJc w:val="left"/>
      <w:pPr>
        <w:ind w:left="6696" w:hanging="360"/>
      </w:pPr>
      <w:rPr>
        <w:rFonts w:ascii="Courier New" w:hAnsi="Courier New" w:cs="Courier New" w:hint="default"/>
      </w:rPr>
    </w:lvl>
    <w:lvl w:ilvl="8" w:tplc="04050005" w:tentative="1">
      <w:start w:val="1"/>
      <w:numFmt w:val="bullet"/>
      <w:lvlText w:val=""/>
      <w:lvlJc w:val="left"/>
      <w:pPr>
        <w:ind w:left="7416" w:hanging="360"/>
      </w:pPr>
      <w:rPr>
        <w:rFonts w:ascii="Wingdings" w:hAnsi="Wingdings" w:hint="default"/>
      </w:rPr>
    </w:lvl>
  </w:abstractNum>
  <w:abstractNum w:abstractNumId="22" w15:restartNumberingAfterBreak="0">
    <w:nsid w:val="77C47F23"/>
    <w:multiLevelType w:val="hybridMultilevel"/>
    <w:tmpl w:val="8E4C69B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0"/>
  </w:num>
  <w:num w:numId="2">
    <w:abstractNumId w:val="11"/>
  </w:num>
  <w:num w:numId="3">
    <w:abstractNumId w:val="22"/>
  </w:num>
  <w:num w:numId="4">
    <w:abstractNumId w:val="14"/>
  </w:num>
  <w:num w:numId="5">
    <w:abstractNumId w:val="8"/>
  </w:num>
  <w:num w:numId="6">
    <w:abstractNumId w:val="20"/>
  </w:num>
  <w:num w:numId="7">
    <w:abstractNumId w:val="7"/>
  </w:num>
  <w:num w:numId="8">
    <w:abstractNumId w:val="15"/>
  </w:num>
  <w:num w:numId="9">
    <w:abstractNumId w:val="19"/>
  </w:num>
  <w:num w:numId="10">
    <w:abstractNumId w:val="13"/>
  </w:num>
  <w:num w:numId="11">
    <w:abstractNumId w:val="1"/>
  </w:num>
  <w:num w:numId="12">
    <w:abstractNumId w:val="3"/>
  </w:num>
  <w:num w:numId="13">
    <w:abstractNumId w:val="12"/>
  </w:num>
  <w:num w:numId="14">
    <w:abstractNumId w:val="21"/>
  </w:num>
  <w:num w:numId="15">
    <w:abstractNumId w:val="9"/>
  </w:num>
  <w:num w:numId="16">
    <w:abstractNumId w:val="16"/>
  </w:num>
  <w:num w:numId="17">
    <w:abstractNumId w:val="2"/>
  </w:num>
  <w:num w:numId="18">
    <w:abstractNumId w:val="17"/>
  </w:num>
  <w:num w:numId="19">
    <w:abstractNumId w:val="6"/>
  </w:num>
  <w:num w:numId="20">
    <w:abstractNumId w:val="5"/>
  </w:num>
  <w:num w:numId="21">
    <w:abstractNumId w:val="18"/>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AC"/>
    <w:rsid w:val="0000045D"/>
    <w:rsid w:val="0001418B"/>
    <w:rsid w:val="00017D9C"/>
    <w:rsid w:val="000250E0"/>
    <w:rsid w:val="00026098"/>
    <w:rsid w:val="000305C0"/>
    <w:rsid w:val="0003079D"/>
    <w:rsid w:val="00030BBB"/>
    <w:rsid w:val="0004057D"/>
    <w:rsid w:val="000467FC"/>
    <w:rsid w:val="00047DB5"/>
    <w:rsid w:val="0005079B"/>
    <w:rsid w:val="000508C1"/>
    <w:rsid w:val="00071605"/>
    <w:rsid w:val="000738B4"/>
    <w:rsid w:val="00075FC8"/>
    <w:rsid w:val="000955FC"/>
    <w:rsid w:val="000A5F41"/>
    <w:rsid w:val="000A723C"/>
    <w:rsid w:val="000A78D7"/>
    <w:rsid w:val="000B1C65"/>
    <w:rsid w:val="000C361D"/>
    <w:rsid w:val="000C4CAC"/>
    <w:rsid w:val="000D6288"/>
    <w:rsid w:val="000E664C"/>
    <w:rsid w:val="000F1FEC"/>
    <w:rsid w:val="000F52B3"/>
    <w:rsid w:val="000F6B24"/>
    <w:rsid w:val="000F6FF9"/>
    <w:rsid w:val="001027A4"/>
    <w:rsid w:val="00106617"/>
    <w:rsid w:val="00106C1A"/>
    <w:rsid w:val="001113D0"/>
    <w:rsid w:val="00111C5F"/>
    <w:rsid w:val="00127D14"/>
    <w:rsid w:val="00130617"/>
    <w:rsid w:val="00130F29"/>
    <w:rsid w:val="00132E8B"/>
    <w:rsid w:val="00152F54"/>
    <w:rsid w:val="001560D8"/>
    <w:rsid w:val="00165E0C"/>
    <w:rsid w:val="001716E0"/>
    <w:rsid w:val="0017326C"/>
    <w:rsid w:val="00175EE2"/>
    <w:rsid w:val="00185B58"/>
    <w:rsid w:val="00185DAD"/>
    <w:rsid w:val="00194690"/>
    <w:rsid w:val="001958D4"/>
    <w:rsid w:val="001961FA"/>
    <w:rsid w:val="001A6FD8"/>
    <w:rsid w:val="001B2A22"/>
    <w:rsid w:val="001B30B6"/>
    <w:rsid w:val="001B6860"/>
    <w:rsid w:val="001B77E5"/>
    <w:rsid w:val="001C2D9A"/>
    <w:rsid w:val="001C51B4"/>
    <w:rsid w:val="001D0DF2"/>
    <w:rsid w:val="001D4EDF"/>
    <w:rsid w:val="001D792C"/>
    <w:rsid w:val="001E1AAC"/>
    <w:rsid w:val="001E1EF5"/>
    <w:rsid w:val="001F69B7"/>
    <w:rsid w:val="00201A22"/>
    <w:rsid w:val="00203F2F"/>
    <w:rsid w:val="00214BC5"/>
    <w:rsid w:val="00221CF3"/>
    <w:rsid w:val="002248F3"/>
    <w:rsid w:val="00225B3C"/>
    <w:rsid w:val="002314EE"/>
    <w:rsid w:val="00233E93"/>
    <w:rsid w:val="00244ECC"/>
    <w:rsid w:val="00247A5E"/>
    <w:rsid w:val="00253278"/>
    <w:rsid w:val="00255159"/>
    <w:rsid w:val="00257E13"/>
    <w:rsid w:val="00263660"/>
    <w:rsid w:val="00266537"/>
    <w:rsid w:val="0027024A"/>
    <w:rsid w:val="00274089"/>
    <w:rsid w:val="00274360"/>
    <w:rsid w:val="00275DB0"/>
    <w:rsid w:val="00287A8E"/>
    <w:rsid w:val="002936D3"/>
    <w:rsid w:val="00296C94"/>
    <w:rsid w:val="002A0334"/>
    <w:rsid w:val="002A51B0"/>
    <w:rsid w:val="002A5A4A"/>
    <w:rsid w:val="002A6145"/>
    <w:rsid w:val="002B4764"/>
    <w:rsid w:val="002B7184"/>
    <w:rsid w:val="002B7516"/>
    <w:rsid w:val="002D75BA"/>
    <w:rsid w:val="002E2FD5"/>
    <w:rsid w:val="002E65DF"/>
    <w:rsid w:val="002E6F13"/>
    <w:rsid w:val="002E71FA"/>
    <w:rsid w:val="002F2E20"/>
    <w:rsid w:val="002F36EC"/>
    <w:rsid w:val="002F3E62"/>
    <w:rsid w:val="002F43F3"/>
    <w:rsid w:val="002F54D2"/>
    <w:rsid w:val="0031085E"/>
    <w:rsid w:val="0031603D"/>
    <w:rsid w:val="00316816"/>
    <w:rsid w:val="003172DF"/>
    <w:rsid w:val="003216ED"/>
    <w:rsid w:val="0032261D"/>
    <w:rsid w:val="00332530"/>
    <w:rsid w:val="00340072"/>
    <w:rsid w:val="00340C07"/>
    <w:rsid w:val="00351443"/>
    <w:rsid w:val="00360A81"/>
    <w:rsid w:val="003611D7"/>
    <w:rsid w:val="00374031"/>
    <w:rsid w:val="00380D9D"/>
    <w:rsid w:val="00381518"/>
    <w:rsid w:val="00381762"/>
    <w:rsid w:val="003827A6"/>
    <w:rsid w:val="00383138"/>
    <w:rsid w:val="00391394"/>
    <w:rsid w:val="0039693D"/>
    <w:rsid w:val="003A088D"/>
    <w:rsid w:val="003B1B58"/>
    <w:rsid w:val="003B6617"/>
    <w:rsid w:val="003C1C1B"/>
    <w:rsid w:val="003C561A"/>
    <w:rsid w:val="003D3679"/>
    <w:rsid w:val="003D6D5D"/>
    <w:rsid w:val="003E34D0"/>
    <w:rsid w:val="003E6742"/>
    <w:rsid w:val="003E67E5"/>
    <w:rsid w:val="00414BEA"/>
    <w:rsid w:val="004226D5"/>
    <w:rsid w:val="00424849"/>
    <w:rsid w:val="00427310"/>
    <w:rsid w:val="004311A7"/>
    <w:rsid w:val="004324D4"/>
    <w:rsid w:val="00432512"/>
    <w:rsid w:val="004332B4"/>
    <w:rsid w:val="00440E93"/>
    <w:rsid w:val="004501A1"/>
    <w:rsid w:val="00461AB3"/>
    <w:rsid w:val="00462595"/>
    <w:rsid w:val="00477C24"/>
    <w:rsid w:val="00487D4C"/>
    <w:rsid w:val="004946A8"/>
    <w:rsid w:val="004A0350"/>
    <w:rsid w:val="004A1B74"/>
    <w:rsid w:val="004A26FE"/>
    <w:rsid w:val="004A38C4"/>
    <w:rsid w:val="004B553C"/>
    <w:rsid w:val="004D2F0B"/>
    <w:rsid w:val="004E05B4"/>
    <w:rsid w:val="004E3281"/>
    <w:rsid w:val="004E379D"/>
    <w:rsid w:val="00504EE8"/>
    <w:rsid w:val="0051180D"/>
    <w:rsid w:val="00526C85"/>
    <w:rsid w:val="005324C9"/>
    <w:rsid w:val="00553958"/>
    <w:rsid w:val="0055518C"/>
    <w:rsid w:val="00560A96"/>
    <w:rsid w:val="00565DB7"/>
    <w:rsid w:val="005730C7"/>
    <w:rsid w:val="005772AF"/>
    <w:rsid w:val="005822C0"/>
    <w:rsid w:val="0059146D"/>
    <w:rsid w:val="005914E4"/>
    <w:rsid w:val="00596ED7"/>
    <w:rsid w:val="005B01FE"/>
    <w:rsid w:val="005B46C2"/>
    <w:rsid w:val="005C0FD4"/>
    <w:rsid w:val="005C1DF5"/>
    <w:rsid w:val="005C363E"/>
    <w:rsid w:val="005E51F6"/>
    <w:rsid w:val="005E58B4"/>
    <w:rsid w:val="005F2B33"/>
    <w:rsid w:val="005F421C"/>
    <w:rsid w:val="005F4261"/>
    <w:rsid w:val="00603717"/>
    <w:rsid w:val="006103FA"/>
    <w:rsid w:val="006172C1"/>
    <w:rsid w:val="0062026E"/>
    <w:rsid w:val="00622930"/>
    <w:rsid w:val="0063139D"/>
    <w:rsid w:val="006403D3"/>
    <w:rsid w:val="006433FE"/>
    <w:rsid w:val="00691722"/>
    <w:rsid w:val="006B5DA5"/>
    <w:rsid w:val="006B6F87"/>
    <w:rsid w:val="006B795F"/>
    <w:rsid w:val="006C7C1D"/>
    <w:rsid w:val="006D2C77"/>
    <w:rsid w:val="006D505B"/>
    <w:rsid w:val="006D6BB7"/>
    <w:rsid w:val="006E0610"/>
    <w:rsid w:val="0072797F"/>
    <w:rsid w:val="00731FED"/>
    <w:rsid w:val="00740A24"/>
    <w:rsid w:val="00741640"/>
    <w:rsid w:val="007463D3"/>
    <w:rsid w:val="00757338"/>
    <w:rsid w:val="0076128B"/>
    <w:rsid w:val="00762DBC"/>
    <w:rsid w:val="00762F0E"/>
    <w:rsid w:val="0076436D"/>
    <w:rsid w:val="00773D75"/>
    <w:rsid w:val="0077455F"/>
    <w:rsid w:val="00777992"/>
    <w:rsid w:val="00780DDE"/>
    <w:rsid w:val="007879E7"/>
    <w:rsid w:val="00787D59"/>
    <w:rsid w:val="00792A62"/>
    <w:rsid w:val="00795929"/>
    <w:rsid w:val="007963B9"/>
    <w:rsid w:val="00796A1D"/>
    <w:rsid w:val="007A4B22"/>
    <w:rsid w:val="007B1C58"/>
    <w:rsid w:val="007B5463"/>
    <w:rsid w:val="007C0139"/>
    <w:rsid w:val="007C1382"/>
    <w:rsid w:val="007C7C0F"/>
    <w:rsid w:val="007D62F9"/>
    <w:rsid w:val="007D7BCB"/>
    <w:rsid w:val="007E04F8"/>
    <w:rsid w:val="007E3163"/>
    <w:rsid w:val="007F319A"/>
    <w:rsid w:val="00800AA4"/>
    <w:rsid w:val="00802594"/>
    <w:rsid w:val="00802849"/>
    <w:rsid w:val="008128CA"/>
    <w:rsid w:val="00815353"/>
    <w:rsid w:val="00815705"/>
    <w:rsid w:val="00830C3F"/>
    <w:rsid w:val="008314EE"/>
    <w:rsid w:val="00833C0E"/>
    <w:rsid w:val="008346FF"/>
    <w:rsid w:val="00834A22"/>
    <w:rsid w:val="00843522"/>
    <w:rsid w:val="00851164"/>
    <w:rsid w:val="008643B9"/>
    <w:rsid w:val="00881163"/>
    <w:rsid w:val="008847FF"/>
    <w:rsid w:val="00885F10"/>
    <w:rsid w:val="00893A44"/>
    <w:rsid w:val="008B303D"/>
    <w:rsid w:val="008B3933"/>
    <w:rsid w:val="008C3282"/>
    <w:rsid w:val="008E1671"/>
    <w:rsid w:val="008E42D1"/>
    <w:rsid w:val="008E433D"/>
    <w:rsid w:val="008F335E"/>
    <w:rsid w:val="008F7360"/>
    <w:rsid w:val="008F7947"/>
    <w:rsid w:val="00901506"/>
    <w:rsid w:val="00902BE2"/>
    <w:rsid w:val="009038D6"/>
    <w:rsid w:val="00904DDA"/>
    <w:rsid w:val="00912D6C"/>
    <w:rsid w:val="0091416B"/>
    <w:rsid w:val="00914ECA"/>
    <w:rsid w:val="00925F51"/>
    <w:rsid w:val="00932AC9"/>
    <w:rsid w:val="00943A57"/>
    <w:rsid w:val="0094500E"/>
    <w:rsid w:val="0095208E"/>
    <w:rsid w:val="009718F7"/>
    <w:rsid w:val="0097726A"/>
    <w:rsid w:val="009807B1"/>
    <w:rsid w:val="0098673C"/>
    <w:rsid w:val="009869A8"/>
    <w:rsid w:val="00986FA0"/>
    <w:rsid w:val="0099158A"/>
    <w:rsid w:val="00993B14"/>
    <w:rsid w:val="0099767E"/>
    <w:rsid w:val="009979CD"/>
    <w:rsid w:val="009A0404"/>
    <w:rsid w:val="009A17BE"/>
    <w:rsid w:val="009A3525"/>
    <w:rsid w:val="009A3E43"/>
    <w:rsid w:val="009B6606"/>
    <w:rsid w:val="009C56A7"/>
    <w:rsid w:val="009D265D"/>
    <w:rsid w:val="009D67A2"/>
    <w:rsid w:val="009D6CCE"/>
    <w:rsid w:val="009D6D2C"/>
    <w:rsid w:val="009E4007"/>
    <w:rsid w:val="009E47E0"/>
    <w:rsid w:val="00A01745"/>
    <w:rsid w:val="00A12E4D"/>
    <w:rsid w:val="00A160E8"/>
    <w:rsid w:val="00A20B54"/>
    <w:rsid w:val="00A30086"/>
    <w:rsid w:val="00A366D0"/>
    <w:rsid w:val="00A514B7"/>
    <w:rsid w:val="00A51FE1"/>
    <w:rsid w:val="00A62978"/>
    <w:rsid w:val="00A878CE"/>
    <w:rsid w:val="00A93D55"/>
    <w:rsid w:val="00A94FB1"/>
    <w:rsid w:val="00AA1FFC"/>
    <w:rsid w:val="00AB00BE"/>
    <w:rsid w:val="00AB3672"/>
    <w:rsid w:val="00AB72DC"/>
    <w:rsid w:val="00AC21F0"/>
    <w:rsid w:val="00AC2BD7"/>
    <w:rsid w:val="00AC2C60"/>
    <w:rsid w:val="00AD40F4"/>
    <w:rsid w:val="00AD4FE4"/>
    <w:rsid w:val="00AE3C23"/>
    <w:rsid w:val="00AE4759"/>
    <w:rsid w:val="00AE657B"/>
    <w:rsid w:val="00AF3573"/>
    <w:rsid w:val="00B01BB5"/>
    <w:rsid w:val="00B02CC8"/>
    <w:rsid w:val="00B03B6F"/>
    <w:rsid w:val="00B044BB"/>
    <w:rsid w:val="00B06D99"/>
    <w:rsid w:val="00B16C88"/>
    <w:rsid w:val="00B206CD"/>
    <w:rsid w:val="00B21118"/>
    <w:rsid w:val="00B30732"/>
    <w:rsid w:val="00B3083E"/>
    <w:rsid w:val="00B3137B"/>
    <w:rsid w:val="00B33DE1"/>
    <w:rsid w:val="00B3552E"/>
    <w:rsid w:val="00B3695F"/>
    <w:rsid w:val="00B5450A"/>
    <w:rsid w:val="00B54AA3"/>
    <w:rsid w:val="00B554AD"/>
    <w:rsid w:val="00B56F44"/>
    <w:rsid w:val="00B65FD3"/>
    <w:rsid w:val="00B80CFB"/>
    <w:rsid w:val="00B82063"/>
    <w:rsid w:val="00B86CE5"/>
    <w:rsid w:val="00B94641"/>
    <w:rsid w:val="00B952B0"/>
    <w:rsid w:val="00B96BDA"/>
    <w:rsid w:val="00BA0B5E"/>
    <w:rsid w:val="00BB1169"/>
    <w:rsid w:val="00BB1F51"/>
    <w:rsid w:val="00BD1616"/>
    <w:rsid w:val="00BD2350"/>
    <w:rsid w:val="00BD6E43"/>
    <w:rsid w:val="00BE12AC"/>
    <w:rsid w:val="00BE44F5"/>
    <w:rsid w:val="00BE6FF6"/>
    <w:rsid w:val="00BF0A20"/>
    <w:rsid w:val="00C038EF"/>
    <w:rsid w:val="00C07FEC"/>
    <w:rsid w:val="00C123C2"/>
    <w:rsid w:val="00C21903"/>
    <w:rsid w:val="00C24AA7"/>
    <w:rsid w:val="00C26503"/>
    <w:rsid w:val="00C30DBC"/>
    <w:rsid w:val="00C32B2D"/>
    <w:rsid w:val="00C32CE1"/>
    <w:rsid w:val="00C44CA5"/>
    <w:rsid w:val="00C55A61"/>
    <w:rsid w:val="00C56E66"/>
    <w:rsid w:val="00C608CB"/>
    <w:rsid w:val="00C630E4"/>
    <w:rsid w:val="00C70D01"/>
    <w:rsid w:val="00C83AEB"/>
    <w:rsid w:val="00C84BE0"/>
    <w:rsid w:val="00C84D71"/>
    <w:rsid w:val="00C86EA1"/>
    <w:rsid w:val="00CA3969"/>
    <w:rsid w:val="00CA7326"/>
    <w:rsid w:val="00CB71EF"/>
    <w:rsid w:val="00CC175F"/>
    <w:rsid w:val="00CC2273"/>
    <w:rsid w:val="00CC38B9"/>
    <w:rsid w:val="00CC55EF"/>
    <w:rsid w:val="00CC5C27"/>
    <w:rsid w:val="00CC69D9"/>
    <w:rsid w:val="00CC6A0F"/>
    <w:rsid w:val="00CC7F49"/>
    <w:rsid w:val="00CD15C8"/>
    <w:rsid w:val="00CD3D8D"/>
    <w:rsid w:val="00CE10CA"/>
    <w:rsid w:val="00CE293D"/>
    <w:rsid w:val="00CE2F59"/>
    <w:rsid w:val="00CE4BB6"/>
    <w:rsid w:val="00CE658B"/>
    <w:rsid w:val="00D00AE5"/>
    <w:rsid w:val="00D02EDC"/>
    <w:rsid w:val="00D038FC"/>
    <w:rsid w:val="00D05F12"/>
    <w:rsid w:val="00D10269"/>
    <w:rsid w:val="00D14921"/>
    <w:rsid w:val="00D2018B"/>
    <w:rsid w:val="00D22985"/>
    <w:rsid w:val="00D31380"/>
    <w:rsid w:val="00D320F6"/>
    <w:rsid w:val="00D36000"/>
    <w:rsid w:val="00D42282"/>
    <w:rsid w:val="00D43DDA"/>
    <w:rsid w:val="00D52485"/>
    <w:rsid w:val="00D56286"/>
    <w:rsid w:val="00D56964"/>
    <w:rsid w:val="00D56EDA"/>
    <w:rsid w:val="00D60360"/>
    <w:rsid w:val="00D63079"/>
    <w:rsid w:val="00D6443C"/>
    <w:rsid w:val="00D6492F"/>
    <w:rsid w:val="00D81ABB"/>
    <w:rsid w:val="00D91014"/>
    <w:rsid w:val="00D91FBF"/>
    <w:rsid w:val="00DA4B85"/>
    <w:rsid w:val="00DA5583"/>
    <w:rsid w:val="00DA61A5"/>
    <w:rsid w:val="00DC2E8B"/>
    <w:rsid w:val="00DC4EB1"/>
    <w:rsid w:val="00DC6F96"/>
    <w:rsid w:val="00DF0539"/>
    <w:rsid w:val="00DF2C6E"/>
    <w:rsid w:val="00DF3558"/>
    <w:rsid w:val="00E03E72"/>
    <w:rsid w:val="00E0562A"/>
    <w:rsid w:val="00E220CF"/>
    <w:rsid w:val="00E25E77"/>
    <w:rsid w:val="00E267D9"/>
    <w:rsid w:val="00E271EB"/>
    <w:rsid w:val="00E30540"/>
    <w:rsid w:val="00E33AE3"/>
    <w:rsid w:val="00E33CD5"/>
    <w:rsid w:val="00E37F3A"/>
    <w:rsid w:val="00E442FF"/>
    <w:rsid w:val="00E50B88"/>
    <w:rsid w:val="00E552AB"/>
    <w:rsid w:val="00E56DA3"/>
    <w:rsid w:val="00E60C32"/>
    <w:rsid w:val="00E67D9F"/>
    <w:rsid w:val="00E732E7"/>
    <w:rsid w:val="00E771DB"/>
    <w:rsid w:val="00E80E0B"/>
    <w:rsid w:val="00EA6337"/>
    <w:rsid w:val="00EA7AB8"/>
    <w:rsid w:val="00EB4F77"/>
    <w:rsid w:val="00EB560D"/>
    <w:rsid w:val="00ED1F6E"/>
    <w:rsid w:val="00ED47E5"/>
    <w:rsid w:val="00ED4A59"/>
    <w:rsid w:val="00ED6702"/>
    <w:rsid w:val="00EF4270"/>
    <w:rsid w:val="00F0308A"/>
    <w:rsid w:val="00F06CF4"/>
    <w:rsid w:val="00F07C4C"/>
    <w:rsid w:val="00F17E85"/>
    <w:rsid w:val="00F203F6"/>
    <w:rsid w:val="00F22992"/>
    <w:rsid w:val="00F238F5"/>
    <w:rsid w:val="00F23F73"/>
    <w:rsid w:val="00F32644"/>
    <w:rsid w:val="00F37F3C"/>
    <w:rsid w:val="00F549D5"/>
    <w:rsid w:val="00F60646"/>
    <w:rsid w:val="00F60744"/>
    <w:rsid w:val="00F675C2"/>
    <w:rsid w:val="00F86D03"/>
    <w:rsid w:val="00FB2F2C"/>
    <w:rsid w:val="00FB3BA0"/>
    <w:rsid w:val="00FB542B"/>
    <w:rsid w:val="00FC1CA2"/>
    <w:rsid w:val="00FC496B"/>
    <w:rsid w:val="00FE3C6D"/>
    <w:rsid w:val="00FF2A68"/>
    <w:rsid w:val="00FF7FDF"/>
    <w:rsid w:val="016F1C52"/>
    <w:rsid w:val="6D2F9F3C"/>
    <w:rsid w:val="71567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4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adpis2"/>
    <w:link w:val="Nadpis1Char"/>
    <w:uiPriority w:val="9"/>
    <w:qFormat/>
    <w:rsid w:val="009A0404"/>
    <w:pPr>
      <w:keepLines/>
      <w:widowControl w:val="0"/>
      <w:numPr>
        <w:numId w:val="12"/>
      </w:numPr>
      <w:shd w:val="solid" w:color="D9E2F3" w:themeColor="accent1" w:themeTint="33" w:fill="auto"/>
      <w:spacing w:before="240" w:after="120" w:line="276" w:lineRule="auto"/>
      <w:ind w:left="567" w:hanging="567"/>
      <w:outlineLvl w:val="0"/>
    </w:pPr>
    <w:rPr>
      <w:rFonts w:eastAsiaTheme="majorEastAsia" w:cs="Times New Roman (Headings CS)"/>
      <w:b/>
      <w:bCs/>
      <w:caps/>
      <w:szCs w:val="28"/>
    </w:rPr>
  </w:style>
  <w:style w:type="paragraph" w:styleId="Nadpis2">
    <w:name w:val="heading 2"/>
    <w:basedOn w:val="Normln"/>
    <w:link w:val="Nadpis2Char"/>
    <w:uiPriority w:val="9"/>
    <w:unhideWhenUsed/>
    <w:qFormat/>
    <w:rsid w:val="009A0404"/>
    <w:pPr>
      <w:keepLines/>
      <w:widowControl w:val="0"/>
      <w:numPr>
        <w:ilvl w:val="1"/>
        <w:numId w:val="12"/>
      </w:numPr>
      <w:spacing w:before="120" w:after="120" w:line="240" w:lineRule="auto"/>
      <w:jc w:val="both"/>
      <w:outlineLvl w:val="1"/>
    </w:pPr>
    <w:rPr>
      <w:rFonts w:eastAsiaTheme="majorEastAsia" w:cstheme="majorBidi"/>
      <w:szCs w:val="26"/>
      <w:lang w:eastAsia="cs-CZ"/>
    </w:rPr>
  </w:style>
  <w:style w:type="paragraph" w:styleId="Nadpis3">
    <w:name w:val="heading 3"/>
    <w:basedOn w:val="Normln"/>
    <w:link w:val="Nadpis3Char"/>
    <w:uiPriority w:val="9"/>
    <w:unhideWhenUsed/>
    <w:qFormat/>
    <w:rsid w:val="009A0404"/>
    <w:pPr>
      <w:keepLines/>
      <w:widowControl w:val="0"/>
      <w:numPr>
        <w:ilvl w:val="2"/>
        <w:numId w:val="12"/>
      </w:numPr>
      <w:spacing w:before="40" w:after="120"/>
      <w:jc w:val="both"/>
      <w:outlineLvl w:val="2"/>
    </w:pPr>
    <w:rPr>
      <w:rFonts w:eastAsiaTheme="majorEastAsia" w:cstheme="minorHAnsi"/>
    </w:rPr>
  </w:style>
  <w:style w:type="paragraph" w:styleId="Nadpis4">
    <w:name w:val="heading 4"/>
    <w:basedOn w:val="Normln"/>
    <w:next w:val="Normln"/>
    <w:link w:val="Nadpis4Char"/>
    <w:uiPriority w:val="9"/>
    <w:semiHidden/>
    <w:unhideWhenUsed/>
    <w:qFormat/>
    <w:rsid w:val="009A0404"/>
    <w:pPr>
      <w:keepNext/>
      <w:keepLines/>
      <w:widowControl w:val="0"/>
      <w:numPr>
        <w:ilvl w:val="3"/>
        <w:numId w:val="12"/>
      </w:numPr>
      <w:spacing w:before="40" w:after="0" w:line="240" w:lineRule="auto"/>
      <w:outlineLvl w:val="3"/>
    </w:pPr>
    <w:rPr>
      <w:rFonts w:asciiTheme="majorHAnsi" w:eastAsiaTheme="majorEastAsia" w:hAnsiTheme="majorHAnsi" w:cstheme="majorBidi"/>
      <w:i/>
      <w:iCs/>
      <w:color w:val="2F5496" w:themeColor="accent1" w:themeShade="BF"/>
      <w:sz w:val="18"/>
      <w:szCs w:val="20"/>
      <w:lang w:eastAsia="cs-CZ"/>
    </w:rPr>
  </w:style>
  <w:style w:type="paragraph" w:styleId="Nadpis5">
    <w:name w:val="heading 5"/>
    <w:basedOn w:val="Normln"/>
    <w:next w:val="Normln"/>
    <w:link w:val="Nadpis5Char"/>
    <w:uiPriority w:val="9"/>
    <w:semiHidden/>
    <w:unhideWhenUsed/>
    <w:qFormat/>
    <w:rsid w:val="009A0404"/>
    <w:pPr>
      <w:keepNext/>
      <w:keepLines/>
      <w:widowControl w:val="0"/>
      <w:numPr>
        <w:ilvl w:val="4"/>
        <w:numId w:val="12"/>
      </w:numPr>
      <w:spacing w:before="40" w:after="0" w:line="240" w:lineRule="auto"/>
      <w:outlineLvl w:val="4"/>
    </w:pPr>
    <w:rPr>
      <w:rFonts w:asciiTheme="majorHAnsi" w:eastAsiaTheme="majorEastAsia" w:hAnsiTheme="majorHAnsi" w:cstheme="majorBidi"/>
      <w:color w:val="2F5496" w:themeColor="accent1" w:themeShade="BF"/>
      <w:sz w:val="18"/>
      <w:szCs w:val="20"/>
      <w:lang w:eastAsia="cs-CZ"/>
    </w:rPr>
  </w:style>
  <w:style w:type="paragraph" w:styleId="Nadpis6">
    <w:name w:val="heading 6"/>
    <w:basedOn w:val="Normln"/>
    <w:next w:val="Normln"/>
    <w:link w:val="Nadpis6Char"/>
    <w:uiPriority w:val="9"/>
    <w:semiHidden/>
    <w:unhideWhenUsed/>
    <w:qFormat/>
    <w:rsid w:val="009A0404"/>
    <w:pPr>
      <w:keepNext/>
      <w:keepLines/>
      <w:widowControl w:val="0"/>
      <w:numPr>
        <w:ilvl w:val="5"/>
        <w:numId w:val="12"/>
      </w:numPr>
      <w:spacing w:before="40" w:after="0" w:line="240" w:lineRule="auto"/>
      <w:outlineLvl w:val="5"/>
    </w:pPr>
    <w:rPr>
      <w:rFonts w:asciiTheme="majorHAnsi" w:eastAsiaTheme="majorEastAsia" w:hAnsiTheme="majorHAnsi" w:cstheme="majorBidi"/>
      <w:color w:val="1F3763" w:themeColor="accent1" w:themeShade="7F"/>
      <w:sz w:val="18"/>
      <w:szCs w:val="20"/>
      <w:lang w:eastAsia="cs-CZ"/>
    </w:rPr>
  </w:style>
  <w:style w:type="paragraph" w:styleId="Nadpis7">
    <w:name w:val="heading 7"/>
    <w:basedOn w:val="Normln"/>
    <w:next w:val="Normln"/>
    <w:link w:val="Nadpis7Char"/>
    <w:uiPriority w:val="9"/>
    <w:semiHidden/>
    <w:unhideWhenUsed/>
    <w:qFormat/>
    <w:rsid w:val="009A0404"/>
    <w:pPr>
      <w:keepNext/>
      <w:keepLines/>
      <w:widowControl w:val="0"/>
      <w:numPr>
        <w:ilvl w:val="6"/>
        <w:numId w:val="12"/>
      </w:numPr>
      <w:spacing w:before="40" w:after="0" w:line="240" w:lineRule="auto"/>
      <w:outlineLvl w:val="6"/>
    </w:pPr>
    <w:rPr>
      <w:rFonts w:asciiTheme="majorHAnsi" w:eastAsiaTheme="majorEastAsia" w:hAnsiTheme="majorHAnsi" w:cstheme="majorBidi"/>
      <w:i/>
      <w:iCs/>
      <w:color w:val="1F3763" w:themeColor="accent1" w:themeShade="7F"/>
      <w:sz w:val="18"/>
      <w:szCs w:val="20"/>
      <w:lang w:eastAsia="cs-CZ"/>
    </w:rPr>
  </w:style>
  <w:style w:type="paragraph" w:styleId="Nadpis8">
    <w:name w:val="heading 8"/>
    <w:basedOn w:val="Normln"/>
    <w:next w:val="Normln"/>
    <w:link w:val="Nadpis8Char"/>
    <w:uiPriority w:val="9"/>
    <w:semiHidden/>
    <w:unhideWhenUsed/>
    <w:qFormat/>
    <w:rsid w:val="009A0404"/>
    <w:pPr>
      <w:keepNext/>
      <w:keepLines/>
      <w:widowControl w:val="0"/>
      <w:numPr>
        <w:ilvl w:val="7"/>
        <w:numId w:val="12"/>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9A0404"/>
    <w:pPr>
      <w:keepNext/>
      <w:keepLines/>
      <w:widowControl w:val="0"/>
      <w:numPr>
        <w:ilvl w:val="8"/>
        <w:numId w:val="1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E12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12AC"/>
  </w:style>
  <w:style w:type="paragraph" w:styleId="Zpat">
    <w:name w:val="footer"/>
    <w:basedOn w:val="Normln"/>
    <w:link w:val="ZpatChar"/>
    <w:uiPriority w:val="99"/>
    <w:unhideWhenUsed/>
    <w:rsid w:val="00BE12AC"/>
    <w:pPr>
      <w:tabs>
        <w:tab w:val="center" w:pos="4536"/>
        <w:tab w:val="right" w:pos="9072"/>
      </w:tabs>
      <w:spacing w:after="0" w:line="240" w:lineRule="auto"/>
    </w:pPr>
  </w:style>
  <w:style w:type="character" w:customStyle="1" w:styleId="ZpatChar">
    <w:name w:val="Zápatí Char"/>
    <w:basedOn w:val="Standardnpsmoodstavce"/>
    <w:link w:val="Zpat"/>
    <w:uiPriority w:val="99"/>
    <w:rsid w:val="00BE12AC"/>
  </w:style>
  <w:style w:type="paragraph" w:styleId="Zkladntext">
    <w:name w:val="Body Text"/>
    <w:basedOn w:val="Normln"/>
    <w:link w:val="ZkladntextChar"/>
    <w:rsid w:val="007B5463"/>
    <w:pPr>
      <w:widowControl w:val="0"/>
      <w:spacing w:after="0" w:line="240" w:lineRule="auto"/>
    </w:pPr>
    <w:rPr>
      <w:rFonts w:ascii="TimesEEW" w:eastAsia="Times New Roman" w:hAnsi="TimesEEW" w:cs="Times New Roman"/>
      <w:color w:val="000000"/>
      <w:sz w:val="24"/>
      <w:szCs w:val="20"/>
      <w:lang w:eastAsia="cs-CZ"/>
    </w:rPr>
  </w:style>
  <w:style w:type="character" w:customStyle="1" w:styleId="ZkladntextChar">
    <w:name w:val="Základní text Char"/>
    <w:basedOn w:val="Standardnpsmoodstavce"/>
    <w:link w:val="Zkladntext"/>
    <w:rsid w:val="007B5463"/>
    <w:rPr>
      <w:rFonts w:ascii="TimesEEW" w:eastAsia="Times New Roman" w:hAnsi="TimesEEW" w:cs="Times New Roman"/>
      <w:color w:val="000000"/>
      <w:sz w:val="24"/>
      <w:szCs w:val="20"/>
      <w:lang w:eastAsia="cs-CZ"/>
    </w:rPr>
  </w:style>
  <w:style w:type="paragraph" w:styleId="Odstavecseseznamem">
    <w:name w:val="List Paragraph"/>
    <w:basedOn w:val="Normln"/>
    <w:uiPriority w:val="34"/>
    <w:qFormat/>
    <w:rsid w:val="003611D7"/>
    <w:pPr>
      <w:ind w:left="720"/>
      <w:contextualSpacing/>
    </w:pPr>
  </w:style>
  <w:style w:type="table" w:styleId="Mkatabulky">
    <w:name w:val="Table Grid"/>
    <w:basedOn w:val="Normlntabulka"/>
    <w:uiPriority w:val="99"/>
    <w:rsid w:val="00255159"/>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F1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D43DDA"/>
    <w:rPr>
      <w:sz w:val="16"/>
      <w:szCs w:val="16"/>
    </w:rPr>
  </w:style>
  <w:style w:type="paragraph" w:styleId="Textkomente">
    <w:name w:val="annotation text"/>
    <w:basedOn w:val="Normln"/>
    <w:link w:val="TextkomenteChar"/>
    <w:uiPriority w:val="99"/>
    <w:unhideWhenUsed/>
    <w:rsid w:val="00D43DDA"/>
    <w:pPr>
      <w:spacing w:line="240" w:lineRule="auto"/>
    </w:pPr>
    <w:rPr>
      <w:sz w:val="20"/>
      <w:szCs w:val="20"/>
    </w:rPr>
  </w:style>
  <w:style w:type="character" w:customStyle="1" w:styleId="TextkomenteChar">
    <w:name w:val="Text komentáře Char"/>
    <w:basedOn w:val="Standardnpsmoodstavce"/>
    <w:link w:val="Textkomente"/>
    <w:uiPriority w:val="99"/>
    <w:rsid w:val="00D43DDA"/>
    <w:rPr>
      <w:sz w:val="20"/>
      <w:szCs w:val="20"/>
    </w:rPr>
  </w:style>
  <w:style w:type="paragraph" w:styleId="Pedmtkomente">
    <w:name w:val="annotation subject"/>
    <w:basedOn w:val="Textkomente"/>
    <w:next w:val="Textkomente"/>
    <w:link w:val="PedmtkomenteChar"/>
    <w:uiPriority w:val="99"/>
    <w:semiHidden/>
    <w:unhideWhenUsed/>
    <w:rsid w:val="00D43DDA"/>
    <w:rPr>
      <w:b/>
      <w:bCs/>
    </w:rPr>
  </w:style>
  <w:style w:type="character" w:customStyle="1" w:styleId="PedmtkomenteChar">
    <w:name w:val="Předmět komentáře Char"/>
    <w:basedOn w:val="TextkomenteChar"/>
    <w:link w:val="Pedmtkomente"/>
    <w:uiPriority w:val="99"/>
    <w:semiHidden/>
    <w:rsid w:val="00D43DDA"/>
    <w:rPr>
      <w:b/>
      <w:bCs/>
      <w:sz w:val="20"/>
      <w:szCs w:val="20"/>
    </w:rPr>
  </w:style>
  <w:style w:type="paragraph" w:styleId="Textbubliny">
    <w:name w:val="Balloon Text"/>
    <w:basedOn w:val="Normln"/>
    <w:link w:val="TextbublinyChar"/>
    <w:uiPriority w:val="99"/>
    <w:semiHidden/>
    <w:unhideWhenUsed/>
    <w:rsid w:val="00D43DD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DDA"/>
    <w:rPr>
      <w:rFonts w:ascii="Segoe UI" w:hAnsi="Segoe UI" w:cs="Segoe UI"/>
      <w:sz w:val="18"/>
      <w:szCs w:val="18"/>
    </w:rPr>
  </w:style>
  <w:style w:type="paragraph" w:styleId="Revize">
    <w:name w:val="Revision"/>
    <w:hidden/>
    <w:uiPriority w:val="99"/>
    <w:semiHidden/>
    <w:rsid w:val="0005079B"/>
    <w:pPr>
      <w:spacing w:after="0" w:line="240" w:lineRule="auto"/>
    </w:pPr>
  </w:style>
  <w:style w:type="character" w:styleId="Hypertextovodkaz">
    <w:name w:val="Hyperlink"/>
    <w:basedOn w:val="Standardnpsmoodstavce"/>
    <w:uiPriority w:val="99"/>
    <w:unhideWhenUsed/>
    <w:rsid w:val="00FB3BA0"/>
    <w:rPr>
      <w:color w:val="0000FF"/>
      <w:u w:val="single"/>
    </w:rPr>
  </w:style>
  <w:style w:type="character" w:styleId="Nevyeenzmnka">
    <w:name w:val="Unresolved Mention"/>
    <w:basedOn w:val="Standardnpsmoodstavce"/>
    <w:uiPriority w:val="99"/>
    <w:semiHidden/>
    <w:unhideWhenUsed/>
    <w:rsid w:val="00CB71EF"/>
    <w:rPr>
      <w:color w:val="605E5C"/>
      <w:shd w:val="clear" w:color="auto" w:fill="E1DFDD"/>
    </w:rPr>
  </w:style>
  <w:style w:type="character" w:customStyle="1" w:styleId="Nadpis1Char">
    <w:name w:val="Nadpis 1 Char"/>
    <w:basedOn w:val="Standardnpsmoodstavce"/>
    <w:link w:val="Nadpis1"/>
    <w:uiPriority w:val="9"/>
    <w:rsid w:val="009A0404"/>
    <w:rPr>
      <w:rFonts w:eastAsiaTheme="majorEastAsia" w:cs="Times New Roman (Headings CS)"/>
      <w:b/>
      <w:bCs/>
      <w:caps/>
      <w:szCs w:val="28"/>
      <w:shd w:val="solid" w:color="D9E2F3" w:themeColor="accent1" w:themeTint="33" w:fill="auto"/>
    </w:rPr>
  </w:style>
  <w:style w:type="character" w:customStyle="1" w:styleId="Nadpis2Char">
    <w:name w:val="Nadpis 2 Char"/>
    <w:basedOn w:val="Standardnpsmoodstavce"/>
    <w:link w:val="Nadpis2"/>
    <w:uiPriority w:val="9"/>
    <w:rsid w:val="009A0404"/>
    <w:rPr>
      <w:rFonts w:eastAsiaTheme="majorEastAsia" w:cstheme="majorBidi"/>
      <w:szCs w:val="26"/>
      <w:lang w:eastAsia="cs-CZ"/>
    </w:rPr>
  </w:style>
  <w:style w:type="character" w:customStyle="1" w:styleId="Nadpis3Char">
    <w:name w:val="Nadpis 3 Char"/>
    <w:basedOn w:val="Standardnpsmoodstavce"/>
    <w:link w:val="Nadpis3"/>
    <w:uiPriority w:val="9"/>
    <w:rsid w:val="009A0404"/>
    <w:rPr>
      <w:rFonts w:eastAsiaTheme="majorEastAsia" w:cstheme="minorHAnsi"/>
    </w:rPr>
  </w:style>
  <w:style w:type="character" w:customStyle="1" w:styleId="Nadpis4Char">
    <w:name w:val="Nadpis 4 Char"/>
    <w:basedOn w:val="Standardnpsmoodstavce"/>
    <w:link w:val="Nadpis4"/>
    <w:uiPriority w:val="9"/>
    <w:semiHidden/>
    <w:rsid w:val="009A0404"/>
    <w:rPr>
      <w:rFonts w:asciiTheme="majorHAnsi" w:eastAsiaTheme="majorEastAsia" w:hAnsiTheme="majorHAnsi" w:cstheme="majorBidi"/>
      <w:i/>
      <w:iCs/>
      <w:color w:val="2F5496" w:themeColor="accent1" w:themeShade="BF"/>
      <w:sz w:val="18"/>
      <w:szCs w:val="20"/>
      <w:lang w:eastAsia="cs-CZ"/>
    </w:rPr>
  </w:style>
  <w:style w:type="character" w:customStyle="1" w:styleId="Nadpis5Char">
    <w:name w:val="Nadpis 5 Char"/>
    <w:basedOn w:val="Standardnpsmoodstavce"/>
    <w:link w:val="Nadpis5"/>
    <w:uiPriority w:val="9"/>
    <w:semiHidden/>
    <w:rsid w:val="009A0404"/>
    <w:rPr>
      <w:rFonts w:asciiTheme="majorHAnsi" w:eastAsiaTheme="majorEastAsia" w:hAnsiTheme="majorHAnsi" w:cstheme="majorBidi"/>
      <w:color w:val="2F5496" w:themeColor="accent1" w:themeShade="BF"/>
      <w:sz w:val="18"/>
      <w:szCs w:val="20"/>
      <w:lang w:eastAsia="cs-CZ"/>
    </w:rPr>
  </w:style>
  <w:style w:type="character" w:customStyle="1" w:styleId="Nadpis6Char">
    <w:name w:val="Nadpis 6 Char"/>
    <w:basedOn w:val="Standardnpsmoodstavce"/>
    <w:link w:val="Nadpis6"/>
    <w:uiPriority w:val="9"/>
    <w:semiHidden/>
    <w:rsid w:val="009A0404"/>
    <w:rPr>
      <w:rFonts w:asciiTheme="majorHAnsi" w:eastAsiaTheme="majorEastAsia" w:hAnsiTheme="majorHAnsi" w:cstheme="majorBidi"/>
      <w:color w:val="1F3763" w:themeColor="accent1" w:themeShade="7F"/>
      <w:sz w:val="18"/>
      <w:szCs w:val="20"/>
      <w:lang w:eastAsia="cs-CZ"/>
    </w:rPr>
  </w:style>
  <w:style w:type="character" w:customStyle="1" w:styleId="Nadpis7Char">
    <w:name w:val="Nadpis 7 Char"/>
    <w:basedOn w:val="Standardnpsmoodstavce"/>
    <w:link w:val="Nadpis7"/>
    <w:uiPriority w:val="9"/>
    <w:semiHidden/>
    <w:rsid w:val="009A0404"/>
    <w:rPr>
      <w:rFonts w:asciiTheme="majorHAnsi" w:eastAsiaTheme="majorEastAsia" w:hAnsiTheme="majorHAnsi" w:cstheme="majorBidi"/>
      <w:i/>
      <w:iCs/>
      <w:color w:val="1F3763" w:themeColor="accent1" w:themeShade="7F"/>
      <w:sz w:val="18"/>
      <w:szCs w:val="20"/>
      <w:lang w:eastAsia="cs-CZ"/>
    </w:rPr>
  </w:style>
  <w:style w:type="character" w:customStyle="1" w:styleId="Nadpis8Char">
    <w:name w:val="Nadpis 8 Char"/>
    <w:basedOn w:val="Standardnpsmoodstavce"/>
    <w:link w:val="Nadpis8"/>
    <w:uiPriority w:val="9"/>
    <w:semiHidden/>
    <w:rsid w:val="009A040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A0404"/>
    <w:rPr>
      <w:rFonts w:asciiTheme="majorHAnsi" w:eastAsiaTheme="majorEastAsia" w:hAnsiTheme="majorHAnsi" w:cstheme="majorBidi"/>
      <w:i/>
      <w:iCs/>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852</RequestID>
    <PocetZnRetezec xmlns="acca34e4-9ecd-41c8-99eb-d6aa654aaa55">3</PocetZnRetezec>
    <Block_WF xmlns="acca34e4-9ecd-41c8-99eb-d6aa654aaa55">0</Block_WF>
    <ZkracenyRetezec xmlns="acca34e4-9ecd-41c8-99eb-d6aa654aaa55">852-626/626-23_RS.docx</ZkracenyRetezec>
    <Smazat xmlns="acca34e4-9ecd-41c8-99eb-d6aa654aaa55">&lt;a href="/sites/evidencesmluv/_layouts/15/IniWrkflIP.aspx?List=%7bCE30C7C5-C907-4538-821C-CE5B191189D5%7d&amp;amp;ID=2039&amp;amp;ItemGuid=%7b56A33318-4A60-4EBC-9E6E-095A75E47F8E%7d&amp;amp;TemplateID=%7bd3f8102e-f4a5-4901-b93c-fb146a9d820d%7d"&gt;&lt;img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4A091-90DD-4D5D-93AE-669EC1BF83C9}">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1B170C3D-FBE0-4986-BF4B-4CC7393ADC12}"/>
</file>

<file path=customXml/itemProps3.xml><?xml version="1.0" encoding="utf-8"?>
<ds:datastoreItem xmlns:ds="http://schemas.openxmlformats.org/officeDocument/2006/customXml" ds:itemID="{4F01C730-DC73-4AB3-8BB0-88A2A170DEFE}">
  <ds:schemaRefs>
    <ds:schemaRef ds:uri="http://schemas.microsoft.com/sharepoint/v3/contenttype/forms"/>
  </ds:schemaRefs>
</ds:datastoreItem>
</file>

<file path=customXml/itemProps4.xml><?xml version="1.0" encoding="utf-8"?>
<ds:datastoreItem xmlns:ds="http://schemas.openxmlformats.org/officeDocument/2006/customXml" ds:itemID="{30237BBD-15D0-42F9-B9CC-BB92DD3BA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93B1AA-C914-4ACD-8B26-D3221360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2003</Words>
  <Characters>11818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2023-09-27T10:32:00Z</dcterms:created>
  <dcterms:modified xsi:type="dcterms:W3CDTF">2023-09-27T10:32:00Z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eab7388f-67ee-4ba0-9205-5de2af229d0c</vt:lpwstr>
  </property>
  <property fmtid="{D5CDD505-2E9C-101B-9397-08002B2CF9AE}" pid="4" name="MSIP_Label_2063cd7f-2d21-486a-9f29-9c1683fdd175_Enabled">
    <vt:lpwstr>true</vt:lpwstr>
  </property>
  <property fmtid="{D5CDD505-2E9C-101B-9397-08002B2CF9AE}" pid="5" name="MSIP_Label_2063cd7f-2d21-486a-9f29-9c1683fdd175_SetDate">
    <vt:lpwstr>2023-09-08T06:43:05Z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8bc370cd-b6a8-4f72-9dd8-029d9cacf338</vt:lpwstr>
  </property>
  <property fmtid="{D5CDD505-2E9C-101B-9397-08002B2CF9AE}" pid="10" name="MSIP_Label_2063cd7f-2d21-486a-9f29-9c1683fdd175_ContentBits">
    <vt:lpwstr>0</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