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  <w:rPr>
          <w:sz w:val="68"/>
          <w:szCs w:val="68"/>
        </w:rPr>
      </w:pPr>
      <w:bookmarkStart w:id="3" w:name="bookmark3"/>
      <w:r>
        <w:rPr>
          <w:rStyle w:val="CharStyle25"/>
          <w:smallCaps/>
        </w:rPr>
        <w:t>iiiiiiiiiiiiiiii</w:t>
      </w:r>
      <w:r>
        <w:rPr>
          <w:rStyle w:val="CharStyle25"/>
          <w:rFonts w:ascii="Times New Roman" w:eastAsia="Times New Roman" w:hAnsi="Times New Roman" w:cs="Times New Roman"/>
          <w:w w:val="50"/>
          <w:sz w:val="68"/>
          <w:szCs w:val="68"/>
        </w:rPr>
        <w:t xml:space="preserve"> lilium</w:t>
      </w:r>
      <w:bookmarkEnd w:id="3"/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mc:AlternateContent>
          <mc:Choice Requires="wps">
            <w:drawing>
              <wp:anchor distT="0" distB="50800" distL="114300" distR="114300" simplePos="0" relativeHeight="125829378" behindDoc="0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101600</wp:posOffset>
                </wp:positionV>
                <wp:extent cx="1200785" cy="18923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078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KUPNÍ SMLOUVA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3.45000000000002pt;margin-top:8.pt;width:94.549999999999997pt;height:14.9pt;z-index:-125829375;mso-wrap-distance-left:9.pt;mso-wrap-distance-right:9.pt;mso-wrap-distance-bottom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KUPNÍ SMLOUVA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CharStyle31"/>
        </w:rPr>
        <w:t>2023007173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20" w:after="240" w:line="322" w:lineRule="auto"/>
        <w:ind w:left="0" w:right="0" w:firstLine="0"/>
        <w:jc w:val="center"/>
      </w:pPr>
      <w:r>
        <w:rPr>
          <w:rStyle w:val="CharStyle5"/>
        </w:rPr>
        <w:t>podle ustanovení § 2079 a násl. zákona č. 89/2012 Sb., občanský zákoník,</w:t>
        <w:br/>
        <w:t>uzavřená mezi</w:t>
      </w:r>
    </w:p>
    <w:tbl>
      <w:tblPr>
        <w:tblOverlap w:val="never"/>
        <w:jc w:val="center"/>
        <w:tblLayout w:type="fixed"/>
      </w:tblPr>
      <w:tblGrid>
        <w:gridCol w:w="2746"/>
        <w:gridCol w:w="6379"/>
      </w:tblGrid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3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MUDr. Hana Albrechtová, ředitelka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36"/>
                <w:shd w:val="clear" w:color="auto" w:fill="000000"/>
              </w:rPr>
              <w:t>......​</w:t>
            </w:r>
            <w:r>
              <w:rPr>
                <w:rStyle w:val="CharStyle36"/>
                <w:spacing w:val="3"/>
                <w:shd w:val="clear" w:color="auto" w:fill="000000"/>
              </w:rPr>
              <w:t>......</w:t>
            </w:r>
            <w:r>
              <w:rPr>
                <w:rStyle w:val="CharStyle36"/>
                <w:spacing w:val="4"/>
                <w:shd w:val="clear" w:color="auto" w:fill="000000"/>
              </w:rPr>
              <w:t>......</w:t>
            </w:r>
            <w:r>
              <w:rPr>
                <w:rStyle w:val="CharStyle36"/>
                <w:shd w:val="clear" w:color="auto" w:fill="000000"/>
              </w:rPr>
              <w:t>​...</w:t>
            </w:r>
            <w:r>
              <w:rPr>
                <w:rStyle w:val="CharStyle36"/>
                <w:spacing w:val="1"/>
                <w:shd w:val="clear" w:color="auto" w:fill="000000"/>
              </w:rPr>
              <w:t>.........</w:t>
            </w:r>
            <w:r>
              <w:rPr>
                <w:rStyle w:val="CharStyle36"/>
                <w:shd w:val="clear" w:color="auto" w:fill="000000"/>
              </w:rPr>
              <w:t>​</w:t>
            </w:r>
            <w:r>
              <w:rPr>
                <w:rStyle w:val="CharStyle36"/>
                <w:spacing w:val="6"/>
                <w:shd w:val="clear" w:color="auto" w:fill="000000"/>
              </w:rPr>
              <w:t>.</w:t>
            </w:r>
            <w:r>
              <w:rPr>
                <w:rStyle w:val="CharStyle36"/>
                <w:spacing w:val="7"/>
                <w:shd w:val="clear" w:color="auto" w:fill="000000"/>
              </w:rPr>
              <w:t>.....</w:t>
            </w:r>
            <w:r>
              <w:rPr>
                <w:rStyle w:val="CharStyle36"/>
                <w:shd w:val="clear" w:color="auto" w:fill="000000"/>
              </w:rPr>
              <w:t>..​</w:t>
            </w:r>
            <w:r>
              <w:rPr>
                <w:rStyle w:val="CharStyle36"/>
                <w:spacing w:val="3"/>
                <w:shd w:val="clear" w:color="auto" w:fill="000000"/>
              </w:rPr>
              <w:t>..</w:t>
            </w:r>
            <w:r>
              <w:rPr>
                <w:rStyle w:val="CharStyle36"/>
                <w:spacing w:val="4"/>
                <w:shd w:val="clear" w:color="auto" w:fill="000000"/>
              </w:rPr>
              <w:t>.</w:t>
            </w:r>
            <w:r>
              <w:rPr>
                <w:rStyle w:val="CharStyle36"/>
                <w:shd w:val="clear" w:color="auto" w:fill="000000"/>
              </w:rPr>
              <w:t>​</w:t>
            </w:r>
            <w:r>
              <w:rPr>
                <w:rStyle w:val="CharStyle36"/>
                <w:spacing w:val="3"/>
                <w:shd w:val="clear" w:color="auto" w:fill="000000"/>
              </w:rPr>
              <w:t>..</w:t>
            </w:r>
            <w:r>
              <w:rPr>
                <w:rStyle w:val="CharStyle36"/>
                <w:spacing w:val="4"/>
                <w:shd w:val="clear" w:color="auto" w:fill="000000"/>
              </w:rPr>
              <w:t>......</w:t>
            </w:r>
            <w:r>
              <w:rPr>
                <w:rStyle w:val="CharStyle36"/>
                <w:u w:val="single"/>
                <w:shd w:val="clear" w:color="auto" w:fill="000000"/>
                <w:lang w:val="en-US" w:eastAsia="en-US" w:bidi="en-US"/>
              </w:rPr>
              <w:t>​.</w:t>
            </w:r>
            <w:r>
              <w:rPr>
                <w:rStyle w:val="CharStyle36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CharStyle36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36"/>
                <w:color w:val="356A9F"/>
                <w:lang w:val="en-US" w:eastAsia="en-US" w:bidi="en-US"/>
              </w:rPr>
              <w:t xml:space="preserve"> </w:t>
            </w:r>
            <w:r>
              <w:rPr>
                <w:rStyle w:val="CharStyle36"/>
                <w:shd w:val="clear" w:color="auto" w:fill="000000"/>
              </w:rPr>
              <w:t>​</w:t>
            </w:r>
            <w:r>
              <w:rPr>
                <w:rStyle w:val="CharStyle36"/>
                <w:spacing w:val="7"/>
                <w:shd w:val="clear" w:color="auto" w:fill="000000"/>
              </w:rPr>
              <w:t>......</w:t>
            </w:r>
            <w:r>
              <w:rPr>
                <w:rStyle w:val="CharStyle36"/>
                <w:shd w:val="clear" w:color="auto" w:fill="000000"/>
              </w:rPr>
              <w:t>​....</w:t>
            </w:r>
            <w:r>
              <w:rPr>
                <w:rStyle w:val="CharStyle36"/>
                <w:spacing w:val="1"/>
                <w:shd w:val="clear" w:color="auto" w:fill="000000"/>
              </w:rPr>
              <w:t>.....</w:t>
            </w:r>
            <w:r>
              <w:rPr>
                <w:rStyle w:val="CharStyle36"/>
                <w:shd w:val="clear" w:color="auto" w:fill="000000"/>
              </w:rPr>
              <w:t>​.......​</w:t>
            </w:r>
            <w:r>
              <w:rPr>
                <w:rStyle w:val="CharStyle36"/>
                <w:spacing w:val="6"/>
                <w:shd w:val="clear" w:color="auto" w:fill="000000"/>
              </w:rPr>
              <w:t>...</w:t>
            </w:r>
            <w:r>
              <w:rPr>
                <w:rStyle w:val="CharStyle36"/>
                <w:spacing w:val="7"/>
                <w:shd w:val="clear" w:color="auto" w:fill="000000"/>
              </w:rPr>
              <w:t>...</w:t>
            </w:r>
            <w:r>
              <w:rPr>
                <w:rStyle w:val="CharStyle36"/>
                <w:shd w:val="clear" w:color="auto" w:fill="000000"/>
              </w:rPr>
              <w:t>​......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MONETA Money Bank, a.s., č. ú. 117203514/0600</w:t>
            </w:r>
          </w:p>
        </w:tc>
      </w:tr>
    </w:tbl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33"/>
          <w:sz w:val="19"/>
          <w:szCs w:val="19"/>
        </w:rPr>
        <w:t xml:space="preserve">(dále jen </w:t>
      </w:r>
      <w:r>
        <w:rPr>
          <w:rStyle w:val="CharStyle33"/>
          <w:b/>
          <w:bCs/>
          <w:i/>
          <w:iCs/>
        </w:rPr>
        <w:t>„kupující'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46"/>
        <w:gridCol w:w="6374"/>
      </w:tblGrid>
      <w:tr>
        <w:trPr>
          <w:trHeight w:val="6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d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b/>
                <w:bCs/>
              </w:rPr>
              <w:t>SNT Plus s.r.o.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Novodvorská 994/138, 142 00 Praha 4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Jednající: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Ing. Ludvík Tót, jednatel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spacing w:val="2"/>
                <w:shd w:val="clear" w:color="auto" w:fill="000000"/>
              </w:rPr>
              <w:t>......</w:t>
            </w:r>
            <w:r>
              <w:rPr>
                <w:rStyle w:val="CharStyle36"/>
                <w:spacing w:val="3"/>
                <w:shd w:val="clear" w:color="auto" w:fill="000000"/>
              </w:rPr>
              <w:t>......</w:t>
            </w:r>
            <w:r>
              <w:rPr>
                <w:rStyle w:val="CharStyle36"/>
                <w:shd w:val="clear" w:color="auto" w:fill="000000"/>
              </w:rPr>
              <w:t>​.......</w:t>
            </w:r>
            <w:r>
              <w:rPr>
                <w:rStyle w:val="CharStyle36"/>
                <w:spacing w:val="1"/>
                <w:shd w:val="clear" w:color="auto" w:fill="000000"/>
              </w:rPr>
              <w:t>........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IČO: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DIČ: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25701576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CZ25701576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Městský soud v Praze, sp. zn. C 62478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Raiffeisenbank a.s., č.ú.: 112 110 3502/5500</w:t>
            </w:r>
          </w:p>
        </w:tc>
      </w:tr>
    </w:tbl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33"/>
          <w:sz w:val="19"/>
          <w:szCs w:val="19"/>
        </w:rPr>
        <w:t xml:space="preserve">(dále jen </w:t>
      </w:r>
      <w:r>
        <w:rPr>
          <w:rStyle w:val="CharStyle33"/>
          <w:b/>
          <w:bCs/>
          <w:i/>
          <w:iCs/>
        </w:rPr>
        <w:t>„prodávající )</w:t>
      </w:r>
    </w:p>
    <w:p>
      <w:pPr>
        <w:widowControl w:val="0"/>
        <w:spacing w:after="799" w:line="1" w:lineRule="exact"/>
      </w:pP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60"/>
        <w:ind w:left="0" w:right="0" w:firstLine="0"/>
        <w:jc w:val="left"/>
      </w:pPr>
      <w:r>
        <w:rPr>
          <w:rStyle w:val="CharStyle5"/>
        </w:rPr>
        <w:t>Prodávající je oprávněn na základě svého vlastnického práva nakládat s tímto zbožím: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</w:pPr>
      <w:r>
        <w:rPr>
          <w:rStyle w:val="CharStyle5"/>
          <w:b/>
          <w:bCs/>
        </w:rPr>
        <w:t>1 ks pokročilého simulátoru pro výuku resuscitace.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400"/>
        <w:jc w:val="left"/>
      </w:pPr>
      <w:r>
        <w:rPr>
          <w:rStyle w:val="CharStyle5"/>
        </w:rPr>
        <w:t>Bližší specifikace tohoto zboží je uvedena v příloze č. 1, která je nedílnou součástí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40"/>
        <w:ind w:left="400" w:right="0" w:hanging="400"/>
        <w:jc w:val="both"/>
      </w:pPr>
      <w:r>
        <w:rPr>
          <w:rStyle w:val="CharStyle5"/>
        </w:rPr>
        <w:t>Prodávající prodává zboží podle čl. 1 této smlouvy se všemi jeho součástmi a příslušenstvím kupujícímu, a kupující kupuje toto zboží do vlastnictví Jihomoravského kraje, jako svého zřizovatele, za kupní cenu podle čl. 6 této smlouvy. Součástí závazku prodávajícího k dodání zboží podle čl. 1 této smlouvy je instalace zboží, uvedení zboží do provozu a zaškolení obsluhy v místě splnění tohoto závazku, kterým je výcvikové a vzdělávací středisko v sídle kupujícího podle záhlaví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40" w:line="286" w:lineRule="auto"/>
        <w:ind w:left="400" w:right="0" w:hanging="400"/>
        <w:jc w:val="both"/>
      </w:pPr>
      <w:r>
        <w:rPr>
          <w:rStyle w:val="CharStyle5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certifikátů, prohlášení o shodě a návodu k obsluze, to vše v českém jazyce.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40" w:line="293" w:lineRule="auto"/>
        <w:ind w:left="400" w:right="0" w:hanging="400"/>
        <w:jc w:val="both"/>
      </w:pPr>
      <w:r>
        <w:rPr>
          <w:rStyle w:val="CharStyle5"/>
        </w:rPr>
        <w:t xml:space="preserve">Prodávající se zavazuje splnit svůj závazek k dodání zboží podle čl. 1 této smlouvy nejpozději do </w:t>
      </w:r>
      <w:r>
        <w:rPr>
          <w:rStyle w:val="CharStyle5"/>
          <w:b/>
          <w:bCs/>
        </w:rPr>
        <w:t xml:space="preserve">30. 11. 2023. </w:t>
      </w:r>
      <w:r>
        <w:rPr>
          <w:rStyle w:val="CharStyle5"/>
        </w:rPr>
        <w:t>Závazek prodávajícího k dodání zboží podle čl. 1 této smlouvy se pak považuje za splněný po dodání zboží a zaškolení obslužného personálu dnem předání a převzetí tohoto zboží formou písemného předávacího protokolu, podepsaného oběma stranami.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5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100" w:line="295" w:lineRule="auto"/>
        <w:ind w:left="420" w:right="0" w:hanging="420"/>
        <w:jc w:val="both"/>
      </w:pPr>
      <w:r>
        <w:rPr>
          <w:rStyle w:val="CharStyle5"/>
        </w:rPr>
        <w:t>Kupující se zavazuje zaplatit prodávajícímu za předmět koupě a prodeje podle čl. 1 této smlouvy kupní cenu ve výši: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93" w:lineRule="auto"/>
        <w:ind w:left="0" w:right="0" w:firstLine="0"/>
        <w:jc w:val="center"/>
      </w:pPr>
      <w:r>
        <w:rPr>
          <w:rStyle w:val="CharStyle5"/>
          <w:b/>
          <w:bCs/>
        </w:rPr>
        <w:t xml:space="preserve">820 000,- </w:t>
      </w:r>
      <w:r>
        <w:rPr>
          <w:rStyle w:val="CharStyle5"/>
        </w:rPr>
        <w:t>Kč bez DPH, tj. 992 200,- Kč včetně DPH.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420" w:right="0" w:firstLine="0"/>
        <w:jc w:val="both"/>
      </w:pPr>
      <w:r>
        <w:rPr>
          <w:rStyle w:val="CharStyle5"/>
        </w:rPr>
        <w:t>Součástí této ceny jsou veškeré náklady prodávajícího na splnění jeho závazku k dodání zboží podle této smlouvy a daň z přidané hodnoty v sazbě podle zákona.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20" w:right="0" w:hanging="420"/>
        <w:jc w:val="both"/>
      </w:pPr>
      <w:r>
        <w:rPr>
          <w:rStyle w:val="CharStyle5"/>
        </w:rPr>
        <w:t xml:space="preserve">Kupní cena podle čl. 6 této smlouvy je splatná na účet prodávajícího po řádném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5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5"/>
          <w:shd w:val="clear" w:color="auto" w:fill="000000"/>
          <w:lang w:val="en-US" w:eastAsia="en-US" w:bidi="en-US"/>
        </w:rPr>
        <w:t>.</w:t>
      </w:r>
      <w:r>
        <w:rPr>
          <w:rStyle w:val="CharStyle5"/>
          <w:shd w:val="clear" w:color="auto" w:fill="000000"/>
        </w:rPr>
        <w:t>​...</w:t>
      </w:r>
      <w:r>
        <w:rPr>
          <w:rStyle w:val="CharStyle5"/>
          <w:u w:val="single"/>
          <w:shd w:val="clear" w:color="auto" w:fill="000000"/>
          <w:lang w:val="en-US" w:eastAsia="en-US" w:bidi="en-US"/>
        </w:rPr>
        <w:t>​.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CharStyle5"/>
          <w:color w:val="356A9F"/>
          <w:lang w:val="en-US" w:eastAsia="en-US" w:bidi="en-US"/>
        </w:rPr>
        <w:t xml:space="preserve">. </w:t>
      </w:r>
      <w:r>
        <w:rPr>
          <w:rStyle w:val="CharStyle5"/>
        </w:rPr>
        <w:t xml:space="preserve">Na faktuře musí být mimo jiné vždy uvedeno toto číslo veřejné zakázky, ke které se faktura vztahuje: </w:t>
      </w:r>
      <w:r>
        <w:rPr>
          <w:rStyle w:val="CharStyle5"/>
          <w:b/>
          <w:bCs/>
        </w:rPr>
        <w:t xml:space="preserve">P23V00002589. </w:t>
      </w:r>
      <w:r>
        <w:rPr>
          <w:rStyle w:val="CharStyle5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5"/>
        </w:rPr>
        <w:t xml:space="preserve">S převodem zboží podle čl. 1 této smlouvy je spojena záruka za jeho jakost v trvání nejméně </w:t>
      </w:r>
      <w:r>
        <w:rPr>
          <w:rStyle w:val="CharStyle5"/>
          <w:b/>
          <w:bCs/>
        </w:rPr>
        <w:t xml:space="preserve">24 měsíců. </w:t>
      </w:r>
      <w:r>
        <w:rPr>
          <w:rStyle w:val="CharStyle5"/>
        </w:rPr>
        <w:t>V rámci této záruky se prodávající zavazuje odstraňovat vady na zboží podle čl. 1 této smlouvy ve lhůtě do 5-ti týdnů od doručení příslušné reklamace kupujícího. Za písemnou reklamaci se přitom pro účely této smlouvy považuje reklamace učiněná elektronicky do datové schránky nebo na e-mailovou adresu prodávajícího. Prodávající se zavazuje po dobu provádění příslušné záruční opravy poskytnout bezplatně náhradní zboží dle čl. 1 této smlouvy, bude-li náhradu kupující požadovat.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5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5"/>
        </w:rPr>
        <w:t>Nepřikročí-li prodávající k odstranění vady ve lhůtě podle čl. 8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5"/>
        </w:rPr>
        <w:t>Pro případ prodlení prodávající se splněním jeho závazku k dodání zboží ve lhůtě podle čl. 4 této smlouvy a pro případ prodlení prodávajícího s odstraněním reklamované vady ve lhůtě podle čl. 8 této smlouvy se prodávající zavazuje zaplatit kupujícímu smluvní pokutu ve výši 0,1 % z kupní ceny podle čl. 6 této smlouvy za každý započatý den tohoto prodlení.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20" w:right="0" w:hanging="420"/>
        <w:jc w:val="both"/>
      </w:pPr>
      <w:r>
        <w:rPr>
          <w:rStyle w:val="CharStyle5"/>
        </w:rPr>
        <w:t>Pro případ prodlení se splněním jeho závazku k dodání zboží ve lhůtě podle čl. 4 této smlouvy o více, než 2 týdny je kupující oprávněn odstoupit od této smlouvy s účinky ex tunc, přičemž nárok na zaplacení smluvní pokuty dle čl. 11. nezaniká. Stejné právo má kupující, vyskytne-li se v době záruky za jakost podle čl. 8 této smlouvy na zboží podle čl. 1 této smlouvy neodstranitelná vada nebo tři a více vad, a i to postupně.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20" w:right="0" w:hanging="420"/>
        <w:jc w:val="both"/>
      </w:pPr>
      <w:r>
        <w:rPr>
          <w:rStyle w:val="CharStyle5"/>
        </w:rPr>
        <w:t>Pro případ prodlení kupujícího se zaplacením kupní ceny nebo její části ve lhůtě podle čl. 7 této smlouvy o víc, než 2 týdny, je prodávající oprávněn od této smlouvy odstoupit s účinky ex tunc.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5"/>
        </w:rPr>
        <w:t>Není-li touto smlouvou ujednáno jinak, řídí se vzájemný právní vztah mezi kupujícím a prodávajícím při realizaci této smlouvy ust. § 2079 a násl. občanského zákoníku. Obě strany přitom vylučují</w:t>
        <w:br w:type="page"/>
      </w:r>
      <w:r>
        <w:rPr>
          <w:rStyle w:val="CharStyle5"/>
        </w:rPr>
        <w:t>použití ust. §1917 až 1918, §1920 až 1922, §1924, § 2099 až 2101, § 2103 až 2105 občanského zákoníku a také obchodních zvyklostí, které jsou svým smyslem nebo účinky totožné nebo obdobné s uvedenými ustanoveními, na jejich právní vztah podle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Tato smlouva se uzavírá na základě návrhu na její uzavření ze strany prodávajícího. Předpokladem uzavření této smlouvy je její písemná forma a dohoda o jejích podstatných náležitostech, čímž se rozumí celý obsah této smlouvy, jak je uveden v čl. 1 až 21 této smlouvy. Kupující přitom předem vylučuje přijetí tohoto návrhu s dodatkem nebo odchylkou ve smyslu ustanovení § 1740 odst. 3 občanského zákoníku.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Jakékoliv pohledávky vzniklé z této smlouvy smí být postoupeny třetí straně jen s písemným souhlasem kupujícího.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Tuto smlouvu lze změnit nebo zrušit pouze písemnými číslovanými dodatky podepsanými oběma stranami.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5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5"/>
        </w:rPr>
        <w:t>Tato smlouva nabývá platnosti okamžikem jejího podpisu oběma smluvními stranami a účinnosti dnem jejího uveřejnění v registru smluv dle čl. 19.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5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920"/>
        <w:ind w:left="400" w:right="0" w:hanging="40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901700</wp:posOffset>
                </wp:positionV>
                <wp:extent cx="697865" cy="17653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9.450000000000003pt;margin-top:71.pt;width:54.950000000000003pt;height:13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5"/>
        </w:rPr>
        <w:t>Dáno ve dvou originálních písemných vyhotoveních, z nichž každá ze smluvních stran obdrží po jednom.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V Praze dne /viz el. podpis/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411" w:right="1235" w:bottom="1272" w:left="1440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92100" distB="149225" distL="0" distR="0" simplePos="0" relativeHeight="125829382" behindDoc="0" locked="0" layoutInCell="1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292100</wp:posOffset>
                </wp:positionV>
                <wp:extent cx="1645920" cy="4330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0" w:right="0" w:hanging="1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5"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5"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"/>
                                <w:spacing w:val="3"/>
                                <w:sz w:val="18"/>
                                <w:szCs w:val="18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5"/>
                                <w:color w:val="8BC0E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  <w:shd w:val="clear" w:color="auto" w:fill="000000"/>
                              </w:rPr>
                              <w:t>​..........</w:t>
                            </w:r>
                            <w:r>
                              <w:rPr>
                                <w:rStyle w:val="CharStyle5"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...........................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  <w:shd w:val="clear" w:color="auto" w:fill="000000"/>
                              </w:rPr>
                              <w:t>​......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9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5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6.950000000000003pt;margin-top:23.pt;width:129.59999999999999pt;height:34.100000000000001pt;z-index:-125829371;mso-wrap-distance-left:0;mso-wrap-distance-top:23.pt;mso-wrap-distance-right:0;mso-wrap-distance-bottom:11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60" w:right="0" w:hanging="1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5"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"/>
                          <w:spacing w:val="3"/>
                          <w:sz w:val="18"/>
                          <w:szCs w:val="18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"/>
                          <w:color w:val="8BC0E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CharStyle5"/>
                          <w:sz w:val="18"/>
                          <w:szCs w:val="18"/>
                          <w:shd w:val="clear" w:color="auto" w:fill="000000"/>
                        </w:rPr>
                        <w:t>​..........</w:t>
                      </w:r>
                      <w:r>
                        <w:rPr>
                          <w:rStyle w:val="CharStyle5"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...........................</w:t>
                      </w:r>
                      <w:r>
                        <w:rPr>
                          <w:rStyle w:val="CharStyle5"/>
                          <w:sz w:val="18"/>
                          <w:szCs w:val="18"/>
                          <w:shd w:val="clear" w:color="auto" w:fill="000000"/>
                        </w:rPr>
                        <w:t>​......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9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  <w:shd w:val="clear" w:color="auto" w:fill="000000"/>
                        </w:rPr>
                        <w:t>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353060" distB="0" distL="0" distR="0" simplePos="0" relativeHeight="125829384" behindDoc="0" locked="0" layoutInCell="1" allowOverlap="1">
            <wp:simplePos x="0" y="0"/>
            <wp:positionH relativeFrom="page">
              <wp:posOffset>1740535</wp:posOffset>
            </wp:positionH>
            <wp:positionV relativeFrom="paragraph">
              <wp:posOffset>353060</wp:posOffset>
            </wp:positionV>
            <wp:extent cx="1261745" cy="52451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261745" cy="5245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98780" distB="97790" distL="0" distR="0" simplePos="0" relativeHeight="125829385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ragraph">
                  <wp:posOffset>398780</wp:posOffset>
                </wp:positionV>
                <wp:extent cx="801370" cy="37782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spacing w:val="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spacing w:val="11"/>
                                <w:shd w:val="clear" w:color="auto" w:fill="000000"/>
                              </w:rPr>
                              <w:t>.....</w:t>
                            </w:r>
                            <w:bookmarkStart w:id="0" w:name="bookmark0"/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2"/>
                                <w:spacing w:val="4"/>
                                <w:shd w:val="clear" w:color="auto" w:fill="000000"/>
                              </w:rPr>
                              <w:t>......</w:t>
                            </w:r>
                            <w:bookmarkEnd w:id="0"/>
                          </w:p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2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8.94999999999999pt;margin-top:31.400000000000002pt;width:63.100000000000001pt;height:29.75pt;z-index:-125829368;mso-wrap-distance-left:0;mso-wrap-distance-top:31.400000000000002pt;mso-wrap-distance-right:0;mso-wrap-distance-bottom:7.7000000000000002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spacing w:val="1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2"/>
                          <w:spacing w:val="11"/>
                          <w:shd w:val="clear" w:color="auto" w:fill="000000"/>
                        </w:rPr>
                        <w:t>.....</w:t>
                      </w:r>
                      <w:bookmarkStart w:id="0" w:name="bookmark0"/>
                      <w:r>
                        <w:rPr>
                          <w:rStyle w:val="CharStyle1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2"/>
                          <w:spacing w:val="4"/>
                          <w:shd w:val="clear" w:color="auto" w:fill="000000"/>
                        </w:rPr>
                        <w:t>......</w:t>
                      </w:r>
                      <w:bookmarkEnd w:id="0"/>
                    </w:p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2"/>
                          <w:spacing w:val="3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5605" distB="82550" distL="0" distR="0" simplePos="0" relativeHeight="125829387" behindDoc="0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395605</wp:posOffset>
                </wp:positionV>
                <wp:extent cx="829310" cy="39624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931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20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0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2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0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0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​..........</w:t>
                            </w:r>
                            <w:r>
                              <w:rPr>
                                <w:rStyle w:val="CharStyle20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20"/>
                              </w:rPr>
                              <w:t xml:space="preserve"> 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​.........</w:t>
                            </w:r>
                            <w:r>
                              <w:rPr>
                                <w:rStyle w:val="CharStyle20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0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4.80000000000001pt;margin-top:31.150000000000002pt;width:65.299999999999997pt;height:31.199999999999999pt;z-index:-125829366;mso-wrap-distance-left:0;mso-wrap-distance-top:31.150000000000002pt;mso-wrap-distance-right:0;mso-wrap-distance-bottom:6.5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20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0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20"/>
                          <w:spacing w:val="1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0"/>
                          <w:spacing w:val="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0"/>
                          <w:spacing w:val="2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​..........</w:t>
                      </w:r>
                      <w:r>
                        <w:rPr>
                          <w:rStyle w:val="CharStyle20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20"/>
                        </w:rPr>
                        <w:t xml:space="preserve"> 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​.........</w:t>
                      </w:r>
                      <w:r>
                        <w:rPr>
                          <w:rStyle w:val="CharStyle20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0"/>
                          <w:spacing w:val="2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6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2" w:right="0" w:bottom="156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4394835</wp:posOffset>
                </wp:positionH>
                <wp:positionV relativeFrom="paragraph">
                  <wp:posOffset>12700</wp:posOffset>
                </wp:positionV>
                <wp:extent cx="883920" cy="51816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 xml:space="preserve">Ing. Ludvík Tót jednatel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6.05000000000001pt;margin-top:1.pt;width:69.600000000000009pt;height:40.800000000000004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Ing. Ludvík Tót jednatel 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MUDr. Hana Albrechtová ředitelka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40"/>
        <w:ind w:left="0" w:right="0" w:firstLine="0"/>
        <w:jc w:val="left"/>
      </w:pPr>
      <w:r>
        <w:rPr>
          <w:rStyle w:val="CharStyle5"/>
          <w:b/>
          <w:bCs/>
        </w:rPr>
        <w:t>Kupující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</w:rPr>
        <w:t>Příloha č. 1 Specifikace</w:t>
      </w:r>
      <w:r>
        <w:br w:type="page"/>
      </w:r>
    </w:p>
    <w:p>
      <w:pPr>
        <w:pStyle w:val="Style5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" w:name="bookmark5"/>
      <w:r>
        <w:rPr>
          <w:rStyle w:val="CharStyle55"/>
          <w:b/>
          <w:bCs/>
        </w:rPr>
        <w:t>Příloha č. 1 Kupní smlouvy</w:t>
      </w:r>
      <w:bookmarkEnd w:id="5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63" w:right="0" w:firstLine="0"/>
        <w:jc w:val="left"/>
        <w:rPr>
          <w:sz w:val="22"/>
          <w:szCs w:val="22"/>
        </w:rPr>
      </w:pPr>
      <w:r>
        <w:rPr>
          <w:rStyle w:val="CharStyle33"/>
          <w:b/>
          <w:bCs/>
          <w:sz w:val="22"/>
          <w:szCs w:val="22"/>
          <w:u w:val="single"/>
        </w:rPr>
        <w:t>SPECIFIKACE</w:t>
      </w:r>
    </w:p>
    <w:tbl>
      <w:tblPr>
        <w:tblOverlap w:val="never"/>
        <w:jc w:val="center"/>
        <w:tblLayout w:type="fixed"/>
      </w:tblPr>
      <w:tblGrid>
        <w:gridCol w:w="5107"/>
        <w:gridCol w:w="3984"/>
      </w:tblGrid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SimMan ALS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Laerdal Medical AS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36"/>
                <w:b/>
                <w:bCs/>
              </w:rPr>
              <w:t>Počet kusů: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6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</w:tbl>
    <w:p>
      <w:pPr>
        <w:widowControl w:val="0"/>
        <w:spacing w:after="4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638"/>
        <w:gridCol w:w="5592"/>
        <w:gridCol w:w="2909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36"/>
                <w:b/>
                <w:bCs/>
              </w:rPr>
              <w:t>Splnění požadavků (ano/ne, údaj, hodnota)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36"/>
              </w:rPr>
              <w:t>Simulátor pro výuku resuscitace v životní velikosti včetně veškerého potřebného příslušenství pro výuku, oblečení a transportních kufrů.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Vhodný pro simulace převážně v přednemocniční péči.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Nácvik široké škály dovedností od základního vyhodnocení stavu pacienta po intenzivní péči.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36"/>
              </w:rPr>
              <w:t>Možnost realistické simulace v místě zásahu, která má pozitivní vliv na reakce školených, změny v přístupech z hlediska bezpečnosti, organizační schopnosti a týmovou práci.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36"/>
              </w:rPr>
              <w:t>Mobilní simulátor, který splňuje požadavky na vyškolení personálu poskytujícího přednemocniční neodkladnou péči v krizových situacích.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Možnost použití v terénu, během transportu.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36"/>
              </w:rPr>
              <w:t>Vhodnost pro získání klinických dovedností, správné komunikace a týmové spolupráce.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36"/>
              </w:rPr>
              <w:t>Vzdělávací cíle dle zásad ERC (Evropské rady pro resuscitaci).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Bezdrátové provedení.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Integrovaný kompresor.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Jednostranné stoupání a klesání hrudníku.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Edém jazyka.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Krikotonomie.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Pneumotorax.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Výměnné zornice.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36"/>
              </w:rPr>
              <w:t>Pohyblivá víčka - možnost simulace otevřených, zavřených a přivřených očí.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Poslech srdečních ozev, předního i zadního laloku.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36"/>
              </w:rPr>
              <w:t>Oboustranná krční tepna, oboustranná .stehenní tepna, pravostranná radiální tepna.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Možnost zavedení hrudní drenáže.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6"/>
                <w:b/>
                <w:bCs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Cyanóza.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34"/>
        <w:gridCol w:w="5606"/>
        <w:gridCol w:w="2914"/>
      </w:tblGrid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Monitorování EKG.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Předpřipravené porty pro zavedení IV kanyl v loketní jamce.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Intraoseální přístup - tibie.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36"/>
              </w:rPr>
              <w:t>Vyhodnocení kvality resuscitace - frekvence, hloubka, poloha rukou, ventilace, objem.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Možnost defibrilace nalepovacími elektrodami a tzv. „pádly“.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Výukový defibrilační systém - možnost použití reálných defibrilátorů používaných na záchranné službě.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36"/>
              </w:rPr>
              <w:t>Ovládání pomocí stávajícího tabletu SimPad Plus (nutnost použití již vlastněné licence a ovládacího SW LLEAP).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36"/>
              </w:rPr>
              <w:t>Vyhodnocení kvality KPR pomocí systému stávajícího používaného tabletu SimPad Plus.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Možnost výměny genitálií.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36"/>
              </w:rPr>
              <w:t>Možnost budoucího rozšíření o simulaci ultrazvukového vyšetření a připojení plicního simulátoru ASL.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6"/>
                <w:b/>
                <w:bCs/>
              </w:rPr>
              <w:t>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36"/>
              </w:rPr>
              <w:t>Součást dodávky - instalace a zaškolení obsluhy v českém jazyce, a to technikem s pověřením výrobce.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</w:rPr>
              <w:t>ANO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212" w:right="1280" w:bottom="1561" w:left="145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10243185</wp:posOffset>
              </wp:positionV>
              <wp:extent cx="5151120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5112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28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38-23: ZZS Jihomoravského kraje - pokročilý simulátor pro výuku resuscitace - 2023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4.150000000000006pt;margin-top:806.55000000000007pt;width:405.60000000000002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28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38-23: ZZS Jihomoravského kraje - pokročilý simulátor pro výuku resuscitace - 2023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Nadpis #2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5">
    <w:name w:val="Nadpis #1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/>
      <w:strike w:val="0"/>
      <w:sz w:val="60"/>
      <w:szCs w:val="60"/>
      <w:u w:val="none"/>
    </w:rPr>
  </w:style>
  <w:style w:type="character" w:customStyle="1" w:styleId="CharStyle28">
    <w:name w:val="Záhlaví nebo zápatí (2)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Základní text (4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3">
    <w:name w:val="Titulek tabulky_"/>
    <w:basedOn w:val="DefaultParagraphFont"/>
    <w:link w:val="Style32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36">
    <w:name w:val="Jiné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5">
    <w:name w:val="Nadpis #3_"/>
    <w:basedOn w:val="DefaultParagraphFont"/>
    <w:link w:val="Style5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2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auto"/>
      <w:spacing w:after="60"/>
      <w:ind w:right="11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/>
      <w:strike w:val="0"/>
      <w:sz w:val="60"/>
      <w:szCs w:val="60"/>
      <w:u w:val="none"/>
    </w:rPr>
  </w:style>
  <w:style w:type="paragraph" w:customStyle="1" w:styleId="Style27">
    <w:name w:val="Záhlaví nebo zápatí (2)"/>
    <w:basedOn w:val="Normal"/>
    <w:link w:val="CharStyle2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0">
    <w:name w:val="Základní text (4)"/>
    <w:basedOn w:val="Normal"/>
    <w:link w:val="CharStyle31"/>
    <w:pPr>
      <w:widowControl w:val="0"/>
      <w:shd w:val="clear" w:color="auto" w:fill="auto"/>
      <w:ind w:right="11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2">
    <w:name w:val="Titulek tabulky"/>
    <w:basedOn w:val="Normal"/>
    <w:link w:val="CharStyle33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Style35">
    <w:name w:val="Jiné"/>
    <w:basedOn w:val="Normal"/>
    <w:link w:val="CharStyle36"/>
    <w:pPr>
      <w:widowControl w:val="0"/>
      <w:shd w:val="clear" w:color="auto" w:fill="auto"/>
      <w:spacing w:after="22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4">
    <w:name w:val="Nadpis #3"/>
    <w:basedOn w:val="Normal"/>
    <w:link w:val="CharStyle55"/>
    <w:pPr>
      <w:widowControl w:val="0"/>
      <w:shd w:val="clear" w:color="auto" w:fill="auto"/>
      <w:spacing w:after="24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/Relationships>
</file>