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D7FA" w14:textId="77777777" w:rsidR="003D4E24" w:rsidRPr="009430FC" w:rsidRDefault="00CB2BF1">
      <w:pPr>
        <w:pStyle w:val="NzevLEG"/>
        <w:rPr>
          <w:sz w:val="24"/>
        </w:rPr>
      </w:pPr>
      <w:r w:rsidRPr="009430FC">
        <w:rPr>
          <w:sz w:val="24"/>
        </w:rPr>
        <w:t>SMLOUVA O SPOLUPRÁCI</w:t>
      </w:r>
    </w:p>
    <w:p w14:paraId="0F0CD7FB" w14:textId="6C8AC769" w:rsidR="003D4E24" w:rsidRPr="009430FC" w:rsidRDefault="00CB2BF1">
      <w:pPr>
        <w:pStyle w:val="NzevLEG"/>
        <w:spacing w:after="180"/>
        <w:rPr>
          <w:sz w:val="24"/>
        </w:rPr>
      </w:pPr>
      <w:r w:rsidRPr="009430FC">
        <w:rPr>
          <w:sz w:val="24"/>
        </w:rPr>
        <w:t xml:space="preserve">č. </w:t>
      </w:r>
      <w:r w:rsidR="007F3F7C" w:rsidRPr="009430FC">
        <w:rPr>
          <w:sz w:val="24"/>
        </w:rPr>
        <w:t>143/S</w:t>
      </w:r>
      <w:r w:rsidR="00A87DFC" w:rsidRPr="009430FC">
        <w:rPr>
          <w:sz w:val="24"/>
        </w:rPr>
        <w:t>/23</w:t>
      </w:r>
    </w:p>
    <w:p w14:paraId="0F0CD7FC" w14:textId="77777777" w:rsidR="003D4E24" w:rsidRPr="009430FC" w:rsidRDefault="00CB2BF1">
      <w:pPr>
        <w:widowControl w:val="0"/>
        <w:autoSpaceDE w:val="0"/>
        <w:autoSpaceDN w:val="0"/>
        <w:adjustRightInd w:val="0"/>
        <w:spacing w:after="180" w:line="240" w:lineRule="auto"/>
        <w:rPr>
          <w:rFonts w:ascii="RotisSerif" w:hAnsi="RotisSerif"/>
          <w:b/>
          <w:sz w:val="24"/>
          <w:szCs w:val="24"/>
        </w:rPr>
      </w:pPr>
      <w:r w:rsidRPr="009430FC">
        <w:rPr>
          <w:rFonts w:ascii="RotisSerif" w:hAnsi="RotisSerif"/>
          <w:b/>
          <w:sz w:val="24"/>
          <w:szCs w:val="24"/>
        </w:rPr>
        <w:t>Smluvní strany:</w:t>
      </w:r>
    </w:p>
    <w:p w14:paraId="0F0CD7FD" w14:textId="77777777" w:rsidR="003D4E24" w:rsidRPr="009430FC" w:rsidRDefault="00CB2BF1">
      <w:pPr>
        <w:spacing w:after="0" w:line="240" w:lineRule="auto"/>
        <w:rPr>
          <w:rFonts w:ascii="RotisSerif" w:hAnsi="RotisSerif"/>
          <w:b/>
          <w:sz w:val="24"/>
          <w:szCs w:val="24"/>
        </w:rPr>
      </w:pPr>
      <w:r w:rsidRPr="009430FC">
        <w:rPr>
          <w:rFonts w:ascii="RotisSerif" w:hAnsi="RotisSerif"/>
          <w:b/>
          <w:sz w:val="24"/>
          <w:szCs w:val="24"/>
        </w:rPr>
        <w:t xml:space="preserve">B. Braun </w:t>
      </w:r>
      <w:proofErr w:type="spellStart"/>
      <w:r w:rsidRPr="009430FC">
        <w:rPr>
          <w:rFonts w:ascii="RotisSerif" w:hAnsi="RotisSerif"/>
          <w:b/>
          <w:sz w:val="24"/>
          <w:szCs w:val="24"/>
        </w:rPr>
        <w:t>Avitum</w:t>
      </w:r>
      <w:proofErr w:type="spellEnd"/>
      <w:r w:rsidRPr="009430FC">
        <w:rPr>
          <w:rFonts w:ascii="RotisSerif" w:hAnsi="RotisSerif"/>
          <w:b/>
          <w:sz w:val="24"/>
          <w:szCs w:val="24"/>
        </w:rPr>
        <w:t xml:space="preserve"> s.r.o.</w:t>
      </w:r>
    </w:p>
    <w:p w14:paraId="0F0CD7FE" w14:textId="77777777" w:rsidR="003D4E24" w:rsidRPr="009430FC" w:rsidRDefault="00CB2BF1">
      <w:pPr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>se sídlem: V Parku 2335/20, Praha 4, PSČ: 148 00</w:t>
      </w:r>
    </w:p>
    <w:p w14:paraId="0F0CD7FF" w14:textId="77777777" w:rsidR="003D4E24" w:rsidRPr="009430FC" w:rsidRDefault="00CB2BF1">
      <w:pPr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>IČ: 61856827</w:t>
      </w:r>
    </w:p>
    <w:p w14:paraId="0F0CD800" w14:textId="580BE010" w:rsidR="003D4E24" w:rsidRPr="009430FC" w:rsidRDefault="00CB2BF1">
      <w:pPr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>DIČ: CZ61856827</w:t>
      </w:r>
    </w:p>
    <w:p w14:paraId="0F0CD803" w14:textId="10BC9BB2" w:rsidR="003D4E24" w:rsidRPr="009430FC" w:rsidRDefault="00CB2BF1">
      <w:pPr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 xml:space="preserve">bankovní spojení: </w:t>
      </w:r>
      <w:proofErr w:type="spellStart"/>
      <w:r w:rsidRPr="009430FC">
        <w:rPr>
          <w:rFonts w:ascii="RotisSerif" w:hAnsi="RotisSerif"/>
          <w:sz w:val="24"/>
          <w:szCs w:val="24"/>
        </w:rPr>
        <w:t>UniCredit</w:t>
      </w:r>
      <w:proofErr w:type="spellEnd"/>
      <w:r w:rsidRPr="009430FC">
        <w:rPr>
          <w:rFonts w:ascii="RotisSerif" w:hAnsi="RotisSerif"/>
          <w:sz w:val="24"/>
          <w:szCs w:val="24"/>
        </w:rPr>
        <w:t xml:space="preserve"> Bank Czech Republic and Slovakia, a.s., </w:t>
      </w:r>
      <w:proofErr w:type="spellStart"/>
      <w:r w:rsidRPr="009430FC">
        <w:rPr>
          <w:rFonts w:ascii="RotisSerif" w:hAnsi="RotisSerif"/>
          <w:sz w:val="24"/>
          <w:szCs w:val="24"/>
        </w:rPr>
        <w:t>č.ú</w:t>
      </w:r>
      <w:proofErr w:type="spellEnd"/>
      <w:r w:rsidRPr="009430FC">
        <w:rPr>
          <w:rFonts w:ascii="RotisSerif" w:hAnsi="RotisSerif"/>
          <w:sz w:val="24"/>
          <w:szCs w:val="24"/>
        </w:rPr>
        <w:t>.: 515295004/2700</w:t>
      </w:r>
    </w:p>
    <w:p w14:paraId="0F0CD804" w14:textId="560B0DAB" w:rsidR="003D4E24" w:rsidRPr="009430FC" w:rsidRDefault="00CB2BF1">
      <w:pPr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 xml:space="preserve">zapsaná v obchodním rejstříku vedeném Městským soudem v Praze pod </w:t>
      </w:r>
      <w:proofErr w:type="spellStart"/>
      <w:r w:rsidRPr="009430FC">
        <w:rPr>
          <w:rFonts w:ascii="RotisSerif" w:hAnsi="RotisSerif"/>
          <w:sz w:val="24"/>
          <w:szCs w:val="24"/>
        </w:rPr>
        <w:t>sp</w:t>
      </w:r>
      <w:proofErr w:type="spellEnd"/>
      <w:r w:rsidRPr="009430FC">
        <w:rPr>
          <w:rFonts w:ascii="RotisSerif" w:hAnsi="RotisSerif"/>
          <w:sz w:val="24"/>
          <w:szCs w:val="24"/>
        </w:rPr>
        <w:t>. zn. C 31711</w:t>
      </w:r>
    </w:p>
    <w:p w14:paraId="0F0CD805" w14:textId="77777777" w:rsidR="003D4E24" w:rsidRPr="009430FC" w:rsidRDefault="00CB2BF1">
      <w:pPr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 xml:space="preserve">zastoupená: </w:t>
      </w:r>
      <w:sdt>
        <w:sdtPr>
          <w:rPr>
            <w:rFonts w:ascii="RotisSerif" w:hAnsi="RotisSerif"/>
            <w:sz w:val="24"/>
            <w:szCs w:val="24"/>
          </w:rPr>
          <w:alias w:val="Jméno odpovědného manažera a jeho pozice"/>
          <w:tag w:val="Jméno odpovědného manažera a jeho pozice"/>
          <w:id w:val="560223134"/>
          <w:placeholder>
            <w:docPart w:val="4196CD1B01BE4248892DB372C425A912"/>
          </w:placeholder>
          <w15:color w:val="FFFF00"/>
          <w:text/>
        </w:sdtPr>
        <w:sdtEndPr/>
        <w:sdtContent>
          <w:r w:rsidRPr="009430FC">
            <w:rPr>
              <w:rFonts w:ascii="RotisSerif" w:hAnsi="RotisSerif"/>
              <w:sz w:val="24"/>
              <w:szCs w:val="24"/>
            </w:rPr>
            <w:t xml:space="preserve">MUDr. Martinem </w:t>
          </w:r>
          <w:proofErr w:type="spellStart"/>
          <w:r w:rsidRPr="009430FC">
            <w:rPr>
              <w:rFonts w:ascii="RotisSerif" w:hAnsi="RotisSerif"/>
              <w:sz w:val="24"/>
              <w:szCs w:val="24"/>
            </w:rPr>
            <w:t>Kunckem</w:t>
          </w:r>
          <w:proofErr w:type="spellEnd"/>
          <w:r w:rsidRPr="009430FC">
            <w:rPr>
              <w:rFonts w:ascii="RotisSerif" w:hAnsi="RotisSerif"/>
              <w:sz w:val="24"/>
              <w:szCs w:val="24"/>
            </w:rPr>
            <w:t>, jednatelem</w:t>
          </w:r>
        </w:sdtContent>
      </w:sdt>
    </w:p>
    <w:p w14:paraId="0F0CD806" w14:textId="77777777" w:rsidR="003D4E24" w:rsidRPr="009430FC" w:rsidRDefault="00CB2BF1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>(dále jen „</w:t>
      </w:r>
      <w:r w:rsidRPr="009430FC">
        <w:rPr>
          <w:rFonts w:ascii="RotisSerif" w:hAnsi="RotisSerif"/>
          <w:b/>
          <w:sz w:val="24"/>
          <w:szCs w:val="24"/>
        </w:rPr>
        <w:t>B. Braun</w:t>
      </w:r>
      <w:r w:rsidRPr="009430FC">
        <w:rPr>
          <w:rFonts w:ascii="RotisSerif" w:hAnsi="RotisSerif"/>
          <w:sz w:val="24"/>
          <w:szCs w:val="24"/>
        </w:rPr>
        <w:t>“)</w:t>
      </w:r>
    </w:p>
    <w:p w14:paraId="0F0CD807" w14:textId="77777777" w:rsidR="003D4E24" w:rsidRPr="009430FC" w:rsidRDefault="00CB2BF1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>a</w:t>
      </w:r>
    </w:p>
    <w:p w14:paraId="0F0CD808" w14:textId="77777777" w:rsidR="003D4E24" w:rsidRPr="009430FC" w:rsidRDefault="00CB2BF1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b/>
          <w:sz w:val="24"/>
          <w:szCs w:val="24"/>
        </w:rPr>
      </w:pPr>
      <w:r w:rsidRPr="009430FC">
        <w:rPr>
          <w:rFonts w:ascii="RotisSerif" w:hAnsi="RotisSerif"/>
          <w:b/>
          <w:sz w:val="24"/>
          <w:szCs w:val="24"/>
        </w:rPr>
        <w:t>Všeobecná fakultní nemocnice v Praze</w:t>
      </w:r>
    </w:p>
    <w:p w14:paraId="0F0CD809" w14:textId="77777777" w:rsidR="003D4E24" w:rsidRPr="009430FC" w:rsidRDefault="00CB2BF1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>se sídlem: U Nemocnice 499/2, 128 08 Praha 2</w:t>
      </w:r>
    </w:p>
    <w:p w14:paraId="0F0CD80A" w14:textId="77777777" w:rsidR="003D4E24" w:rsidRPr="009430FC" w:rsidRDefault="00CB2BF1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>IČ: 00064165</w:t>
      </w:r>
    </w:p>
    <w:p w14:paraId="0F0CD80B" w14:textId="77777777" w:rsidR="003D4E24" w:rsidRPr="009430FC" w:rsidRDefault="00CB2BF1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>DIČ: CZ00064165</w:t>
      </w:r>
    </w:p>
    <w:p w14:paraId="0F0CD80C" w14:textId="01184B3E" w:rsidR="003D4E24" w:rsidRPr="009430FC" w:rsidRDefault="00CB2BF1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 xml:space="preserve">bankovní spojení: Česká národní banka, a.s., </w:t>
      </w:r>
      <w:proofErr w:type="spellStart"/>
      <w:r w:rsidRPr="009430FC">
        <w:rPr>
          <w:rFonts w:ascii="RotisSerif" w:hAnsi="RotisSerif"/>
          <w:sz w:val="24"/>
          <w:szCs w:val="24"/>
        </w:rPr>
        <w:t>č.ú</w:t>
      </w:r>
      <w:proofErr w:type="spellEnd"/>
      <w:r w:rsidRPr="009430FC">
        <w:rPr>
          <w:rFonts w:ascii="RotisSerif" w:hAnsi="RotisSerif"/>
          <w:sz w:val="24"/>
          <w:szCs w:val="24"/>
        </w:rPr>
        <w:t xml:space="preserve">.: 24035021/0710 </w:t>
      </w:r>
    </w:p>
    <w:p w14:paraId="0F0CD80D" w14:textId="77777777" w:rsidR="003D4E24" w:rsidRPr="009430FC" w:rsidRDefault="00CB2BF1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 xml:space="preserve">zastoupená: prof. MUDr. Davidem </w:t>
      </w:r>
      <w:proofErr w:type="spellStart"/>
      <w:r w:rsidRPr="009430FC">
        <w:rPr>
          <w:rFonts w:ascii="RotisSerif" w:hAnsi="RotisSerif"/>
          <w:sz w:val="24"/>
          <w:szCs w:val="24"/>
        </w:rPr>
        <w:t>Feltlem</w:t>
      </w:r>
      <w:proofErr w:type="spellEnd"/>
      <w:r w:rsidRPr="009430FC">
        <w:rPr>
          <w:rFonts w:ascii="RotisSerif" w:hAnsi="RotisSerif"/>
          <w:sz w:val="24"/>
          <w:szCs w:val="24"/>
        </w:rPr>
        <w:t>, Ph.D., MBA, ředitelem</w:t>
      </w:r>
    </w:p>
    <w:p w14:paraId="0F0CD80E" w14:textId="77777777" w:rsidR="003D4E24" w:rsidRPr="009430FC" w:rsidRDefault="00CB2BF1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>(dále jen „</w:t>
      </w:r>
      <w:r w:rsidRPr="009430FC">
        <w:rPr>
          <w:rFonts w:ascii="RotisSerif" w:hAnsi="RotisSerif"/>
          <w:b/>
          <w:sz w:val="24"/>
          <w:szCs w:val="24"/>
        </w:rPr>
        <w:t>Nemocnice</w:t>
      </w:r>
      <w:r w:rsidRPr="009430FC">
        <w:rPr>
          <w:rFonts w:ascii="RotisSerif" w:hAnsi="RotisSerif"/>
          <w:sz w:val="24"/>
          <w:szCs w:val="24"/>
        </w:rPr>
        <w:t>“)</w:t>
      </w:r>
    </w:p>
    <w:p w14:paraId="0F0CD80F" w14:textId="77777777" w:rsidR="003D4E24" w:rsidRPr="009430FC" w:rsidRDefault="003D4E24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</w:p>
    <w:p w14:paraId="0F0CD810" w14:textId="1FE53B76" w:rsidR="003D4E24" w:rsidRPr="009430FC" w:rsidRDefault="00CB2BF1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>VZHLEDEM K TOMU, ŽE:</w:t>
      </w:r>
    </w:p>
    <w:p w14:paraId="3826EFFD" w14:textId="77777777" w:rsidR="00E975F1" w:rsidRPr="009430FC" w:rsidRDefault="00E975F1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</w:p>
    <w:p w14:paraId="0F0CD811" w14:textId="14B7A5AD" w:rsidR="003D4E24" w:rsidRPr="009430FC" w:rsidRDefault="00CB2BF1" w:rsidP="003D4E24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RotisSerif" w:hAnsi="RotisSerif"/>
          <w:sz w:val="24"/>
          <w:szCs w:val="24"/>
          <w:lang w:val="cs-CZ"/>
        </w:rPr>
      </w:pPr>
      <w:r w:rsidRPr="009430FC">
        <w:rPr>
          <w:rFonts w:ascii="RotisSerif" w:hAnsi="RotisSerif"/>
          <w:sz w:val="24"/>
          <w:szCs w:val="24"/>
          <w:lang w:val="cs-CZ"/>
        </w:rPr>
        <w:t>Nemocnice je poskytovatelem zdravotních služeb, který poskytuje zdravotní služby mj. pacientům s </w:t>
      </w:r>
      <w:proofErr w:type="spellStart"/>
      <w:r w:rsidRPr="009430FC">
        <w:rPr>
          <w:rFonts w:ascii="RotisSerif" w:hAnsi="RotisSerif"/>
          <w:sz w:val="24"/>
          <w:szCs w:val="24"/>
          <w:lang w:val="cs-CZ"/>
        </w:rPr>
        <w:t>Fabryho</w:t>
      </w:r>
      <w:proofErr w:type="spellEnd"/>
      <w:r w:rsidRPr="009430FC">
        <w:rPr>
          <w:rFonts w:ascii="RotisSerif" w:hAnsi="RotisSerif"/>
          <w:sz w:val="24"/>
          <w:szCs w:val="24"/>
          <w:lang w:val="cs-CZ"/>
        </w:rPr>
        <w:t xml:space="preserve"> chorobou;</w:t>
      </w:r>
    </w:p>
    <w:p w14:paraId="645B937F" w14:textId="77777777" w:rsidR="00E975F1" w:rsidRPr="009430FC" w:rsidRDefault="00E975F1" w:rsidP="00C531D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RotisSerif" w:hAnsi="RotisSerif"/>
          <w:sz w:val="24"/>
          <w:szCs w:val="24"/>
          <w:lang w:val="cs-CZ"/>
        </w:rPr>
      </w:pPr>
    </w:p>
    <w:p w14:paraId="0F0CD812" w14:textId="216E7045" w:rsidR="003D4E24" w:rsidRPr="009430FC" w:rsidRDefault="00CB2BF1" w:rsidP="003D4E24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RotisSerif" w:hAnsi="RotisSerif"/>
          <w:sz w:val="24"/>
          <w:szCs w:val="24"/>
          <w:lang w:val="cs-CZ"/>
        </w:rPr>
      </w:pPr>
      <w:r w:rsidRPr="009430FC">
        <w:rPr>
          <w:rFonts w:ascii="RotisSerif" w:hAnsi="RotisSerif"/>
          <w:sz w:val="24"/>
          <w:szCs w:val="24"/>
          <w:lang w:val="cs-CZ"/>
        </w:rPr>
        <w:t xml:space="preserve">Léčba </w:t>
      </w:r>
      <w:proofErr w:type="spellStart"/>
      <w:r w:rsidRPr="009430FC">
        <w:rPr>
          <w:rFonts w:ascii="RotisSerif" w:hAnsi="RotisSerif"/>
          <w:sz w:val="24"/>
          <w:szCs w:val="24"/>
          <w:lang w:val="cs-CZ"/>
        </w:rPr>
        <w:t>Fabryho</w:t>
      </w:r>
      <w:proofErr w:type="spellEnd"/>
      <w:r w:rsidRPr="009430FC">
        <w:rPr>
          <w:rFonts w:ascii="RotisSerif" w:hAnsi="RotisSerif"/>
          <w:sz w:val="24"/>
          <w:szCs w:val="24"/>
          <w:lang w:val="cs-CZ"/>
        </w:rPr>
        <w:t xml:space="preserve"> choroby musí být pacientům podávána lékařem každý druhý týden, což v závislosti na vzdálenosti jejich bydliště od Nemocnice představuje pro některé pacienty překážku přístupu k léčbě;</w:t>
      </w:r>
    </w:p>
    <w:p w14:paraId="24D5DB36" w14:textId="77777777" w:rsidR="00E975F1" w:rsidRPr="009430FC" w:rsidRDefault="00E975F1" w:rsidP="00C53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RotisSerif" w:hAnsi="RotisSerif"/>
          <w:sz w:val="24"/>
          <w:szCs w:val="24"/>
        </w:rPr>
      </w:pPr>
    </w:p>
    <w:p w14:paraId="0F0CD813" w14:textId="77777777" w:rsidR="003D4E24" w:rsidRPr="009430FC" w:rsidRDefault="00CB2BF1" w:rsidP="00C531D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  <w:lang w:val="cs-CZ"/>
        </w:rPr>
        <w:t xml:space="preserve">Za účelem zvýšení dostupnosti léčby </w:t>
      </w:r>
      <w:proofErr w:type="spellStart"/>
      <w:r w:rsidRPr="009430FC">
        <w:rPr>
          <w:rFonts w:ascii="RotisSerif" w:hAnsi="RotisSerif"/>
          <w:sz w:val="24"/>
          <w:szCs w:val="24"/>
          <w:lang w:val="cs-CZ"/>
        </w:rPr>
        <w:t>Fabryho</w:t>
      </w:r>
      <w:proofErr w:type="spellEnd"/>
      <w:r w:rsidRPr="009430FC">
        <w:rPr>
          <w:rFonts w:ascii="RotisSerif" w:hAnsi="RotisSerif"/>
          <w:sz w:val="24"/>
          <w:szCs w:val="24"/>
          <w:lang w:val="cs-CZ"/>
        </w:rPr>
        <w:t xml:space="preserve"> choroby, které je v nejlepším zájmu pacientů, má Nemocnice zájem uzavřít smlouvu s poskytovatelem zdravotních služeb, který disponuje dostatečným personálním a technickým vybavením, aby mohl podávat léčbu pacientům s </w:t>
      </w:r>
      <w:proofErr w:type="spellStart"/>
      <w:r w:rsidRPr="009430FC">
        <w:rPr>
          <w:rFonts w:ascii="RotisSerif" w:hAnsi="RotisSerif"/>
          <w:sz w:val="24"/>
          <w:szCs w:val="24"/>
          <w:lang w:val="cs-CZ"/>
        </w:rPr>
        <w:t>Fabryho</w:t>
      </w:r>
      <w:proofErr w:type="spellEnd"/>
      <w:r w:rsidRPr="009430FC">
        <w:rPr>
          <w:rFonts w:ascii="RotisSerif" w:hAnsi="RotisSerif"/>
          <w:sz w:val="24"/>
          <w:szCs w:val="24"/>
          <w:lang w:val="cs-CZ"/>
        </w:rPr>
        <w:t xml:space="preserve"> chorobou;</w:t>
      </w:r>
    </w:p>
    <w:p w14:paraId="0F0CD814" w14:textId="72DAD5CD" w:rsidR="003D4E24" w:rsidRPr="009430FC" w:rsidRDefault="00CB2BF1">
      <w:pPr>
        <w:widowControl w:val="0"/>
        <w:autoSpaceDE w:val="0"/>
        <w:autoSpaceDN w:val="0"/>
        <w:adjustRightInd w:val="0"/>
        <w:spacing w:before="360" w:after="180" w:line="240" w:lineRule="auto"/>
        <w:jc w:val="both"/>
        <w:rPr>
          <w:rFonts w:ascii="RotisSerif" w:hAnsi="RotisSerif"/>
          <w:sz w:val="24"/>
          <w:szCs w:val="24"/>
        </w:rPr>
      </w:pPr>
      <w:r w:rsidRPr="009430FC">
        <w:rPr>
          <w:rFonts w:ascii="RotisSerif" w:hAnsi="RotisSerif"/>
          <w:sz w:val="24"/>
          <w:szCs w:val="24"/>
        </w:rPr>
        <w:t>vzhledem k výše uvedenému a k tomu, že smluvní strany dospěly k vzájemné a úplné shodě v níže uvedených skutečnostech, rozhodly se uzavřít v souladu s § 1746 odst. 2 zákona č. 89/2012 Sb., občanského zákoníku, v platném znění (dále jen „</w:t>
      </w:r>
      <w:r w:rsidRPr="009430FC">
        <w:rPr>
          <w:rFonts w:ascii="RotisSerif" w:hAnsi="RotisSerif"/>
          <w:b/>
          <w:bCs/>
          <w:sz w:val="24"/>
          <w:szCs w:val="24"/>
        </w:rPr>
        <w:t>NOZ</w:t>
      </w:r>
      <w:r w:rsidRPr="009430FC">
        <w:rPr>
          <w:rFonts w:ascii="RotisSerif" w:hAnsi="RotisSerif"/>
          <w:sz w:val="24"/>
          <w:szCs w:val="24"/>
        </w:rPr>
        <w:t xml:space="preserve">“) tuto </w:t>
      </w:r>
      <w:r w:rsidRPr="009430FC">
        <w:rPr>
          <w:rFonts w:ascii="RotisSerif" w:hAnsi="RotisSerif"/>
          <w:i/>
          <w:sz w:val="24"/>
          <w:szCs w:val="24"/>
          <w:u w:val="single"/>
        </w:rPr>
        <w:t>Smlouvu o spolupráci</w:t>
      </w:r>
      <w:r w:rsidRPr="009430FC">
        <w:rPr>
          <w:rFonts w:ascii="RotisSerif" w:hAnsi="RotisSerif"/>
          <w:sz w:val="24"/>
          <w:szCs w:val="24"/>
        </w:rPr>
        <w:t xml:space="preserve"> (dále jen „</w:t>
      </w:r>
      <w:r w:rsidRPr="009430FC">
        <w:rPr>
          <w:rFonts w:ascii="RotisSerif" w:hAnsi="RotisSerif"/>
          <w:b/>
          <w:bCs/>
          <w:sz w:val="24"/>
          <w:szCs w:val="24"/>
        </w:rPr>
        <w:t>smlouva</w:t>
      </w:r>
      <w:r w:rsidRPr="009430FC">
        <w:rPr>
          <w:rFonts w:ascii="RotisSerif" w:hAnsi="RotisSerif"/>
          <w:sz w:val="24"/>
          <w:szCs w:val="24"/>
        </w:rPr>
        <w:t>“):</w:t>
      </w:r>
    </w:p>
    <w:p w14:paraId="0F0CD815" w14:textId="77777777" w:rsidR="003D4E24" w:rsidRPr="009430FC" w:rsidRDefault="00CB2BF1">
      <w:pPr>
        <w:pStyle w:val="NadpisLEG"/>
      </w:pPr>
      <w:r w:rsidRPr="009430FC">
        <w:t>Předmět smlouvy</w:t>
      </w:r>
    </w:p>
    <w:p w14:paraId="0F0CD816" w14:textId="32833322" w:rsidR="003D4E24" w:rsidRPr="009430FC" w:rsidRDefault="00CB2BF1" w:rsidP="000622EB">
      <w:pPr>
        <w:pStyle w:val="LEG1"/>
        <w:ind w:left="567" w:hanging="567"/>
      </w:pPr>
      <w:r w:rsidRPr="009430FC">
        <w:t xml:space="preserve">Předmětem této smlouvy je úprava vztahů mezi společností B. Braun a Nemocnicí při poskytování zdravotních služeb ve zdravotnickém zařízení společnosti B. Braun pro pacienty Nemocnice, kterým byla diagnostikována </w:t>
      </w:r>
      <w:proofErr w:type="spellStart"/>
      <w:r w:rsidRPr="009430FC">
        <w:t>Fabryho</w:t>
      </w:r>
      <w:proofErr w:type="spellEnd"/>
      <w:r w:rsidR="00C531D9" w:rsidRPr="009430FC">
        <w:t xml:space="preserve"> choroba</w:t>
      </w:r>
      <w:r w:rsidRPr="009430FC">
        <w:t xml:space="preserve"> (dále jen „</w:t>
      </w:r>
      <w:r w:rsidRPr="009430FC">
        <w:rPr>
          <w:b/>
        </w:rPr>
        <w:t>Pacient</w:t>
      </w:r>
      <w:r w:rsidRPr="009430FC">
        <w:t xml:space="preserve">“ </w:t>
      </w:r>
    </w:p>
    <w:p w14:paraId="0F0CD817" w14:textId="392EEB76" w:rsidR="003D4E24" w:rsidRPr="009430FC" w:rsidRDefault="00CB2BF1" w:rsidP="000622EB">
      <w:pPr>
        <w:pStyle w:val="LEG1"/>
        <w:ind w:left="567" w:hanging="567"/>
      </w:pPr>
      <w:r w:rsidRPr="009430FC">
        <w:lastRenderedPageBreak/>
        <w:t>Zdravotními službami dle této smlouvy se rozumí zejména pravidelné podávání Léčivého přípravku.</w:t>
      </w:r>
    </w:p>
    <w:p w14:paraId="0F0CD818" w14:textId="77777777" w:rsidR="003D4E24" w:rsidRPr="009430FC" w:rsidRDefault="00CB2BF1">
      <w:pPr>
        <w:pStyle w:val="NadpisLEG"/>
      </w:pPr>
      <w:r w:rsidRPr="009430FC">
        <w:t>Práva a povinnosti smluvních stran</w:t>
      </w:r>
    </w:p>
    <w:p w14:paraId="0F0CD819" w14:textId="77777777" w:rsidR="003D4E24" w:rsidRPr="009430FC" w:rsidRDefault="00CB2BF1" w:rsidP="000622EB">
      <w:pPr>
        <w:pStyle w:val="LEG1"/>
        <w:ind w:left="567" w:hanging="567"/>
      </w:pPr>
      <w:r w:rsidRPr="009430FC">
        <w:t>Nemocnice</w:t>
      </w:r>
    </w:p>
    <w:p w14:paraId="0F0CD81A" w14:textId="77777777" w:rsidR="003D4E24" w:rsidRPr="009430FC" w:rsidRDefault="00CB2BF1" w:rsidP="00C531D9">
      <w:pPr>
        <w:pStyle w:val="LEG2"/>
        <w:ind w:left="1560" w:hanging="709"/>
        <w:rPr>
          <w:bCs/>
        </w:rPr>
      </w:pPr>
      <w:r w:rsidRPr="009430FC">
        <w:rPr>
          <w:bCs/>
        </w:rPr>
        <w:t>indikuje Pacientovi léčbu;</w:t>
      </w:r>
    </w:p>
    <w:p w14:paraId="0F0CD81B" w14:textId="77777777" w:rsidR="003D4E24" w:rsidRPr="009430FC" w:rsidRDefault="00CB2BF1">
      <w:pPr>
        <w:pStyle w:val="LEG2"/>
        <w:ind w:left="1560" w:hanging="709"/>
        <w:rPr>
          <w:bCs/>
        </w:rPr>
      </w:pPr>
      <w:r w:rsidRPr="009430FC">
        <w:rPr>
          <w:bCs/>
        </w:rPr>
        <w:t xml:space="preserve">poskytne Pacientovi veškeré potřebné informace nezbytné k poskytnutí zdravotních služeb ze strany společnosti B. Braun a v případě, že Pacient bude s poskytnutím zdravotních služeb ze strany společnosti B. Braun souhlasit, souhlas Pacienta řádně zdokumentuje; </w:t>
      </w:r>
    </w:p>
    <w:p w14:paraId="0F0CD81C" w14:textId="77777777" w:rsidR="003D4E24" w:rsidRPr="009430FC" w:rsidRDefault="00CB2BF1" w:rsidP="00C531D9">
      <w:pPr>
        <w:pStyle w:val="LEG2"/>
        <w:ind w:left="1560" w:hanging="709"/>
        <w:rPr>
          <w:bCs/>
        </w:rPr>
      </w:pPr>
      <w:r w:rsidRPr="009430FC">
        <w:rPr>
          <w:bCs/>
        </w:rPr>
        <w:t>zajistí řádné vedení zdravotnické dokumentace;</w:t>
      </w:r>
    </w:p>
    <w:p w14:paraId="0F0CD81D" w14:textId="3F3EAF25" w:rsidR="003D4E24" w:rsidRPr="009430FC" w:rsidRDefault="00CB2BF1" w:rsidP="00C531D9">
      <w:pPr>
        <w:pStyle w:val="LEG2"/>
        <w:ind w:left="1560" w:hanging="709"/>
        <w:rPr>
          <w:bCs/>
        </w:rPr>
      </w:pPr>
      <w:r w:rsidRPr="009430FC">
        <w:rPr>
          <w:bCs/>
        </w:rPr>
        <w:t xml:space="preserve">poskytne společnosti B. Braun veškeré potřebné informace a spolupráci nezbytnou k poskytnutí zdravotních služeb ze strany společnosti B. Braun; </w:t>
      </w:r>
    </w:p>
    <w:p w14:paraId="0F0CD81E" w14:textId="3AC4DE97" w:rsidR="003D4E24" w:rsidRPr="009430FC" w:rsidRDefault="00CB2BF1">
      <w:pPr>
        <w:pStyle w:val="LEG2"/>
        <w:ind w:left="1560" w:hanging="709"/>
        <w:rPr>
          <w:bCs/>
        </w:rPr>
      </w:pPr>
      <w:r w:rsidRPr="009430FC">
        <w:rPr>
          <w:bCs/>
        </w:rPr>
        <w:t>zajistí za pomoci osoby disponující distribuční licencí (dále jen „</w:t>
      </w:r>
      <w:r w:rsidRPr="009430FC">
        <w:rPr>
          <w:b/>
        </w:rPr>
        <w:t>Dopravce</w:t>
      </w:r>
      <w:r w:rsidRPr="009430FC">
        <w:rPr>
          <w:bCs/>
        </w:rPr>
        <w:t>“) v souladu s pravidly řádné distribuční praxe a příslušnými právními předpisy doručení Léčivého přípravku do zdravotnického zařízení společnosti B. Braun;</w:t>
      </w:r>
    </w:p>
    <w:p w14:paraId="0F0CD81F" w14:textId="77777777" w:rsidR="003D4E24" w:rsidRPr="009430FC" w:rsidRDefault="00CB2BF1">
      <w:pPr>
        <w:pStyle w:val="LEG2"/>
        <w:ind w:left="1560" w:hanging="709"/>
        <w:rPr>
          <w:bCs/>
        </w:rPr>
      </w:pPr>
      <w:r w:rsidRPr="009430FC">
        <w:rPr>
          <w:bCs/>
        </w:rPr>
        <w:t>poskytne zaměstnancům společnosti B. Braun, kteří se na poskytování zdravotních služeb dle této smlouvy budou podílet, odpovídající školení; a</w:t>
      </w:r>
    </w:p>
    <w:p w14:paraId="0F0CD820" w14:textId="77777777" w:rsidR="003D4E24" w:rsidRPr="009430FC" w:rsidRDefault="00CB2BF1" w:rsidP="00C531D9">
      <w:pPr>
        <w:pStyle w:val="LEG2"/>
        <w:ind w:left="1560" w:hanging="709"/>
      </w:pPr>
      <w:r w:rsidRPr="009430FC">
        <w:t xml:space="preserve">zajistí </w:t>
      </w:r>
      <w:r w:rsidRPr="009430FC">
        <w:rPr>
          <w:bCs/>
        </w:rPr>
        <w:t>lékaře zkušeného v léčbě pacientů s </w:t>
      </w:r>
      <w:proofErr w:type="spellStart"/>
      <w:r w:rsidRPr="009430FC">
        <w:rPr>
          <w:bCs/>
        </w:rPr>
        <w:t>Fabryho</w:t>
      </w:r>
      <w:proofErr w:type="spellEnd"/>
      <w:r w:rsidRPr="009430FC">
        <w:rPr>
          <w:bCs/>
        </w:rPr>
        <w:t xml:space="preserve"> nemocí nebo jinými dědičnými metabolickými poruchami, pod jehož vedením bude léčba probíhat.</w:t>
      </w:r>
      <w:r w:rsidRPr="009430FC">
        <w:rPr>
          <w:bCs/>
        </w:rPr>
        <w:cr/>
      </w:r>
    </w:p>
    <w:p w14:paraId="0F0CD821" w14:textId="77777777" w:rsidR="003D4E24" w:rsidRPr="009430FC" w:rsidRDefault="00CB2BF1" w:rsidP="000622EB">
      <w:pPr>
        <w:pStyle w:val="LEG1"/>
        <w:ind w:left="567" w:hanging="567"/>
      </w:pPr>
      <w:r w:rsidRPr="009430FC">
        <w:t xml:space="preserve">Společnost B. Braun </w:t>
      </w:r>
    </w:p>
    <w:p w14:paraId="0F0CD822" w14:textId="77777777" w:rsidR="003D4E24" w:rsidRPr="009430FC" w:rsidRDefault="00CB2BF1" w:rsidP="00C531D9">
      <w:pPr>
        <w:pStyle w:val="LEG2"/>
        <w:ind w:left="1560" w:hanging="709"/>
        <w:rPr>
          <w:bCs/>
        </w:rPr>
      </w:pPr>
      <w:r w:rsidRPr="009430FC">
        <w:rPr>
          <w:bCs/>
        </w:rPr>
        <w:t xml:space="preserve">poskytne Pacientovi zdravotní služby </w:t>
      </w:r>
      <w:r w:rsidRPr="009430FC">
        <w:rPr>
          <w:bCs/>
          <w:i/>
          <w:iCs/>
        </w:rPr>
        <w:t xml:space="preserve">lege </w:t>
      </w:r>
      <w:proofErr w:type="spellStart"/>
      <w:r w:rsidRPr="009430FC">
        <w:rPr>
          <w:bCs/>
          <w:i/>
          <w:iCs/>
        </w:rPr>
        <w:t>artis</w:t>
      </w:r>
      <w:proofErr w:type="spellEnd"/>
      <w:r w:rsidRPr="009430FC">
        <w:rPr>
          <w:bCs/>
        </w:rPr>
        <w:t xml:space="preserve">; </w:t>
      </w:r>
    </w:p>
    <w:p w14:paraId="0F0CD823" w14:textId="21F67059" w:rsidR="003D4E24" w:rsidRPr="009430FC" w:rsidRDefault="00CB2BF1" w:rsidP="00C531D9">
      <w:pPr>
        <w:pStyle w:val="LEG2"/>
        <w:ind w:left="1560" w:hanging="709"/>
        <w:rPr>
          <w:bCs/>
        </w:rPr>
      </w:pPr>
      <w:r w:rsidRPr="009430FC">
        <w:rPr>
          <w:bCs/>
        </w:rPr>
        <w:t>poskytne Nemocnici veškeré nezbytné informace a potřebnou spolupráci v souvislosti s poskytnutím zdravotních služeb ze strany společnosti B. Braun a přepravou Léčivého přípravku z Nemocnice do zdravotnického zařízení společnosti B. Braun;</w:t>
      </w:r>
    </w:p>
    <w:p w14:paraId="0F0CD824" w14:textId="4A0B61B7" w:rsidR="003D4E24" w:rsidRPr="009430FC" w:rsidRDefault="00CB2BF1" w:rsidP="00C531D9">
      <w:pPr>
        <w:pStyle w:val="LEG2"/>
        <w:ind w:left="1560" w:hanging="709"/>
        <w:rPr>
          <w:bCs/>
        </w:rPr>
      </w:pPr>
      <w:r w:rsidRPr="009430FC">
        <w:rPr>
          <w:bCs/>
        </w:rPr>
        <w:t>zajistí, že přepravený Léčivý přípravek bude ve zdravotnickém zařízení společnosti B. Braun řádně skladován v souladu s SPC Léčivého přípravku a příslušnými právními předpisy;</w:t>
      </w:r>
    </w:p>
    <w:p w14:paraId="0F0CD825" w14:textId="4E7F0169" w:rsidR="003D4E24" w:rsidRPr="009430FC" w:rsidRDefault="00CB2BF1" w:rsidP="00C531D9">
      <w:pPr>
        <w:pStyle w:val="LEG2"/>
        <w:ind w:left="1560" w:hanging="709"/>
        <w:rPr>
          <w:bCs/>
        </w:rPr>
      </w:pPr>
      <w:r w:rsidRPr="009430FC">
        <w:rPr>
          <w:bCs/>
        </w:rPr>
        <w:t xml:space="preserve">zajistí řádné vedení zdravotnické dokumentace; </w:t>
      </w:r>
    </w:p>
    <w:p w14:paraId="0F0CD826" w14:textId="793CA813" w:rsidR="003D4E24" w:rsidRPr="009430FC" w:rsidRDefault="00CB2BF1">
      <w:pPr>
        <w:pStyle w:val="LEG2"/>
        <w:ind w:left="1560" w:hanging="709"/>
        <w:rPr>
          <w:bCs/>
        </w:rPr>
      </w:pPr>
      <w:r w:rsidRPr="009430FC">
        <w:rPr>
          <w:bCs/>
        </w:rPr>
        <w:t>eviduje podání Léčivého přípravku;</w:t>
      </w:r>
    </w:p>
    <w:p w14:paraId="0F0CD827" w14:textId="450B15BD" w:rsidR="003D4E24" w:rsidRPr="009430FC" w:rsidRDefault="00CB2BF1">
      <w:pPr>
        <w:pStyle w:val="LEG2"/>
        <w:ind w:left="1560" w:hanging="709"/>
        <w:rPr>
          <w:bCs/>
        </w:rPr>
      </w:pPr>
      <w:r w:rsidRPr="009430FC">
        <w:rPr>
          <w:bCs/>
        </w:rPr>
        <w:t xml:space="preserve">zajistí na náklady </w:t>
      </w:r>
      <w:r w:rsidR="00061FBD" w:rsidRPr="009430FC">
        <w:rPr>
          <w:bCs/>
        </w:rPr>
        <w:t xml:space="preserve">Nemocnice </w:t>
      </w:r>
      <w:r w:rsidRPr="009430FC">
        <w:rPr>
          <w:bCs/>
        </w:rPr>
        <w:t>pravidelnou účast zaměstnanců, kteří se na poskytování zdravotních služeb dle této smlouvy budou podílet, na školení v Nemocnici a dále zajistí, že tito zaměstnanci se budou při poskytování služeb dle této smlouvy řídit pokyny lékaře odpovědného za vedení léčby; a</w:t>
      </w:r>
    </w:p>
    <w:p w14:paraId="0F0CD828" w14:textId="77777777" w:rsidR="003D4E24" w:rsidRPr="009430FC" w:rsidRDefault="00CB2BF1" w:rsidP="00C531D9">
      <w:pPr>
        <w:pStyle w:val="LEG2"/>
        <w:ind w:left="1560" w:hanging="709"/>
        <w:rPr>
          <w:bCs/>
        </w:rPr>
      </w:pPr>
      <w:r w:rsidRPr="009430FC">
        <w:rPr>
          <w:bCs/>
        </w:rPr>
        <w:t xml:space="preserve">prohlašuje, že disponuje dostatečným personálním a technickým </w:t>
      </w:r>
      <w:r w:rsidRPr="009430FC">
        <w:rPr>
          <w:bCs/>
        </w:rPr>
        <w:lastRenderedPageBreak/>
        <w:t xml:space="preserve">vybavením, aby mohla zdravotní služby dle této smlouvy poskytovat. </w:t>
      </w:r>
    </w:p>
    <w:p w14:paraId="0F0CD82A" w14:textId="21C2A45D" w:rsidR="003D4E24" w:rsidRPr="009430FC" w:rsidRDefault="00090D7F">
      <w:pPr>
        <w:pStyle w:val="NadpisLEG"/>
      </w:pPr>
      <w:r w:rsidRPr="009430FC">
        <w:t>Zmocnění</w:t>
      </w:r>
    </w:p>
    <w:p w14:paraId="0F0CD82B" w14:textId="3FF331D3" w:rsidR="003D4E24" w:rsidRPr="009430FC" w:rsidRDefault="00CB2BF1" w:rsidP="000622EB">
      <w:pPr>
        <w:pStyle w:val="LEG1"/>
        <w:ind w:left="567" w:hanging="567"/>
      </w:pPr>
      <w:r w:rsidRPr="009430FC">
        <w:t>Nemocnice tímto uděluje plnou moc společnosti B. Braun</w:t>
      </w:r>
      <w:r w:rsidR="00E975F1" w:rsidRPr="009430FC">
        <w:t xml:space="preserve"> a pověřuje ji</w:t>
      </w:r>
      <w:r w:rsidRPr="009430FC">
        <w:t xml:space="preserve">, aby </w:t>
      </w:r>
      <w:r w:rsidR="008337CA" w:rsidRPr="009430FC">
        <w:t xml:space="preserve">jejím jménem </w:t>
      </w:r>
      <w:r w:rsidR="004D2516" w:rsidRPr="009430FC">
        <w:t xml:space="preserve">a </w:t>
      </w:r>
      <w:r w:rsidR="008337CA" w:rsidRPr="009430FC">
        <w:t xml:space="preserve">na její účet </w:t>
      </w:r>
      <w:r w:rsidRPr="009430FC">
        <w:t xml:space="preserve">jednala v souvislosti s podáním Léčivého přípravku za účelem poskytování zdravotních služeb Pacientovi </w:t>
      </w:r>
      <w:r w:rsidRPr="009430FC">
        <w:rPr>
          <w:i/>
          <w:iCs/>
        </w:rPr>
        <w:t xml:space="preserve">lege </w:t>
      </w:r>
      <w:proofErr w:type="spellStart"/>
      <w:r w:rsidRPr="009430FC">
        <w:rPr>
          <w:i/>
          <w:iCs/>
        </w:rPr>
        <w:t>artis</w:t>
      </w:r>
      <w:proofErr w:type="spellEnd"/>
      <w:r w:rsidRPr="009430FC">
        <w:t>, jak je předpokládáno touto smlouvou</w:t>
      </w:r>
      <w:r w:rsidR="004D2516" w:rsidRPr="009430FC">
        <w:t xml:space="preserve"> při splnění podmínek § 15 odst. 11 zákona č. 48/1997 Sb., o veřejném zdravotním pojištění</w:t>
      </w:r>
      <w:r w:rsidRPr="009430FC">
        <w:t>.</w:t>
      </w:r>
    </w:p>
    <w:p w14:paraId="0F0CD82C" w14:textId="77777777" w:rsidR="003D4E24" w:rsidRPr="009430FC" w:rsidRDefault="00CB2BF1" w:rsidP="000622EB">
      <w:pPr>
        <w:pStyle w:val="LEG1"/>
        <w:ind w:left="567" w:hanging="567"/>
      </w:pPr>
      <w:r w:rsidRPr="009430FC">
        <w:t>Společnost B. Braun se zavazuje poskytovat zdravotní služby dle této smlouvy v souladu s pokyny Nemocnice a lékaře zkušeného v léčbě pacientů s </w:t>
      </w:r>
      <w:proofErr w:type="spellStart"/>
      <w:r w:rsidRPr="009430FC">
        <w:t>Fabryho</w:t>
      </w:r>
      <w:proofErr w:type="spellEnd"/>
      <w:r w:rsidRPr="009430FC">
        <w:t xml:space="preserve"> nemocí nebo jinými dědičnými metabolickými poruchami, pod jehož vedením bude léčba probíhat, který je zaměstnancem Nemocnice. </w:t>
      </w:r>
    </w:p>
    <w:p w14:paraId="0F0CD82D" w14:textId="77777777" w:rsidR="003D4E24" w:rsidRPr="009430FC" w:rsidRDefault="00CB2BF1">
      <w:pPr>
        <w:pStyle w:val="NadpisLEG"/>
      </w:pPr>
      <w:r w:rsidRPr="009430FC">
        <w:t>Sdílení informací</w:t>
      </w:r>
    </w:p>
    <w:p w14:paraId="0F0CD82E" w14:textId="77777777" w:rsidR="003D4E24" w:rsidRPr="009430FC" w:rsidRDefault="00CB2BF1" w:rsidP="000622EB">
      <w:pPr>
        <w:pStyle w:val="LEG1"/>
        <w:ind w:left="567" w:hanging="567"/>
      </w:pPr>
      <w:r w:rsidRPr="009430FC">
        <w:t>Nemocnice předá společnosti B. Braun veškeré relevantní podklady pro poskytnutí zdravotních služeb, tj. zejména</w:t>
      </w:r>
    </w:p>
    <w:p w14:paraId="0F0CD82F" w14:textId="77777777" w:rsidR="003D4E24" w:rsidRPr="009430FC" w:rsidRDefault="00CB2BF1" w:rsidP="00C531D9">
      <w:pPr>
        <w:pStyle w:val="LEG2"/>
        <w:ind w:left="1560" w:hanging="709"/>
      </w:pPr>
      <w:r w:rsidRPr="009430FC">
        <w:t>zdravotnickou dokumentaci Pacienta, včetně indikace léčby a způsobu podání; a</w:t>
      </w:r>
    </w:p>
    <w:p w14:paraId="0F0CD830" w14:textId="254FDF5D" w:rsidR="003D4E24" w:rsidRPr="009430FC" w:rsidRDefault="00CB2BF1" w:rsidP="00C531D9">
      <w:pPr>
        <w:pStyle w:val="LEG2"/>
        <w:ind w:left="1560" w:hanging="709"/>
      </w:pPr>
      <w:r w:rsidRPr="009430FC">
        <w:t>informaci o Léčivém přípravku, vč. nežádoucích účinků.</w:t>
      </w:r>
    </w:p>
    <w:p w14:paraId="0F0CD831" w14:textId="38CDD0FE" w:rsidR="003D4E24" w:rsidRPr="009430FC" w:rsidRDefault="00CB2BF1" w:rsidP="000622EB">
      <w:pPr>
        <w:pStyle w:val="LEG1"/>
        <w:ind w:left="567" w:hanging="567"/>
      </w:pPr>
      <w:r w:rsidRPr="009430FC">
        <w:t xml:space="preserve">Společnost B. Braun bude Nemocnici předávat informace o podání Léčivého přípravku. </w:t>
      </w:r>
    </w:p>
    <w:p w14:paraId="0F0CD832" w14:textId="334F5E37" w:rsidR="003D4E24" w:rsidRPr="009430FC" w:rsidRDefault="00CB2BF1">
      <w:pPr>
        <w:pStyle w:val="NadpisLEG"/>
      </w:pPr>
      <w:r w:rsidRPr="009430FC">
        <w:t>Doručení Léčivého přípravku</w:t>
      </w:r>
    </w:p>
    <w:p w14:paraId="0F0CD833" w14:textId="665189CE" w:rsidR="003D4E24" w:rsidRPr="009430FC" w:rsidRDefault="00CB2BF1" w:rsidP="000622EB">
      <w:pPr>
        <w:pStyle w:val="LEG1"/>
        <w:ind w:left="567" w:hanging="567"/>
      </w:pPr>
      <w:r w:rsidRPr="009430FC">
        <w:t xml:space="preserve">Nemocnice na vlastní náklady, případně na náklady třetí strany, s níž má uzavřenu příslušnou smlouvu, zajistí doručení Léčivého přípravku do zdravotnického zařízení společnosti B. Braun. Nemocnice zajistí, že během přepravy budou dodrženy podmínky zacházení s léčivými přípravky podle příslušných právních předpisů, v souladu se správnou distribuční praxí a SPC Léčivého přípravku (zejména zajištění teploty atd.). </w:t>
      </w:r>
    </w:p>
    <w:p w14:paraId="0F0CD834" w14:textId="62BD4293" w:rsidR="003D4E24" w:rsidRPr="009430FC" w:rsidRDefault="00CB2BF1" w:rsidP="000622EB">
      <w:pPr>
        <w:pStyle w:val="LEG1"/>
        <w:ind w:left="567" w:hanging="567"/>
      </w:pPr>
      <w:r w:rsidRPr="009430FC">
        <w:t xml:space="preserve">Společnost B. Braun převezme Léčivý přípravek od Dopravce a je povinna postupovat v souladu s SPC Léčivého přípravku a příslušnými právními předpisy. Společnost B. Braun je oprávněna odmítnout převzetí zásilky obsahující Léčivý přípravek v případě, že bude mít podezření na poškození nebo jiné znehodnocení. </w:t>
      </w:r>
    </w:p>
    <w:p w14:paraId="0F0CD835" w14:textId="62E087CB" w:rsidR="003D4E24" w:rsidRPr="009430FC" w:rsidRDefault="00CB2BF1" w:rsidP="000622EB">
      <w:pPr>
        <w:pStyle w:val="LEG1"/>
        <w:ind w:left="567" w:hanging="567"/>
      </w:pPr>
      <w:r w:rsidRPr="009430FC">
        <w:t xml:space="preserve">Nemocnice prostřednictvím Dopravce </w:t>
      </w:r>
      <w:proofErr w:type="gramStart"/>
      <w:r w:rsidRPr="009430FC">
        <w:t>doručí</w:t>
      </w:r>
      <w:proofErr w:type="gramEnd"/>
      <w:r w:rsidRPr="009430FC">
        <w:t xml:space="preserve"> společnosti B. Braun Léčivý přípravek s dostatečnou délkou expirační doby, a to nejméně 6 měsíců ode dne doručení Léčivého přípravku společnosti B. Braun. Společnost B. Braun zajistí podání Léčivého přípravku před uplynutím expirační doby. V případě, že by Léčivý přípravek nebyl podán nejpozději 1 měsíc před uplynutím expirační doby, je společnost B. Braun povinna informovat Nemocnici. V případě žádosti společnosti B. Braun je Nemocnice povinna odebrat Léčivý přípravek na vlastní náklady zpět. </w:t>
      </w:r>
    </w:p>
    <w:p w14:paraId="0F0CD836" w14:textId="589DF3A2" w:rsidR="003D4E24" w:rsidRPr="009430FC" w:rsidRDefault="00CB2BF1" w:rsidP="000622EB">
      <w:pPr>
        <w:pStyle w:val="LEG1"/>
        <w:ind w:left="567" w:hanging="567"/>
      </w:pPr>
      <w:r w:rsidRPr="009430FC">
        <w:t xml:space="preserve">Nemocnice je oprávněna zvolit Dopravce, vůči společnosti B. Braun však odpovídá, jako by doručovala Léčivý přípravek sama. </w:t>
      </w:r>
    </w:p>
    <w:p w14:paraId="0F0CD837" w14:textId="77777777" w:rsidR="003D4E24" w:rsidRPr="009430FC" w:rsidRDefault="00CB2BF1">
      <w:pPr>
        <w:pStyle w:val="NadpisLEG"/>
      </w:pPr>
      <w:r w:rsidRPr="009430FC">
        <w:lastRenderedPageBreak/>
        <w:t>Odměna</w:t>
      </w:r>
    </w:p>
    <w:p w14:paraId="0F0CD838" w14:textId="77777777" w:rsidR="003D4E24" w:rsidRPr="009430FC" w:rsidRDefault="00CB2BF1" w:rsidP="000622EB">
      <w:pPr>
        <w:pStyle w:val="LEG1"/>
        <w:ind w:left="567" w:hanging="567"/>
      </w:pPr>
      <w:r w:rsidRPr="009430FC">
        <w:t>Tato smlouva je sjednána jako bezúplatná.</w:t>
      </w:r>
    </w:p>
    <w:p w14:paraId="0F0CD839" w14:textId="77777777" w:rsidR="003D4E24" w:rsidRPr="009430FC" w:rsidRDefault="00CB2BF1">
      <w:pPr>
        <w:pStyle w:val="NadpisLEG"/>
      </w:pPr>
      <w:r w:rsidRPr="009430FC">
        <w:t>Trvání smlouvy</w:t>
      </w:r>
    </w:p>
    <w:p w14:paraId="0F0CD83A" w14:textId="66AD3A6F" w:rsidR="003D4E24" w:rsidRPr="009430FC" w:rsidRDefault="00CB2BF1" w:rsidP="000622EB">
      <w:pPr>
        <w:pStyle w:val="LEG1"/>
        <w:ind w:left="567" w:hanging="567"/>
      </w:pPr>
      <w:r w:rsidRPr="009430FC">
        <w:t>Tato smlouva nabývá platnosti a účinnosti dnem jejího podpisu poslední smluvní stranou.</w:t>
      </w:r>
    </w:p>
    <w:p w14:paraId="0F0CD83B" w14:textId="77777777" w:rsidR="003D4E24" w:rsidRPr="009430FC" w:rsidRDefault="00CB2BF1" w:rsidP="000622EB">
      <w:pPr>
        <w:pStyle w:val="LEG1"/>
        <w:ind w:left="567" w:hanging="567"/>
      </w:pPr>
      <w:r w:rsidRPr="009430FC">
        <w:t xml:space="preserve">Tato smlouva se uzavírá na dobu neurčitou. </w:t>
      </w:r>
    </w:p>
    <w:p w14:paraId="0F0CD83C" w14:textId="77777777" w:rsidR="003D4E24" w:rsidRPr="009430FC" w:rsidRDefault="00CB2BF1" w:rsidP="000622EB">
      <w:pPr>
        <w:pStyle w:val="LEG1"/>
        <w:ind w:left="567" w:hanging="567"/>
      </w:pPr>
      <w:r w:rsidRPr="009430FC">
        <w:t xml:space="preserve">Tato smlouva může být ukončena písemnou výpovědí kterékoliv smluvní strany. Výpovědní lhůta činí 60 dní a počíná běžet prvním dnem měsíce následujícího po doručení výpovědi druhé smluvní straně. </w:t>
      </w:r>
    </w:p>
    <w:p w14:paraId="0F0CD83D" w14:textId="77777777" w:rsidR="003D4E24" w:rsidRPr="009430FC" w:rsidRDefault="00CB2BF1" w:rsidP="000622EB">
      <w:pPr>
        <w:pStyle w:val="LEG1"/>
        <w:ind w:left="567" w:hanging="567"/>
      </w:pPr>
      <w:r w:rsidRPr="009430FC">
        <w:t>Tato smlouva může být kdykoliv ukončena písemnou dohodou smluvních stran.</w:t>
      </w:r>
    </w:p>
    <w:p w14:paraId="0F0CD83E" w14:textId="701C75B8" w:rsidR="003D4E24" w:rsidRPr="009430FC" w:rsidRDefault="00CB2BF1" w:rsidP="000622EB">
      <w:pPr>
        <w:pStyle w:val="LEG1"/>
        <w:ind w:left="567" w:hanging="567"/>
      </w:pPr>
      <w:r w:rsidRPr="009430FC">
        <w:t>Společnost B. Braun může od této smlouvy odstoupit, a to při podstatném porušení některé z povinností Nemocnice.</w:t>
      </w:r>
    </w:p>
    <w:p w14:paraId="0F0CD83F" w14:textId="032CFE17" w:rsidR="003D4E24" w:rsidRPr="009430FC" w:rsidRDefault="00CB2BF1" w:rsidP="000622EB">
      <w:pPr>
        <w:pStyle w:val="LEG1"/>
        <w:ind w:left="567" w:hanging="567"/>
      </w:pPr>
      <w:r w:rsidRPr="009430FC">
        <w:t xml:space="preserve">Nemocnice může od této smlouvy odstoupit, a to při podstatném porušení některé z povinností společnosti B. Braun. </w:t>
      </w:r>
    </w:p>
    <w:p w14:paraId="0F0CD840" w14:textId="77777777" w:rsidR="003D4E24" w:rsidRPr="009430FC" w:rsidRDefault="00CB2BF1">
      <w:pPr>
        <w:pStyle w:val="NadpisLEG"/>
      </w:pPr>
      <w:r w:rsidRPr="009430FC">
        <w:t>Ochrana osobních údajů</w:t>
      </w:r>
    </w:p>
    <w:p w14:paraId="0F0CD841" w14:textId="77777777" w:rsidR="003D4E24" w:rsidRPr="009430FC" w:rsidRDefault="00CB2BF1" w:rsidP="000622EB">
      <w:pPr>
        <w:pStyle w:val="LEG1"/>
        <w:ind w:left="567" w:hanging="567"/>
      </w:pPr>
      <w:r w:rsidRPr="009430FC">
        <w:t>Smluvní strany prohlašují, že při zpracování osobních údajů Pacienta a dalších příslušných osob v souvislosti s plněním této Smlouvy budou postupovat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 souvisejícími zákony a uzavřou mezi sebou pro účely takového zpracování smlouvu o zpracování osobních údajů.</w:t>
      </w:r>
    </w:p>
    <w:p w14:paraId="0F0CD842" w14:textId="77777777" w:rsidR="003D4E24" w:rsidRPr="009430FC" w:rsidRDefault="00CB2BF1">
      <w:pPr>
        <w:pStyle w:val="NadpisLEG"/>
      </w:pPr>
      <w:r w:rsidRPr="009430FC">
        <w:t>Mlčenlivost</w:t>
      </w:r>
    </w:p>
    <w:p w14:paraId="0F0CD843" w14:textId="77777777" w:rsidR="003D4E24" w:rsidRPr="009430FC" w:rsidRDefault="00CB2BF1" w:rsidP="000622EB">
      <w:pPr>
        <w:pStyle w:val="BMH60"/>
        <w:widowControl w:val="0"/>
        <w:numPr>
          <w:ilvl w:val="1"/>
          <w:numId w:val="1"/>
        </w:numPr>
        <w:autoSpaceDE w:val="0"/>
        <w:autoSpaceDN w:val="0"/>
        <w:adjustRightInd w:val="0"/>
        <w:spacing w:after="180"/>
        <w:ind w:left="567" w:hanging="567"/>
        <w:jc w:val="both"/>
        <w:rPr>
          <w:rFonts w:ascii="RotisSerif" w:hAnsi="RotisSerif" w:cs="Arial"/>
          <w:bCs/>
          <w:sz w:val="26"/>
          <w:szCs w:val="28"/>
          <w:lang w:val="cs-CZ" w:eastAsia="cs-CZ"/>
        </w:rPr>
      </w:pPr>
      <w:r w:rsidRPr="009430FC">
        <w:rPr>
          <w:rFonts w:ascii="RotisSerif" w:hAnsi="RotisSerif"/>
          <w:sz w:val="24"/>
          <w:szCs w:val="24"/>
          <w:lang w:val="cs-CZ"/>
        </w:rPr>
        <w:t>Smluvní strany se dohodly, že veškeré informace, které se smluvní strany dozvěděly v souvislosti s touto smlouvou před jejím uzavřením nebo při plnění této smlouvy, tvořící její obsah, a informace, které si smluvní strany v souvislosti s plněním této smlouvy sdělí nebo jinak vyplynou z plnění této smlouvy (dále jen „</w:t>
      </w:r>
      <w:r w:rsidRPr="009430FC">
        <w:rPr>
          <w:rFonts w:ascii="RotisSerif" w:hAnsi="RotisSerif"/>
          <w:b/>
          <w:bCs/>
          <w:sz w:val="24"/>
          <w:szCs w:val="24"/>
          <w:lang w:val="cs-CZ"/>
        </w:rPr>
        <w:t>Důvěrné informace</w:t>
      </w:r>
      <w:r w:rsidRPr="009430FC">
        <w:rPr>
          <w:rFonts w:ascii="RotisSerif" w:hAnsi="RotisSerif"/>
          <w:sz w:val="24"/>
          <w:szCs w:val="24"/>
          <w:lang w:val="cs-CZ"/>
        </w:rPr>
        <w:t>“) musí být každou ze smluvních stran chráněny tak, aby došlo k jejich utajení a nesdělení třetím stranám.</w:t>
      </w:r>
    </w:p>
    <w:p w14:paraId="0F0CD844" w14:textId="77777777" w:rsidR="003D4E24" w:rsidRPr="009430FC" w:rsidRDefault="00CB2BF1" w:rsidP="000622EB">
      <w:pPr>
        <w:pStyle w:val="BMH60"/>
        <w:widowControl w:val="0"/>
        <w:numPr>
          <w:ilvl w:val="1"/>
          <w:numId w:val="1"/>
        </w:numPr>
        <w:autoSpaceDE w:val="0"/>
        <w:autoSpaceDN w:val="0"/>
        <w:adjustRightInd w:val="0"/>
        <w:spacing w:after="180"/>
        <w:ind w:left="567" w:hanging="567"/>
        <w:jc w:val="both"/>
        <w:rPr>
          <w:rFonts w:ascii="RotisSerif" w:hAnsi="RotisSerif" w:cs="Arial"/>
          <w:bCs/>
          <w:sz w:val="24"/>
          <w:szCs w:val="24"/>
          <w:lang w:val="cs-CZ" w:eastAsia="cs-CZ"/>
        </w:rPr>
      </w:pPr>
      <w:r w:rsidRPr="009430FC">
        <w:rPr>
          <w:rFonts w:ascii="RotisSerif" w:hAnsi="RotisSerif"/>
          <w:sz w:val="24"/>
          <w:szCs w:val="24"/>
          <w:lang w:val="cs-CZ"/>
        </w:rPr>
        <w:t>Smluvní strany se dohodly, že žádná ze smluvních stran nesdělí Důvěrné informace třetí osobě a přijme taková opatření, která znemožní jejich přístupnost třetím osobám. Ustanovení předchozí věty se nevztahuje na případy, kdy:</w:t>
      </w:r>
    </w:p>
    <w:p w14:paraId="0F0CD845" w14:textId="77777777" w:rsidR="003D4E24" w:rsidRPr="009430FC" w:rsidRDefault="00CB2BF1" w:rsidP="00C531D9">
      <w:pPr>
        <w:pStyle w:val="BMH2"/>
        <w:keepNext w:val="0"/>
        <w:widowControl w:val="0"/>
        <w:numPr>
          <w:ilvl w:val="2"/>
          <w:numId w:val="1"/>
        </w:numPr>
        <w:autoSpaceDE w:val="0"/>
        <w:autoSpaceDN w:val="0"/>
        <w:adjustRightInd w:val="0"/>
        <w:spacing w:after="180"/>
        <w:ind w:left="1560" w:hanging="709"/>
        <w:jc w:val="both"/>
        <w:outlineLvl w:val="9"/>
        <w:rPr>
          <w:rFonts w:ascii="RotisSerif" w:hAnsi="RotisSerif" w:cs="Arial"/>
          <w:bCs/>
          <w:sz w:val="24"/>
          <w:szCs w:val="24"/>
          <w:lang w:val="cs-CZ" w:eastAsia="cs-CZ"/>
        </w:rPr>
      </w:pPr>
      <w:r w:rsidRPr="009430FC">
        <w:rPr>
          <w:rFonts w:ascii="RotisSerif" w:hAnsi="RotisSerif"/>
          <w:b w:val="0"/>
          <w:bCs/>
          <w:sz w:val="24"/>
          <w:szCs w:val="24"/>
          <w:lang w:val="cs-CZ"/>
        </w:rPr>
        <w:t>má smluvní strana povinnost sdělit údaje určité osobě na základě zákona;</w:t>
      </w:r>
    </w:p>
    <w:p w14:paraId="0F0CD846" w14:textId="77777777" w:rsidR="003D4E24" w:rsidRPr="009430FC" w:rsidRDefault="00CB2BF1" w:rsidP="00C531D9">
      <w:pPr>
        <w:pStyle w:val="BMH2"/>
        <w:keepNext w:val="0"/>
        <w:widowControl w:val="0"/>
        <w:numPr>
          <w:ilvl w:val="2"/>
          <w:numId w:val="1"/>
        </w:numPr>
        <w:autoSpaceDE w:val="0"/>
        <w:autoSpaceDN w:val="0"/>
        <w:adjustRightInd w:val="0"/>
        <w:spacing w:after="180"/>
        <w:ind w:left="1560" w:hanging="709"/>
        <w:jc w:val="both"/>
        <w:outlineLvl w:val="9"/>
        <w:rPr>
          <w:rFonts w:ascii="RotisSerif" w:hAnsi="RotisSerif" w:cs="Arial"/>
          <w:bCs/>
          <w:sz w:val="24"/>
          <w:szCs w:val="24"/>
          <w:lang w:val="cs-CZ" w:eastAsia="cs-CZ"/>
        </w:rPr>
      </w:pPr>
      <w:r w:rsidRPr="009430FC">
        <w:rPr>
          <w:rFonts w:ascii="RotisSerif" w:hAnsi="RotisSerif"/>
          <w:b w:val="0"/>
          <w:bCs/>
          <w:sz w:val="24"/>
          <w:szCs w:val="24"/>
          <w:lang w:val="cs-CZ"/>
        </w:rPr>
        <w:t>se takové Důvěrné informace stanou veřejně známými či dostupnými jinak než porušením povinností vyplývajících z tohoto článku; nebo</w:t>
      </w:r>
    </w:p>
    <w:p w14:paraId="0F0CD847" w14:textId="77777777" w:rsidR="003D4E24" w:rsidRPr="009430FC" w:rsidRDefault="00CB2BF1" w:rsidP="00C531D9">
      <w:pPr>
        <w:pStyle w:val="LEG2"/>
        <w:ind w:left="1560" w:hanging="709"/>
        <w:rPr>
          <w:bCs/>
        </w:rPr>
      </w:pPr>
      <w:r w:rsidRPr="009430FC">
        <w:rPr>
          <w:bCs/>
        </w:rPr>
        <w:t>smluvní strana dá k zpřístupnění konkrétní Důvěrné informace druhé smluvní straně souhlas.</w:t>
      </w:r>
    </w:p>
    <w:p w14:paraId="0F0CD848" w14:textId="77777777" w:rsidR="003D4E24" w:rsidRPr="009430FC" w:rsidRDefault="00CB2BF1">
      <w:pPr>
        <w:pStyle w:val="NadpisLEG"/>
      </w:pPr>
      <w:r w:rsidRPr="009430FC">
        <w:lastRenderedPageBreak/>
        <w:t>Závěrečná ujednání</w:t>
      </w:r>
    </w:p>
    <w:p w14:paraId="0F0CD84A" w14:textId="40D7608F" w:rsidR="003D4E24" w:rsidRPr="009430FC" w:rsidRDefault="00CB2BF1" w:rsidP="000622EB">
      <w:pPr>
        <w:pStyle w:val="LEG1"/>
        <w:ind w:left="567" w:hanging="567"/>
      </w:pPr>
      <w:r w:rsidRPr="009430FC">
        <w:t xml:space="preserve">Tato smlouva existuje pouze v elektronické podobě ve formátu </w:t>
      </w:r>
      <w:proofErr w:type="spellStart"/>
      <w:r w:rsidRPr="009430FC">
        <w:t>pdf</w:t>
      </w:r>
      <w:proofErr w:type="spellEnd"/>
      <w:r w:rsidRPr="009430FC">
        <w:t xml:space="preserve"> a smluvní strany ji podepsaly elektronickými podpisy. </w:t>
      </w:r>
    </w:p>
    <w:p w14:paraId="0F0CD84B" w14:textId="50FB28C2" w:rsidR="003D4E24" w:rsidRPr="009430FC" w:rsidRDefault="00CB2BF1" w:rsidP="000622EB">
      <w:pPr>
        <w:pStyle w:val="LEG1"/>
        <w:ind w:left="567" w:hanging="567"/>
      </w:pPr>
      <w:r w:rsidRPr="009430FC">
        <w:t>Práva a povinnosti smluvních stran se řídí ustanoveními NOZ.</w:t>
      </w:r>
    </w:p>
    <w:p w14:paraId="0F0CD84C" w14:textId="77777777" w:rsidR="003D4E24" w:rsidRPr="009430FC" w:rsidRDefault="00CB2BF1" w:rsidP="000622EB">
      <w:pPr>
        <w:pStyle w:val="LEG1"/>
        <w:ind w:left="567" w:hanging="567"/>
      </w:pPr>
      <w:r w:rsidRPr="009430FC">
        <w:t>Tato smlouva představuje úplné ujednání smluvních stran. Ke změně této smlouvy může dojít pouze písemně. Není-li dodržena písemná forma dle tohoto ustanovení, je právní jednání neplatné. Smluvní strany nejsou vázány právním jednáním, u něhož nebyla dodržena smluvená písemná forma.</w:t>
      </w:r>
    </w:p>
    <w:p w14:paraId="0F0CD84D" w14:textId="77777777" w:rsidR="003D4E24" w:rsidRPr="009430FC" w:rsidRDefault="00CB2BF1" w:rsidP="000622EB">
      <w:pPr>
        <w:pStyle w:val="LEG1"/>
        <w:ind w:left="567" w:hanging="567"/>
      </w:pPr>
      <w:r w:rsidRPr="009430FC">
        <w:t>V případě neplatnosti či neúčinnosti jakéhokoli ustanovení této smlouvy, zůstávají ostatní ustanovení smlouvy platná a účinná. Smluvní strany se zavazují nahradit neplatné či neúčinné ustanovení smlouvy ustanovením platným a účinným, které svým obsahem a smyslem odpovídá nejlépe původně zamýšlenému účelu.</w:t>
      </w:r>
    </w:p>
    <w:p w14:paraId="0F0CD84E" w14:textId="77777777" w:rsidR="003D4E24" w:rsidRPr="009430FC" w:rsidRDefault="00CB2BF1" w:rsidP="000622EB">
      <w:pPr>
        <w:pStyle w:val="LEG1"/>
        <w:ind w:left="567" w:hanging="567"/>
      </w:pPr>
      <w:r w:rsidRPr="009430FC">
        <w:t>Smluvní strany prohlašují, že si smlouvu přečetly, s jejím obsahem, který je projevem jejich pravé a svobodné vůle, souhlasí a na důkaz toho, že není uzavírána za nápadně nevýhodných podmínek, ji stvrzují svými podpisy.</w:t>
      </w:r>
    </w:p>
    <w:p w14:paraId="0F0CD84F" w14:textId="77777777" w:rsidR="003D4E24" w:rsidRPr="009430FC" w:rsidRDefault="003D4E24">
      <w:pPr>
        <w:pStyle w:val="LEG1"/>
        <w:numPr>
          <w:ilvl w:val="0"/>
          <w:numId w:val="0"/>
        </w:numPr>
        <w:ind w:left="792"/>
      </w:pPr>
    </w:p>
    <w:p w14:paraId="0F0CD850" w14:textId="77777777" w:rsidR="003D4E24" w:rsidRPr="009430FC" w:rsidRDefault="003D4E24" w:rsidP="00C531D9">
      <w:pPr>
        <w:pStyle w:val="LEG1"/>
        <w:numPr>
          <w:ilvl w:val="0"/>
          <w:numId w:val="0"/>
        </w:numPr>
        <w:ind w:left="792"/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3D4E24" w:rsidRPr="009430FC" w14:paraId="0F0CD853" w14:textId="77777777">
        <w:tc>
          <w:tcPr>
            <w:tcW w:w="4672" w:type="dxa"/>
          </w:tcPr>
          <w:p w14:paraId="0F0CD851" w14:textId="77777777" w:rsidR="003D4E24" w:rsidRPr="009430FC" w:rsidRDefault="00CB2BF1">
            <w:pPr>
              <w:pStyle w:val="LEG1"/>
              <w:numPr>
                <w:ilvl w:val="0"/>
                <w:numId w:val="0"/>
              </w:numPr>
            </w:pPr>
            <w:r w:rsidRPr="009430FC">
              <w:t>V Praze dne ____________________</w:t>
            </w:r>
          </w:p>
        </w:tc>
        <w:tc>
          <w:tcPr>
            <w:tcW w:w="4673" w:type="dxa"/>
          </w:tcPr>
          <w:p w14:paraId="0F0CD852" w14:textId="77777777" w:rsidR="003D4E24" w:rsidRPr="009430FC" w:rsidRDefault="00CB2BF1">
            <w:pPr>
              <w:pStyle w:val="LEG1"/>
              <w:numPr>
                <w:ilvl w:val="0"/>
                <w:numId w:val="0"/>
              </w:numPr>
            </w:pPr>
            <w:r w:rsidRPr="009430FC">
              <w:t>V Praze dne ____________________</w:t>
            </w:r>
          </w:p>
        </w:tc>
      </w:tr>
      <w:tr w:rsidR="003D4E24" w:rsidRPr="009430FC" w14:paraId="0F0CD856" w14:textId="77777777">
        <w:tc>
          <w:tcPr>
            <w:tcW w:w="4672" w:type="dxa"/>
          </w:tcPr>
          <w:p w14:paraId="0F0CD854" w14:textId="15B2B317" w:rsidR="003D4E24" w:rsidRPr="009430FC" w:rsidRDefault="00CB2BF1">
            <w:pPr>
              <w:pStyle w:val="LEG1"/>
              <w:numPr>
                <w:ilvl w:val="0"/>
                <w:numId w:val="0"/>
              </w:numPr>
            </w:pPr>
            <w:r w:rsidRPr="009430FC">
              <w:rPr>
                <w:b/>
              </w:rPr>
              <w:t xml:space="preserve">B. Braun </w:t>
            </w:r>
            <w:proofErr w:type="spellStart"/>
            <w:r w:rsidRPr="009430FC">
              <w:rPr>
                <w:b/>
              </w:rPr>
              <w:t>Avitum</w:t>
            </w:r>
            <w:proofErr w:type="spellEnd"/>
            <w:r w:rsidRPr="009430FC">
              <w:rPr>
                <w:b/>
              </w:rPr>
              <w:t xml:space="preserve"> s.r.o.</w:t>
            </w:r>
          </w:p>
        </w:tc>
        <w:tc>
          <w:tcPr>
            <w:tcW w:w="4673" w:type="dxa"/>
          </w:tcPr>
          <w:p w14:paraId="0F0CD855" w14:textId="77777777" w:rsidR="003D4E24" w:rsidRPr="009430FC" w:rsidRDefault="00CB2BF1">
            <w:pPr>
              <w:pStyle w:val="LEG1"/>
              <w:numPr>
                <w:ilvl w:val="0"/>
                <w:numId w:val="0"/>
              </w:numPr>
            </w:pPr>
            <w:r w:rsidRPr="009430FC">
              <w:rPr>
                <w:b/>
              </w:rPr>
              <w:t>Všeobecná fakultní nemocnice v Praze</w:t>
            </w:r>
          </w:p>
        </w:tc>
      </w:tr>
      <w:tr w:rsidR="003D4E24" w:rsidRPr="009430FC" w14:paraId="0F0CD85B" w14:textId="77777777">
        <w:tc>
          <w:tcPr>
            <w:tcW w:w="4672" w:type="dxa"/>
          </w:tcPr>
          <w:p w14:paraId="0F0CD857" w14:textId="77777777" w:rsidR="003D4E24" w:rsidRPr="009430FC" w:rsidRDefault="003D4E24">
            <w:pPr>
              <w:pStyle w:val="LEG1"/>
              <w:numPr>
                <w:ilvl w:val="0"/>
                <w:numId w:val="0"/>
              </w:numPr>
            </w:pPr>
          </w:p>
          <w:p w14:paraId="0F0CD858" w14:textId="77777777" w:rsidR="003D4E24" w:rsidRPr="009430FC" w:rsidRDefault="003D4E24">
            <w:pPr>
              <w:pStyle w:val="LEG1"/>
              <w:numPr>
                <w:ilvl w:val="0"/>
                <w:numId w:val="0"/>
              </w:numPr>
            </w:pPr>
          </w:p>
        </w:tc>
        <w:tc>
          <w:tcPr>
            <w:tcW w:w="4673" w:type="dxa"/>
          </w:tcPr>
          <w:p w14:paraId="0F0CD859" w14:textId="77777777" w:rsidR="003D4E24" w:rsidRPr="009430FC" w:rsidRDefault="003D4E24">
            <w:pPr>
              <w:pStyle w:val="LEG1"/>
              <w:numPr>
                <w:ilvl w:val="0"/>
                <w:numId w:val="0"/>
              </w:numPr>
            </w:pPr>
          </w:p>
          <w:p w14:paraId="0F0CD85A" w14:textId="77777777" w:rsidR="003D4E24" w:rsidRPr="009430FC" w:rsidRDefault="003D4E24">
            <w:pPr>
              <w:pStyle w:val="LEG1"/>
              <w:numPr>
                <w:ilvl w:val="0"/>
                <w:numId w:val="0"/>
              </w:numPr>
            </w:pPr>
          </w:p>
        </w:tc>
      </w:tr>
      <w:tr w:rsidR="003D4E24" w14:paraId="0F0CD860" w14:textId="77777777">
        <w:tc>
          <w:tcPr>
            <w:tcW w:w="4672" w:type="dxa"/>
          </w:tcPr>
          <w:p w14:paraId="0F0CD85C" w14:textId="77777777" w:rsidR="003D4E24" w:rsidRPr="009430FC" w:rsidRDefault="00CB2BF1">
            <w:pPr>
              <w:pStyle w:val="LEG1"/>
              <w:numPr>
                <w:ilvl w:val="0"/>
                <w:numId w:val="0"/>
              </w:numPr>
            </w:pPr>
            <w:r w:rsidRPr="009430FC">
              <w:t>____________________________</w:t>
            </w:r>
          </w:p>
          <w:p w14:paraId="0F0CD85D" w14:textId="77777777" w:rsidR="003D4E24" w:rsidRPr="009430FC" w:rsidRDefault="00CB2BF1">
            <w:pPr>
              <w:pStyle w:val="LEG1"/>
              <w:numPr>
                <w:ilvl w:val="0"/>
                <w:numId w:val="0"/>
              </w:numPr>
            </w:pPr>
            <w:r w:rsidRPr="009430FC">
              <w:t xml:space="preserve">MUDr. Martin </w:t>
            </w:r>
            <w:proofErr w:type="spellStart"/>
            <w:r w:rsidRPr="009430FC">
              <w:t>Kuncek</w:t>
            </w:r>
            <w:proofErr w:type="spellEnd"/>
            <w:r w:rsidRPr="009430FC">
              <w:t>, jednatel</w:t>
            </w:r>
          </w:p>
        </w:tc>
        <w:tc>
          <w:tcPr>
            <w:tcW w:w="4673" w:type="dxa"/>
          </w:tcPr>
          <w:p w14:paraId="0F0CD85E" w14:textId="77777777" w:rsidR="003D4E24" w:rsidRPr="009430FC" w:rsidRDefault="00CB2BF1">
            <w:pPr>
              <w:pStyle w:val="LEG1"/>
              <w:numPr>
                <w:ilvl w:val="0"/>
                <w:numId w:val="0"/>
              </w:numPr>
            </w:pPr>
            <w:r w:rsidRPr="009430FC">
              <w:t>____________________________</w:t>
            </w:r>
          </w:p>
          <w:p w14:paraId="0F0CD85F" w14:textId="77777777" w:rsidR="003D4E24" w:rsidRDefault="00CB2BF1">
            <w:pPr>
              <w:pStyle w:val="LEG1"/>
              <w:numPr>
                <w:ilvl w:val="0"/>
                <w:numId w:val="0"/>
              </w:numPr>
            </w:pPr>
            <w:r w:rsidRPr="009430FC">
              <w:t>prof. MUDr. David Feltl, Ph.D., MBA, ředitel</w:t>
            </w:r>
          </w:p>
        </w:tc>
      </w:tr>
    </w:tbl>
    <w:p w14:paraId="0F0CD868" w14:textId="77777777" w:rsidR="003D4E24" w:rsidRDefault="003D4E24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</w:p>
    <w:p w14:paraId="0F0CD869" w14:textId="77777777" w:rsidR="003D4E24" w:rsidRDefault="003D4E24">
      <w:pPr>
        <w:widowControl w:val="0"/>
        <w:autoSpaceDE w:val="0"/>
        <w:autoSpaceDN w:val="0"/>
        <w:adjustRightInd w:val="0"/>
        <w:spacing w:after="0" w:line="240" w:lineRule="auto"/>
        <w:rPr>
          <w:rFonts w:ascii="RotisSerif" w:hAnsi="RotisSerif"/>
          <w:sz w:val="24"/>
          <w:szCs w:val="24"/>
        </w:rPr>
      </w:pPr>
    </w:p>
    <w:sectPr w:rsidR="003D4E24" w:rsidSect="00C531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04" w:right="1274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5FA2" w14:textId="77777777" w:rsidR="00DB278B" w:rsidRDefault="00DB278B">
      <w:pPr>
        <w:spacing w:after="0" w:line="240" w:lineRule="auto"/>
      </w:pPr>
      <w:r>
        <w:separator/>
      </w:r>
    </w:p>
  </w:endnote>
  <w:endnote w:type="continuationSeparator" w:id="0">
    <w:p w14:paraId="475AE6F8" w14:textId="77777777" w:rsidR="00DB278B" w:rsidRDefault="00DB278B">
      <w:pPr>
        <w:spacing w:after="0" w:line="240" w:lineRule="auto"/>
      </w:pPr>
      <w:r>
        <w:continuationSeparator/>
      </w:r>
    </w:p>
  </w:endnote>
  <w:endnote w:type="continuationNotice" w:id="1">
    <w:p w14:paraId="27DD0E43" w14:textId="77777777" w:rsidR="00DB278B" w:rsidRDefault="00DB2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tisSerif">
    <w:altName w:val="Cambria"/>
    <w:charset w:val="EE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79BA" w14:textId="77777777" w:rsidR="006A57E1" w:rsidRDefault="006A57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D870" w14:textId="77777777" w:rsidR="003D4E24" w:rsidRDefault="00CB2BF1">
    <w:pPr>
      <w:pStyle w:val="Zpat"/>
      <w:spacing w:after="0" w:line="240" w:lineRule="auto"/>
      <w:jc w:val="center"/>
      <w:rPr>
        <w:rFonts w:ascii="RotisSerif" w:hAnsi="RotisSerif"/>
      </w:rPr>
    </w:pPr>
    <w:r>
      <w:rPr>
        <w:rFonts w:ascii="RotisSerif" w:hAnsi="RotisSerif"/>
      </w:rPr>
      <w:fldChar w:fldCharType="begin"/>
    </w:r>
    <w:r>
      <w:rPr>
        <w:rFonts w:ascii="RotisSerif" w:hAnsi="RotisSerif"/>
      </w:rPr>
      <w:instrText xml:space="preserve"> PAGE   \* MERGEFORMAT </w:instrText>
    </w:r>
    <w:r>
      <w:rPr>
        <w:rFonts w:ascii="RotisSerif" w:hAnsi="RotisSerif"/>
      </w:rPr>
      <w:fldChar w:fldCharType="separate"/>
    </w:r>
    <w:r>
      <w:rPr>
        <w:rFonts w:ascii="RotisSerif" w:hAnsi="RotisSerif"/>
        <w:noProof/>
      </w:rPr>
      <w:t>4</w:t>
    </w:r>
    <w:r>
      <w:rPr>
        <w:rFonts w:ascii="RotisSerif" w:hAnsi="RotisSeri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862500"/>
      <w:docPartObj>
        <w:docPartGallery w:val="Page Numbers (Bottom of Page)"/>
        <w:docPartUnique/>
      </w:docPartObj>
    </w:sdtPr>
    <w:sdtEndPr>
      <w:rPr>
        <w:rFonts w:ascii="RotisSerif" w:hAnsi="RotisSerif"/>
        <w:sz w:val="24"/>
        <w:szCs w:val="24"/>
      </w:rPr>
    </w:sdtEndPr>
    <w:sdtContent>
      <w:p w14:paraId="0F0CD871" w14:textId="77777777" w:rsidR="003D4E24" w:rsidRPr="00C531D9" w:rsidRDefault="00CB2BF1">
        <w:pPr>
          <w:pStyle w:val="Zpat"/>
          <w:jc w:val="center"/>
          <w:rPr>
            <w:rFonts w:ascii="RotisSerif" w:hAnsi="RotisSerif"/>
            <w:sz w:val="24"/>
            <w:szCs w:val="24"/>
          </w:rPr>
        </w:pPr>
        <w:r w:rsidRPr="00C531D9">
          <w:rPr>
            <w:rFonts w:ascii="RotisSerif" w:hAnsi="RotisSerif"/>
            <w:sz w:val="24"/>
            <w:szCs w:val="24"/>
          </w:rPr>
          <w:fldChar w:fldCharType="begin"/>
        </w:r>
        <w:r w:rsidRPr="00C531D9">
          <w:rPr>
            <w:rFonts w:ascii="RotisSerif" w:hAnsi="RotisSerif"/>
            <w:sz w:val="24"/>
            <w:szCs w:val="24"/>
          </w:rPr>
          <w:instrText>PAGE   \* MERGEFORMAT</w:instrText>
        </w:r>
        <w:r w:rsidRPr="00C531D9">
          <w:rPr>
            <w:rFonts w:ascii="RotisSerif" w:hAnsi="RotisSerif"/>
            <w:sz w:val="24"/>
            <w:szCs w:val="24"/>
          </w:rPr>
          <w:fldChar w:fldCharType="separate"/>
        </w:r>
        <w:r w:rsidRPr="00C531D9">
          <w:rPr>
            <w:rFonts w:ascii="RotisSerif" w:hAnsi="RotisSerif"/>
            <w:sz w:val="24"/>
            <w:szCs w:val="24"/>
          </w:rPr>
          <w:t>2</w:t>
        </w:r>
        <w:r w:rsidRPr="00C531D9">
          <w:rPr>
            <w:rFonts w:ascii="RotisSerif" w:hAnsi="RotisSerif"/>
            <w:sz w:val="24"/>
            <w:szCs w:val="24"/>
          </w:rPr>
          <w:fldChar w:fldCharType="end"/>
        </w:r>
      </w:p>
    </w:sdtContent>
  </w:sdt>
  <w:p w14:paraId="0F0CD872" w14:textId="77777777" w:rsidR="003D4E24" w:rsidRDefault="003D4E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29E3" w14:textId="77777777" w:rsidR="00DB278B" w:rsidRDefault="00DB278B">
      <w:pPr>
        <w:spacing w:after="0" w:line="240" w:lineRule="auto"/>
      </w:pPr>
      <w:r>
        <w:separator/>
      </w:r>
    </w:p>
  </w:footnote>
  <w:footnote w:type="continuationSeparator" w:id="0">
    <w:p w14:paraId="58F0416B" w14:textId="77777777" w:rsidR="00DB278B" w:rsidRDefault="00DB278B">
      <w:pPr>
        <w:spacing w:after="0" w:line="240" w:lineRule="auto"/>
      </w:pPr>
      <w:r>
        <w:continuationSeparator/>
      </w:r>
    </w:p>
  </w:footnote>
  <w:footnote w:type="continuationNotice" w:id="1">
    <w:p w14:paraId="721FD74B" w14:textId="77777777" w:rsidR="00DB278B" w:rsidRDefault="00DB27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DEF0" w14:textId="77777777" w:rsidR="006A57E1" w:rsidRDefault="006A5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F5EC" w14:textId="77777777" w:rsidR="006A57E1" w:rsidRDefault="006A5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4541" w14:textId="77777777" w:rsidR="006A57E1" w:rsidRDefault="006A5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4809456A"/>
    <w:multiLevelType w:val="multilevel"/>
    <w:tmpl w:val="B394C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413042"/>
    <w:multiLevelType w:val="multilevel"/>
    <w:tmpl w:val="B9D0E1F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  <w:b w:val="0"/>
        <w:bCs w:val="0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E2A6F89"/>
    <w:multiLevelType w:val="hybridMultilevel"/>
    <w:tmpl w:val="3E128FB2"/>
    <w:lvl w:ilvl="0" w:tplc="CDF00D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F5F49"/>
    <w:multiLevelType w:val="hybridMultilevel"/>
    <w:tmpl w:val="D2940E76"/>
    <w:lvl w:ilvl="0" w:tplc="2146E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6233">
    <w:abstractNumId w:val="2"/>
  </w:num>
  <w:num w:numId="2" w16cid:durableId="1460496647">
    <w:abstractNumId w:val="2"/>
  </w:num>
  <w:num w:numId="3" w16cid:durableId="1240290337">
    <w:abstractNumId w:val="2"/>
  </w:num>
  <w:num w:numId="4" w16cid:durableId="693654277">
    <w:abstractNumId w:val="2"/>
  </w:num>
  <w:num w:numId="5" w16cid:durableId="1165361883">
    <w:abstractNumId w:val="4"/>
  </w:num>
  <w:num w:numId="6" w16cid:durableId="1677729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083628">
    <w:abstractNumId w:val="0"/>
  </w:num>
  <w:num w:numId="8" w16cid:durableId="1383020053">
    <w:abstractNumId w:val="1"/>
  </w:num>
  <w:num w:numId="9" w16cid:durableId="1722053831">
    <w:abstractNumId w:val="2"/>
  </w:num>
  <w:num w:numId="10" w16cid:durableId="921253425">
    <w:abstractNumId w:val="2"/>
  </w:num>
  <w:num w:numId="11" w16cid:durableId="1410349935">
    <w:abstractNumId w:val="2"/>
  </w:num>
  <w:num w:numId="12" w16cid:durableId="1266422545">
    <w:abstractNumId w:val="2"/>
  </w:num>
  <w:num w:numId="13" w16cid:durableId="2119443727">
    <w:abstractNumId w:val="2"/>
  </w:num>
  <w:num w:numId="14" w16cid:durableId="1624337530">
    <w:abstractNumId w:val="2"/>
  </w:num>
  <w:num w:numId="15" w16cid:durableId="268511973">
    <w:abstractNumId w:val="2"/>
  </w:num>
  <w:num w:numId="16" w16cid:durableId="244074526">
    <w:abstractNumId w:val="2"/>
  </w:num>
  <w:num w:numId="17" w16cid:durableId="1542085968">
    <w:abstractNumId w:val="2"/>
  </w:num>
  <w:num w:numId="18" w16cid:durableId="2069961999">
    <w:abstractNumId w:val="2"/>
  </w:num>
  <w:num w:numId="19" w16cid:durableId="1608537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24"/>
    <w:rsid w:val="00020122"/>
    <w:rsid w:val="00061FBD"/>
    <w:rsid w:val="000622EB"/>
    <w:rsid w:val="00090D7F"/>
    <w:rsid w:val="00312EE6"/>
    <w:rsid w:val="003D4E24"/>
    <w:rsid w:val="004D2516"/>
    <w:rsid w:val="004E4628"/>
    <w:rsid w:val="00545300"/>
    <w:rsid w:val="00692AB6"/>
    <w:rsid w:val="006A57E1"/>
    <w:rsid w:val="007F0530"/>
    <w:rsid w:val="007F3F7C"/>
    <w:rsid w:val="00823246"/>
    <w:rsid w:val="008337CA"/>
    <w:rsid w:val="00857270"/>
    <w:rsid w:val="009430FC"/>
    <w:rsid w:val="00A52068"/>
    <w:rsid w:val="00A86E6C"/>
    <w:rsid w:val="00A87DFC"/>
    <w:rsid w:val="00C531D9"/>
    <w:rsid w:val="00CB2BF1"/>
    <w:rsid w:val="00D74599"/>
    <w:rsid w:val="00DB278B"/>
    <w:rsid w:val="00E975F1"/>
    <w:rsid w:val="00E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D7FA"/>
  <w15:docId w15:val="{A2F8765D-FBF4-442B-ABF9-9F810E53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customStyle="1" w:styleId="NzevLEG">
    <w:name w:val="Název LEG"/>
    <w:basedOn w:val="Normln"/>
    <w:link w:val="NzevLEGChar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tisSerif" w:hAnsi="RotisSerif" w:cs="Arial"/>
      <w:b/>
      <w:bCs/>
      <w:sz w:val="32"/>
      <w:szCs w:val="24"/>
    </w:rPr>
  </w:style>
  <w:style w:type="paragraph" w:customStyle="1" w:styleId="NadpisLEG">
    <w:name w:val="Nadpis LEG"/>
    <w:basedOn w:val="Nadpis1"/>
    <w:link w:val="NadpisLEGChar"/>
    <w:qFormat/>
    <w:pPr>
      <w:widowControl w:val="0"/>
      <w:numPr>
        <w:numId w:val="1"/>
      </w:numPr>
      <w:autoSpaceDE w:val="0"/>
      <w:autoSpaceDN w:val="0"/>
      <w:adjustRightInd w:val="0"/>
      <w:spacing w:before="360" w:after="180" w:line="240" w:lineRule="auto"/>
      <w:jc w:val="center"/>
    </w:pPr>
    <w:rPr>
      <w:rFonts w:ascii="RotisSerif" w:eastAsia="Times New Roman" w:hAnsi="RotisSerif" w:cs="Arial"/>
      <w:bCs w:val="0"/>
      <w:sz w:val="24"/>
      <w:szCs w:val="24"/>
    </w:rPr>
  </w:style>
  <w:style w:type="character" w:customStyle="1" w:styleId="NzevLEGChar">
    <w:name w:val="Název LEG Char"/>
    <w:basedOn w:val="Standardnpsmoodstavce"/>
    <w:link w:val="NzevLEG"/>
    <w:rPr>
      <w:rFonts w:ascii="RotisSerif" w:eastAsia="Times New Roman" w:hAnsi="RotisSerif" w:cs="Arial"/>
      <w:b/>
      <w:bCs/>
      <w:sz w:val="32"/>
      <w:szCs w:val="24"/>
      <w:lang w:eastAsia="cs-CZ"/>
    </w:rPr>
  </w:style>
  <w:style w:type="paragraph" w:customStyle="1" w:styleId="LEG1">
    <w:name w:val="LEG 1"/>
    <w:basedOn w:val="Normln"/>
    <w:link w:val="LEG1Char"/>
    <w:qFormat/>
    <w:pPr>
      <w:widowControl w:val="0"/>
      <w:numPr>
        <w:ilvl w:val="1"/>
        <w:numId w:val="1"/>
      </w:numPr>
      <w:autoSpaceDE w:val="0"/>
      <w:autoSpaceDN w:val="0"/>
      <w:adjustRightInd w:val="0"/>
      <w:spacing w:after="180" w:line="240" w:lineRule="auto"/>
      <w:jc w:val="both"/>
    </w:pPr>
    <w:rPr>
      <w:rFonts w:ascii="RotisSerif" w:hAnsi="RotisSerif" w:cs="Arial"/>
      <w:bCs/>
      <w:sz w:val="24"/>
      <w:szCs w:val="24"/>
    </w:rPr>
  </w:style>
  <w:style w:type="character" w:customStyle="1" w:styleId="NadpisLEGChar">
    <w:name w:val="Nadpis LEG Char"/>
    <w:basedOn w:val="Nadpis1Char"/>
    <w:link w:val="NadpisLEG"/>
    <w:rPr>
      <w:rFonts w:ascii="RotisSerif" w:eastAsia="Times New Roman" w:hAnsi="RotisSerif" w:cs="Arial"/>
      <w:b/>
      <w:bCs/>
      <w:kern w:val="32"/>
      <w:sz w:val="24"/>
      <w:szCs w:val="24"/>
      <w:lang w:eastAsia="cs-CZ"/>
    </w:rPr>
  </w:style>
  <w:style w:type="paragraph" w:customStyle="1" w:styleId="LEG2">
    <w:name w:val="LEG 2"/>
    <w:basedOn w:val="Normln"/>
    <w:qFormat/>
    <w:pPr>
      <w:widowControl w:val="0"/>
      <w:numPr>
        <w:ilvl w:val="2"/>
        <w:numId w:val="1"/>
      </w:numPr>
      <w:autoSpaceDE w:val="0"/>
      <w:autoSpaceDN w:val="0"/>
      <w:adjustRightInd w:val="0"/>
      <w:spacing w:after="180" w:line="240" w:lineRule="auto"/>
      <w:jc w:val="both"/>
    </w:pPr>
    <w:rPr>
      <w:rFonts w:ascii="RotisSerif" w:hAnsi="RotisSerif" w:cs="Arial"/>
      <w:sz w:val="24"/>
      <w:szCs w:val="24"/>
    </w:rPr>
  </w:style>
  <w:style w:type="character" w:customStyle="1" w:styleId="LEG1Char">
    <w:name w:val="LEG 1 Char"/>
    <w:basedOn w:val="Standardnpsmoodstavce"/>
    <w:link w:val="LEG1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LEG3">
    <w:name w:val="LEG 3"/>
    <w:basedOn w:val="Normln"/>
    <w:qFormat/>
    <w:pPr>
      <w:widowControl w:val="0"/>
      <w:numPr>
        <w:ilvl w:val="3"/>
        <w:numId w:val="1"/>
      </w:numPr>
      <w:tabs>
        <w:tab w:val="left" w:pos="2268"/>
      </w:tabs>
      <w:autoSpaceDE w:val="0"/>
      <w:autoSpaceDN w:val="0"/>
      <w:adjustRightInd w:val="0"/>
      <w:spacing w:after="180" w:line="240" w:lineRule="auto"/>
      <w:jc w:val="both"/>
    </w:pPr>
    <w:rPr>
      <w:rFonts w:ascii="RotisSerif" w:hAnsi="RotisSerif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UAPtextstandard">
    <w:name w:val="IQUAP_text_standard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val="sk-SK"/>
    </w:rPr>
  </w:style>
  <w:style w:type="paragraph" w:customStyle="1" w:styleId="BMH50">
    <w:name w:val="BM_H50"/>
    <w:basedOn w:val="Normln"/>
    <w:pPr>
      <w:numPr>
        <w:ilvl w:val="4"/>
        <w:numId w:val="7"/>
      </w:numPr>
      <w:spacing w:after="260" w:line="240" w:lineRule="auto"/>
    </w:pPr>
    <w:rPr>
      <w:rFonts w:ascii="Times New Roman" w:hAnsi="Times New Roman"/>
      <w:lang w:val="en-US" w:eastAsia="en-US"/>
    </w:rPr>
  </w:style>
  <w:style w:type="paragraph" w:customStyle="1" w:styleId="BMH60">
    <w:name w:val="BM_H60"/>
    <w:basedOn w:val="Normln"/>
    <w:pPr>
      <w:numPr>
        <w:ilvl w:val="5"/>
        <w:numId w:val="7"/>
      </w:numPr>
      <w:spacing w:after="260" w:line="240" w:lineRule="auto"/>
    </w:pPr>
    <w:rPr>
      <w:rFonts w:ascii="Times New Roman" w:hAnsi="Times New Roman"/>
      <w:lang w:val="en-US" w:eastAsia="en-US"/>
    </w:rPr>
  </w:style>
  <w:style w:type="paragraph" w:customStyle="1" w:styleId="BMH1">
    <w:name w:val="BM_H1"/>
    <w:basedOn w:val="Normln"/>
    <w:next w:val="Normln"/>
    <w:pPr>
      <w:keepNext/>
      <w:numPr>
        <w:numId w:val="7"/>
      </w:numPr>
      <w:spacing w:after="260" w:line="240" w:lineRule="auto"/>
      <w:outlineLvl w:val="0"/>
    </w:pPr>
    <w:rPr>
      <w:rFonts w:ascii="Times New Roman" w:hAnsi="Times New Roman" w:cs="Arial"/>
      <w:b/>
      <w:bCs/>
      <w:caps/>
      <w:kern w:val="32"/>
      <w:lang w:val="en-US" w:eastAsia="en-US"/>
    </w:rPr>
  </w:style>
  <w:style w:type="paragraph" w:customStyle="1" w:styleId="BMH2">
    <w:name w:val="BM_H2"/>
    <w:basedOn w:val="Normln"/>
    <w:next w:val="Normln"/>
    <w:pPr>
      <w:keepNext/>
      <w:numPr>
        <w:ilvl w:val="1"/>
        <w:numId w:val="7"/>
      </w:numPr>
      <w:spacing w:after="260" w:line="240" w:lineRule="auto"/>
      <w:outlineLvl w:val="1"/>
    </w:pPr>
    <w:rPr>
      <w:rFonts w:ascii="Times New Roman" w:hAnsi="Times New Roman"/>
      <w:b/>
      <w:lang w:val="en-US" w:eastAsia="en-US"/>
    </w:rPr>
  </w:style>
  <w:style w:type="paragraph" w:customStyle="1" w:styleId="BMH3">
    <w:name w:val="BM_H3"/>
    <w:basedOn w:val="Normln"/>
    <w:next w:val="Normln"/>
    <w:pPr>
      <w:keepNext/>
      <w:numPr>
        <w:ilvl w:val="2"/>
        <w:numId w:val="7"/>
      </w:numPr>
      <w:spacing w:after="260" w:line="240" w:lineRule="auto"/>
      <w:outlineLvl w:val="2"/>
    </w:pPr>
    <w:rPr>
      <w:rFonts w:ascii="Times New Roman" w:hAnsi="Times New Roman"/>
      <w:b/>
      <w:lang w:val="en-US" w:eastAsia="en-US"/>
    </w:rPr>
  </w:style>
  <w:style w:type="paragraph" w:customStyle="1" w:styleId="BMH4">
    <w:name w:val="BM_H4"/>
    <w:basedOn w:val="Normln"/>
    <w:next w:val="Normln"/>
    <w:pPr>
      <w:keepNext/>
      <w:numPr>
        <w:ilvl w:val="3"/>
        <w:numId w:val="7"/>
      </w:numPr>
      <w:spacing w:after="260" w:line="240" w:lineRule="auto"/>
      <w:outlineLvl w:val="3"/>
    </w:pPr>
    <w:rPr>
      <w:rFonts w:ascii="Times New Roman" w:hAnsi="Times New Roman"/>
      <w:b/>
      <w:lang w:val="en-US"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2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96CD1B01BE4248892DB372C425A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5586F-E434-4B32-B5E3-C7748E320521}"/>
      </w:docPartPr>
      <w:docPartBody>
        <w:p w:rsidR="006A05BE" w:rsidRDefault="006A05BE">
          <w:pPr>
            <w:pStyle w:val="4196CD1B01BE4248892DB372C425A9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tisSerif">
    <w:altName w:val="Cambria"/>
    <w:charset w:val="EE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BE"/>
    <w:rsid w:val="006A05BE"/>
    <w:rsid w:val="00C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196CD1B01BE4248892DB372C425A912">
    <w:name w:val="4196CD1B01BE4248892DB372C425A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201</RequestID>
    <PocetZnRetezec xmlns="acca34e4-9ecd-41c8-99eb-d6aa654aaa55">3</PocetZnRetezec>
    <Block_WF xmlns="acca34e4-9ecd-41c8-99eb-d6aa654aaa55">0</Block_WF>
    <ZkracenyRetezec xmlns="acca34e4-9ecd-41c8-99eb-d6aa654aaa55">201-143/143-2023%20RS.docx</ZkracenyRetezec>
    <Smazat xmlns="acca34e4-9ecd-41c8-99eb-d6aa654aaa55">&lt;a href="/sites/evidencesmluv/_layouts/15/IniWrkflIP.aspx?List=%7bCE30C7C5-C907-4538-821C-CE5B191189D5%7d&amp;amp;ID=2017&amp;amp;ItemGuid=%7bA92FB5F7-A77A-479B-86C9-1667583973CB%7d&amp;amp;TemplateID=%7bd3f8102e-f4a5-4901-b93c-fb146a9d820d%7d"&gt;&lt;img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DA3312FC-EE36-4B85-81E7-90F79B491D15}"/>
</file>

<file path=customXml/itemProps2.xml><?xml version="1.0" encoding="utf-8"?>
<ds:datastoreItem xmlns:ds="http://schemas.openxmlformats.org/officeDocument/2006/customXml" ds:itemID="{B1E964BC-0FD0-4E97-A601-A9BA2BB31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EF14F-B488-4800-8650-6C56C5DA9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7F451E-3A99-46D8-9DE7-EC69D353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481AFA-5EF4-45B7-9847-88BEC4BC0FD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9180ec9-f266-4235-bfb6-a326cc7ac1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Schejbalová Jana, Mgr.</dc:creator>
  <cp:lastModifiedBy>Schejbalová Jana, Mgr.</cp:lastModifiedBy>
  <cp:revision>2</cp:revision>
  <cp:lastPrinted>2023-07-12T12:51:00Z</cp:lastPrinted>
  <dcterms:created xsi:type="dcterms:W3CDTF">2023-07-12T12:56:00Z</dcterms:created>
  <dcterms:modified xsi:type="dcterms:W3CDTF">2023-07-12T12:56:00Z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2023-04-03T11:39:37Z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64433fe6-3343-497e-b51a-4a26520a1412</vt:lpwstr>
  </property>
  <property fmtid="{D5CDD505-2E9C-101B-9397-08002B2CF9AE}" pid="8" name="MSIP_Label_2063cd7f-2d21-486a-9f29-9c1683fdd175_ContentBits">
    <vt:lpwstr>0</vt:lpwstr>
  </property>
  <property fmtid="{D5CDD505-2E9C-101B-9397-08002B2CF9AE}" pid="9" name="MSIP_Label_a8de25a8-ef47-40a7-b7ec-c38f3edc2acf_Enabled">
    <vt:lpwstr>true</vt:lpwstr>
  </property>
  <property fmtid="{D5CDD505-2E9C-101B-9397-08002B2CF9AE}" pid="10" name="MSIP_Label_a8de25a8-ef47-40a7-b7ec-c38f3edc2acf_SetDate">
    <vt:lpwstr>2023-04-24T12:27:04Z</vt:lpwstr>
  </property>
  <property fmtid="{D5CDD505-2E9C-101B-9397-08002B2CF9AE}" pid="11" name="MSIP_Label_a8de25a8-ef47-40a7-b7ec-c38f3edc2acf_Method">
    <vt:lpwstr>Standard</vt:lpwstr>
  </property>
  <property fmtid="{D5CDD505-2E9C-101B-9397-08002B2CF9AE}" pid="12" name="MSIP_Label_a8de25a8-ef47-40a7-b7ec-c38f3edc2acf_Name">
    <vt:lpwstr>a8de25a8-ef47-40a7-b7ec-c38f3edc2acf</vt:lpwstr>
  </property>
  <property fmtid="{D5CDD505-2E9C-101B-9397-08002B2CF9AE}" pid="13" name="MSIP_Label_a8de25a8-ef47-40a7-b7ec-c38f3edc2acf_SiteId">
    <vt:lpwstr>15d1bef2-0a6a-46f9-be4c-023279325e51</vt:lpwstr>
  </property>
  <property fmtid="{D5CDD505-2E9C-101B-9397-08002B2CF9AE}" pid="14" name="MSIP_Label_a8de25a8-ef47-40a7-b7ec-c38f3edc2acf_ActionId">
    <vt:lpwstr>a46d4e44-786c-443a-b349-efc6407b2069</vt:lpwstr>
  </property>
  <property fmtid="{D5CDD505-2E9C-101B-9397-08002B2CF9AE}" pid="15" name="MSIP_Label_a8de25a8-ef47-40a7-b7ec-c38f3edc2acf_ContentBits">
    <vt:lpwstr>0</vt:lpwstr>
  </property>
  <property fmtid="{D5CDD505-2E9C-101B-9397-08002B2CF9AE}" pid="16" name="ContentTypeId">
    <vt:lpwstr>0x010100EFF427952D4E634383E9B8E9D938055A004949B7518D5D0A45B6686D747269DA7C</vt:lpwstr>
  </property>
  <property fmtid="{D5CDD505-2E9C-101B-9397-08002B2CF9AE}" pid="17" name="_dlc_DocIdItemGuid">
    <vt:lpwstr>e202938c-c221-4b89-b27d-156e69141535</vt:lpwstr>
  </property>
  <property fmtid="{D5CDD505-2E9C-101B-9397-08002B2CF9AE}" pid="18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