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6AF" w:rsidRDefault="0048264D">
      <w:pPr>
        <w:pStyle w:val="Nadpis30"/>
        <w:keepNext/>
        <w:keepLines/>
        <w:shd w:val="clear" w:color="auto" w:fill="auto"/>
        <w:spacing w:after="0" w:line="240" w:lineRule="auto"/>
        <w:ind w:left="0"/>
        <w:jc w:val="center"/>
      </w:pPr>
      <w:bookmarkStart w:id="0" w:name="bookmark0"/>
      <w:proofErr w:type="spellStart"/>
      <w:r>
        <w:t>Veolia</w:t>
      </w:r>
      <w:proofErr w:type="spellEnd"/>
      <w:r>
        <w:t xml:space="preserve"> Energie ČR, a.s., 28. října 3337/7, Moravská Ostrava, 702 00 Ostrava</w:t>
      </w:r>
      <w:bookmarkEnd w:id="0"/>
    </w:p>
    <w:p w:rsidR="00ED56AF" w:rsidRDefault="0048264D">
      <w:pPr>
        <w:pStyle w:val="Nadpis30"/>
        <w:keepNext/>
        <w:keepLines/>
        <w:pBdr>
          <w:bottom w:val="single" w:sz="4" w:space="0" w:color="auto"/>
        </w:pBdr>
        <w:shd w:val="clear" w:color="auto" w:fill="auto"/>
        <w:tabs>
          <w:tab w:val="left" w:leader="underscore" w:pos="9138"/>
        </w:tabs>
        <w:spacing w:after="0" w:line="240" w:lineRule="auto"/>
        <w:ind w:left="1420"/>
      </w:pPr>
      <w:bookmarkStart w:id="1" w:name="bookmark1"/>
      <w:r>
        <w:rPr>
          <w:u w:val="single"/>
        </w:rPr>
        <w:t xml:space="preserve">Region Morava, Elektrárenská 5562/17, 709 74 </w:t>
      </w:r>
      <w:proofErr w:type="gramStart"/>
      <w:r>
        <w:rPr>
          <w:u w:val="single"/>
        </w:rPr>
        <w:t>Ostrava - Třebovice</w:t>
      </w:r>
      <w:proofErr w:type="gramEnd"/>
      <w:r>
        <w:tab/>
      </w:r>
      <w:bookmarkEnd w:id="1"/>
    </w:p>
    <w:p w:rsidR="00ED56AF" w:rsidRDefault="0048264D">
      <w:pPr>
        <w:pStyle w:val="Zkladntext20"/>
        <w:shd w:val="clear" w:color="auto" w:fill="auto"/>
        <w:spacing w:after="0" w:line="276" w:lineRule="auto"/>
      </w:pPr>
      <w:r>
        <w:t xml:space="preserve">Číslo smlouvy: </w:t>
      </w:r>
      <w:r>
        <w:rPr>
          <w:b/>
          <w:bCs/>
        </w:rPr>
        <w:t>37870</w:t>
      </w:r>
    </w:p>
    <w:p w:rsidR="00ED56AF" w:rsidRDefault="0048264D">
      <w:pPr>
        <w:pStyle w:val="Nadpis10"/>
        <w:keepNext/>
        <w:keepLines/>
        <w:shd w:val="clear" w:color="auto" w:fill="auto"/>
      </w:pPr>
      <w:bookmarkStart w:id="2" w:name="bookmark2"/>
      <w:r>
        <w:t>PŘIHLÁŠKA K ODBĚRU TEPLA</w:t>
      </w:r>
      <w:bookmarkEnd w:id="2"/>
    </w:p>
    <w:p w:rsidR="006E4B99" w:rsidRDefault="0048264D">
      <w:pPr>
        <w:pStyle w:val="Nadpis20"/>
        <w:keepNext/>
        <w:keepLines/>
        <w:pBdr>
          <w:bottom w:val="single" w:sz="4" w:space="0" w:color="auto"/>
        </w:pBdr>
        <w:shd w:val="clear" w:color="auto" w:fill="auto"/>
        <w:rPr>
          <w:b/>
          <w:bCs/>
          <w:sz w:val="22"/>
          <w:szCs w:val="22"/>
        </w:rPr>
      </w:pPr>
      <w:bookmarkStart w:id="3" w:name="bookmark3"/>
      <w:r>
        <w:t xml:space="preserve">pro odběrné místo s ÚT: </w:t>
      </w:r>
      <w:r>
        <w:rPr>
          <w:b/>
          <w:bCs/>
          <w:sz w:val="22"/>
          <w:szCs w:val="22"/>
        </w:rPr>
        <w:t xml:space="preserve">C521-305/001 </w:t>
      </w:r>
    </w:p>
    <w:p w:rsidR="006E4B99" w:rsidRDefault="0048264D">
      <w:pPr>
        <w:pStyle w:val="Nadpis20"/>
        <w:keepNext/>
        <w:keepLines/>
        <w:pBdr>
          <w:bottom w:val="single" w:sz="4" w:space="0" w:color="auto"/>
        </w:pBdr>
        <w:shd w:val="clear" w:color="auto" w:fill="auto"/>
        <w:rPr>
          <w:b/>
          <w:bCs/>
          <w:sz w:val="22"/>
          <w:szCs w:val="22"/>
        </w:rPr>
      </w:pPr>
      <w:r>
        <w:t xml:space="preserve">pro odběrné místo s </w:t>
      </w:r>
      <w:r w:rsidRPr="006E4B99">
        <w:rPr>
          <w:lang w:eastAsia="en-US" w:bidi="en-US"/>
        </w:rPr>
        <w:t xml:space="preserve">TV: </w:t>
      </w:r>
      <w:r>
        <w:rPr>
          <w:b/>
          <w:bCs/>
          <w:sz w:val="22"/>
          <w:szCs w:val="22"/>
        </w:rPr>
        <w:t xml:space="preserve">C521-305/501 </w:t>
      </w:r>
    </w:p>
    <w:p w:rsidR="00ED56AF" w:rsidRDefault="0048264D">
      <w:pPr>
        <w:pStyle w:val="Nadpis20"/>
        <w:keepNext/>
        <w:keepLines/>
        <w:pBdr>
          <w:bottom w:val="single" w:sz="4" w:space="0" w:color="auto"/>
        </w:pBdr>
        <w:shd w:val="clear" w:color="auto" w:fill="auto"/>
        <w:rPr>
          <w:sz w:val="22"/>
          <w:szCs w:val="22"/>
        </w:rPr>
      </w:pPr>
      <w:r>
        <w:t xml:space="preserve">pro odběrné místo s VZT: </w:t>
      </w:r>
      <w:r>
        <w:rPr>
          <w:b/>
          <w:bCs/>
          <w:sz w:val="22"/>
          <w:szCs w:val="22"/>
        </w:rPr>
        <w:t>C521-305/002</w:t>
      </w:r>
      <w:bookmarkEnd w:id="3"/>
    </w:p>
    <w:p w:rsidR="00ED56AF" w:rsidRDefault="0048264D">
      <w:pPr>
        <w:pStyle w:val="Nadpis30"/>
        <w:keepNext/>
        <w:keepLines/>
        <w:shd w:val="clear" w:color="auto" w:fill="auto"/>
        <w:tabs>
          <w:tab w:val="left" w:pos="1476"/>
        </w:tabs>
        <w:spacing w:after="0" w:line="271" w:lineRule="auto"/>
        <w:ind w:left="0"/>
      </w:pPr>
      <w:bookmarkStart w:id="4" w:name="bookmark4"/>
      <w:r>
        <w:rPr>
          <w:b w:val="0"/>
          <w:bCs w:val="0"/>
        </w:rPr>
        <w:t>Název OM:</w:t>
      </w:r>
      <w:r>
        <w:rPr>
          <w:b w:val="0"/>
          <w:bCs w:val="0"/>
        </w:rPr>
        <w:tab/>
      </w:r>
      <w:r>
        <w:t xml:space="preserve">C521-305/001 .... PFN-G </w:t>
      </w:r>
      <w:proofErr w:type="gramStart"/>
      <w:r>
        <w:t>infekční - ÚT</w:t>
      </w:r>
      <w:proofErr w:type="gramEnd"/>
      <w:r>
        <w:t>, Hněvotínská 7</w:t>
      </w:r>
      <w:bookmarkEnd w:id="4"/>
    </w:p>
    <w:p w:rsidR="006E4B99" w:rsidRDefault="0048264D">
      <w:pPr>
        <w:pStyle w:val="Nadpis30"/>
        <w:keepNext/>
        <w:keepLines/>
        <w:shd w:val="clear" w:color="auto" w:fill="auto"/>
        <w:spacing w:after="220" w:line="271" w:lineRule="auto"/>
        <w:ind w:left="1560" w:right="1860" w:firstLine="20"/>
        <w:jc w:val="left"/>
      </w:pPr>
      <w:bookmarkStart w:id="5" w:name="bookmark5"/>
      <w:r>
        <w:t xml:space="preserve">C521-305/501 .... PFN-G </w:t>
      </w:r>
      <w:proofErr w:type="gramStart"/>
      <w:r>
        <w:t>infekční - TV</w:t>
      </w:r>
      <w:proofErr w:type="gramEnd"/>
      <w:r>
        <w:t xml:space="preserve">, Hněvotínská 7 </w:t>
      </w:r>
    </w:p>
    <w:p w:rsidR="00ED56AF" w:rsidRDefault="0048264D">
      <w:pPr>
        <w:pStyle w:val="Nadpis30"/>
        <w:keepNext/>
        <w:keepLines/>
        <w:shd w:val="clear" w:color="auto" w:fill="auto"/>
        <w:spacing w:after="220" w:line="271" w:lineRule="auto"/>
        <w:ind w:left="1560" w:right="1860" w:firstLine="20"/>
        <w:jc w:val="left"/>
        <w:rPr>
          <w:sz w:val="24"/>
          <w:szCs w:val="24"/>
        </w:rPr>
      </w:pPr>
      <w:r>
        <w:t xml:space="preserve">C521-305/002 .... </w:t>
      </w:r>
      <w:r>
        <w:rPr>
          <w:sz w:val="24"/>
          <w:szCs w:val="24"/>
        </w:rPr>
        <w:t xml:space="preserve">PFN-G </w:t>
      </w:r>
      <w:proofErr w:type="gramStart"/>
      <w:r>
        <w:rPr>
          <w:sz w:val="24"/>
          <w:szCs w:val="24"/>
        </w:rPr>
        <w:t>infekční - VZT</w:t>
      </w:r>
      <w:proofErr w:type="gramEnd"/>
      <w:r>
        <w:rPr>
          <w:sz w:val="24"/>
          <w:szCs w:val="24"/>
        </w:rPr>
        <w:t>, Hněvotínská 7</w:t>
      </w:r>
      <w:bookmarkEnd w:id="5"/>
    </w:p>
    <w:p w:rsidR="00ED56AF" w:rsidRDefault="0048264D">
      <w:pPr>
        <w:pStyle w:val="Zkladntext20"/>
        <w:shd w:val="clear" w:color="auto" w:fill="auto"/>
        <w:spacing w:after="260" w:line="271" w:lineRule="auto"/>
        <w:jc w:val="both"/>
      </w:pPr>
      <w:r>
        <w:t xml:space="preserve">Odběrné místo: </w:t>
      </w:r>
      <w:r>
        <w:rPr>
          <w:b/>
          <w:bCs/>
        </w:rPr>
        <w:t>sekundární</w:t>
      </w:r>
    </w:p>
    <w:p w:rsidR="00ED56AF" w:rsidRDefault="0048264D">
      <w:pPr>
        <w:pStyle w:val="Nadpis30"/>
        <w:keepNext/>
        <w:keepLines/>
        <w:pBdr>
          <w:top w:val="single" w:sz="4" w:space="0" w:color="auto"/>
        </w:pBdr>
        <w:shd w:val="clear" w:color="auto" w:fill="auto"/>
        <w:spacing w:after="240" w:line="240" w:lineRule="auto"/>
        <w:ind w:left="0"/>
      </w:pPr>
      <w:bookmarkStart w:id="6" w:name="bookmark6"/>
      <w:r>
        <w:t>Rozdělení</w:t>
      </w:r>
      <w:r>
        <w:t xml:space="preserve"> instalovaného výkonu plynové kotelny (MW):</w:t>
      </w:r>
      <w:bookmarkEnd w:id="6"/>
    </w:p>
    <w:p w:rsidR="00ED56AF" w:rsidRDefault="0048264D">
      <w:pPr>
        <w:pStyle w:val="Zkladntext1"/>
        <w:shd w:val="clear" w:color="auto" w:fill="auto"/>
        <w:spacing w:after="240" w:line="240" w:lineRule="auto"/>
      </w:pPr>
      <w:r>
        <w:t xml:space="preserve">Celkem instalovaný výkon = </w:t>
      </w:r>
      <w:r w:rsidR="006E4B99" w:rsidRPr="006E4B99">
        <w:rPr>
          <w:highlight w:val="black"/>
        </w:rPr>
        <w:t>….</w:t>
      </w:r>
      <w:r>
        <w:t xml:space="preserve"> kW = </w:t>
      </w:r>
      <w:r w:rsidR="006E4B99" w:rsidRPr="006E4B99">
        <w:rPr>
          <w:highlight w:val="black"/>
        </w:rPr>
        <w:t>……</w:t>
      </w:r>
      <w:r>
        <w:t xml:space="preserve"> MW</w:t>
      </w:r>
    </w:p>
    <w:p w:rsidR="00ED56AF" w:rsidRDefault="0048264D">
      <w:pPr>
        <w:pStyle w:val="Zkladntext1"/>
        <w:shd w:val="clear" w:color="auto" w:fill="auto"/>
        <w:tabs>
          <w:tab w:val="left" w:pos="4322"/>
          <w:tab w:val="left" w:pos="6806"/>
        </w:tabs>
        <w:spacing w:after="0" w:line="240" w:lineRule="auto"/>
        <w:ind w:left="1860"/>
      </w:pPr>
      <w:r>
        <w:t>otop prostoru</w:t>
      </w:r>
      <w:r>
        <w:tab/>
        <w:t>příprava TV</w:t>
      </w:r>
      <w:r>
        <w:tab/>
        <w:t>příprava VZT</w:t>
      </w:r>
    </w:p>
    <w:p w:rsidR="00ED56AF" w:rsidRDefault="0048264D">
      <w:pPr>
        <w:pStyle w:val="Obsah0"/>
        <w:shd w:val="clear" w:color="auto" w:fill="auto"/>
        <w:tabs>
          <w:tab w:val="left" w:pos="2206"/>
          <w:tab w:val="right" w:pos="4992"/>
          <w:tab w:val="right" w:pos="7441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sektor</w:t>
      </w:r>
      <w:r>
        <w:tab/>
      </w:r>
      <w:proofErr w:type="gramStart"/>
      <w:r w:rsidR="006E4B99" w:rsidRPr="006E4B99">
        <w:rPr>
          <w:highlight w:val="black"/>
        </w:rPr>
        <w:t>…….</w:t>
      </w:r>
      <w:proofErr w:type="gramEnd"/>
      <w:r w:rsidR="006E4B99" w:rsidRPr="006E4B99">
        <w:rPr>
          <w:highlight w:val="black"/>
        </w:rPr>
        <w:t>.</w:t>
      </w:r>
      <w:r>
        <w:tab/>
      </w:r>
      <w:r w:rsidR="006E4B99" w:rsidRPr="006E4B99">
        <w:rPr>
          <w:highlight w:val="black"/>
        </w:rPr>
        <w:t>……..</w:t>
      </w:r>
      <w:r>
        <w:tab/>
      </w:r>
      <w:r w:rsidR="006E4B99" w:rsidRPr="006E4B99">
        <w:rPr>
          <w:highlight w:val="black"/>
        </w:rPr>
        <w:t>……..</w:t>
      </w:r>
    </w:p>
    <w:p w:rsidR="00ED56AF" w:rsidRDefault="0048264D">
      <w:pPr>
        <w:pStyle w:val="Obsah0"/>
        <w:shd w:val="clear" w:color="auto" w:fill="auto"/>
        <w:tabs>
          <w:tab w:val="left" w:pos="2206"/>
          <w:tab w:val="right" w:pos="4992"/>
          <w:tab w:val="right" w:pos="7441"/>
        </w:tabs>
      </w:pPr>
      <w:r>
        <w:t>byty</w:t>
      </w:r>
      <w:r>
        <w:tab/>
        <w:t>0,000</w:t>
      </w:r>
      <w:r>
        <w:tab/>
        <w:t>0,000</w:t>
      </w:r>
      <w:r>
        <w:tab/>
        <w:t>0,000</w:t>
      </w:r>
    </w:p>
    <w:p w:rsidR="00ED56AF" w:rsidRDefault="0048264D">
      <w:pPr>
        <w:pStyle w:val="Obsah0"/>
        <w:shd w:val="clear" w:color="auto" w:fill="auto"/>
        <w:tabs>
          <w:tab w:val="left" w:pos="2206"/>
          <w:tab w:val="right" w:pos="4992"/>
          <w:tab w:val="right" w:pos="7441"/>
        </w:tabs>
        <w:rPr>
          <w:sz w:val="17"/>
          <w:szCs w:val="17"/>
        </w:rPr>
      </w:pPr>
      <w:r>
        <w:t>celkem</w:t>
      </w:r>
      <w:r>
        <w:tab/>
      </w:r>
      <w:proofErr w:type="gramStart"/>
      <w:r w:rsidR="006E4B99" w:rsidRPr="006E4B99">
        <w:rPr>
          <w:highlight w:val="black"/>
        </w:rPr>
        <w:t>…….</w:t>
      </w:r>
      <w:proofErr w:type="gramEnd"/>
      <w:r>
        <w:rPr>
          <w:rFonts w:ascii="Arial" w:eastAsia="Arial" w:hAnsi="Arial" w:cs="Arial"/>
          <w:sz w:val="17"/>
          <w:szCs w:val="17"/>
        </w:rPr>
        <w:tab/>
      </w:r>
      <w:r w:rsidR="006E4B99" w:rsidRPr="006E4B99">
        <w:rPr>
          <w:rFonts w:ascii="Arial" w:eastAsia="Arial" w:hAnsi="Arial" w:cs="Arial"/>
          <w:sz w:val="17"/>
          <w:szCs w:val="17"/>
          <w:highlight w:val="black"/>
        </w:rPr>
        <w:t>……..</w:t>
      </w:r>
      <w:r>
        <w:rPr>
          <w:rFonts w:ascii="Arial" w:eastAsia="Arial" w:hAnsi="Arial" w:cs="Arial"/>
          <w:sz w:val="17"/>
          <w:szCs w:val="17"/>
        </w:rPr>
        <w:tab/>
      </w:r>
      <w:r>
        <w:fldChar w:fldCharType="end"/>
      </w:r>
      <w:r w:rsidR="006E4B99" w:rsidRPr="006E4B99">
        <w:rPr>
          <w:highlight w:val="black"/>
        </w:rPr>
        <w:t>……..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1"/>
        <w:gridCol w:w="558"/>
        <w:gridCol w:w="1116"/>
        <w:gridCol w:w="652"/>
        <w:gridCol w:w="994"/>
        <w:gridCol w:w="1188"/>
        <w:gridCol w:w="770"/>
        <w:gridCol w:w="1026"/>
        <w:gridCol w:w="306"/>
      </w:tblGrid>
      <w:tr w:rsidR="00ED56AF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2581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56AF" w:rsidRDefault="0048264D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I</w:t>
            </w:r>
          </w:p>
          <w:p w:rsidR="00ED56AF" w:rsidRDefault="0048264D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I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56AF" w:rsidRDefault="0048264D">
            <w:pPr>
              <w:pStyle w:val="Jin0"/>
              <w:shd w:val="clear" w:color="auto" w:fill="auto"/>
              <w:spacing w:after="40" w:line="240" w:lineRule="auto"/>
              <w:ind w:right="100"/>
              <w:jc w:val="center"/>
            </w:pPr>
            <w:r>
              <w:t>I</w:t>
            </w:r>
          </w:p>
          <w:p w:rsidR="00ED56AF" w:rsidRDefault="0048264D">
            <w:pPr>
              <w:pStyle w:val="Jin0"/>
              <w:shd w:val="clear" w:color="auto" w:fill="auto"/>
              <w:spacing w:after="0" w:line="240" w:lineRule="auto"/>
              <w:ind w:right="100"/>
              <w:jc w:val="center"/>
            </w:pPr>
            <w:r>
              <w:t>I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56AF" w:rsidRDefault="0048264D">
            <w:pPr>
              <w:pStyle w:val="Jin0"/>
              <w:shd w:val="clear" w:color="auto" w:fill="auto"/>
              <w:spacing w:after="0" w:line="240" w:lineRule="auto"/>
              <w:ind w:left="14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Údaje pro OM s ÚT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56AF" w:rsidRDefault="0048264D">
            <w:pPr>
              <w:pStyle w:val="Jin0"/>
              <w:shd w:val="clear" w:color="auto" w:fill="auto"/>
              <w:tabs>
                <w:tab w:val="left" w:pos="666"/>
              </w:tabs>
              <w:spacing w:after="0" w:line="240" w:lineRule="auto"/>
            </w:pPr>
            <w:r>
              <w:t>1</w:t>
            </w:r>
            <w:r>
              <w:tab/>
            </w:r>
            <w:r>
              <w:t>Údaje pro OM s TUV</w:t>
            </w:r>
          </w:p>
        </w:tc>
        <w:tc>
          <w:tcPr>
            <w:tcW w:w="30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56AF" w:rsidRDefault="0048264D">
            <w:pPr>
              <w:pStyle w:val="Jin0"/>
              <w:shd w:val="clear" w:color="auto" w:fill="auto"/>
              <w:spacing w:after="40" w:line="240" w:lineRule="auto"/>
              <w:jc w:val="center"/>
            </w:pPr>
            <w:r>
              <w:t>I</w:t>
            </w:r>
          </w:p>
          <w:p w:rsidR="00ED56AF" w:rsidRDefault="0048264D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</w:t>
            </w:r>
          </w:p>
        </w:tc>
      </w:tr>
      <w:tr w:rsidR="00ED56AF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2581" w:type="dxa"/>
            <w:vMerge/>
            <w:shd w:val="clear" w:color="auto" w:fill="FFFFFF"/>
            <w:vAlign w:val="bottom"/>
          </w:tcPr>
          <w:p w:rsidR="00ED56AF" w:rsidRDefault="00ED56AF"/>
        </w:tc>
        <w:tc>
          <w:tcPr>
            <w:tcW w:w="558" w:type="dxa"/>
            <w:vMerge/>
            <w:shd w:val="clear" w:color="auto" w:fill="FFFFFF"/>
            <w:vAlign w:val="bottom"/>
          </w:tcPr>
          <w:p w:rsidR="00ED56AF" w:rsidRDefault="00ED56AF"/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FFFFFF"/>
          </w:tcPr>
          <w:p w:rsidR="00ED56AF" w:rsidRDefault="0048264D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sektor I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FFFFFF"/>
          </w:tcPr>
          <w:p w:rsidR="00ED56AF" w:rsidRDefault="0048264D">
            <w:pPr>
              <w:pStyle w:val="Jin0"/>
              <w:shd w:val="clear" w:color="auto" w:fill="auto"/>
              <w:spacing w:after="0" w:line="240" w:lineRule="auto"/>
              <w:ind w:right="60"/>
              <w:jc w:val="center"/>
            </w:pPr>
            <w:r>
              <w:t>byty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ED56AF" w:rsidRDefault="0048264D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 xml:space="preserve">I </w:t>
            </w:r>
            <w:r w:rsidR="006E4B99">
              <w:t xml:space="preserve">  </w:t>
            </w:r>
            <w:r>
              <w:t>celkem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FFFFFF"/>
          </w:tcPr>
          <w:p w:rsidR="00ED56AF" w:rsidRDefault="006E4B99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 xml:space="preserve">      </w:t>
            </w:r>
            <w:r w:rsidR="0048264D">
              <w:t>I sektor I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FFFFFF"/>
          </w:tcPr>
          <w:p w:rsidR="00ED56AF" w:rsidRDefault="0048264D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byty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</w:tcPr>
          <w:p w:rsidR="00ED56AF" w:rsidRDefault="0048264D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I celkem</w:t>
            </w:r>
          </w:p>
        </w:tc>
        <w:tc>
          <w:tcPr>
            <w:tcW w:w="306" w:type="dxa"/>
            <w:vMerge/>
            <w:shd w:val="clear" w:color="auto" w:fill="FFFFFF"/>
            <w:vAlign w:val="bottom"/>
          </w:tcPr>
          <w:p w:rsidR="00ED56AF" w:rsidRDefault="00ED56AF"/>
        </w:tc>
      </w:tr>
      <w:tr w:rsidR="00ED56AF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56AF" w:rsidRDefault="0048264D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I podlahová plocha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5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56AF" w:rsidRDefault="0048264D">
            <w:pPr>
              <w:pStyle w:val="Jin0"/>
              <w:shd w:val="clear" w:color="auto" w:fill="auto"/>
              <w:spacing w:after="0" w:line="240" w:lineRule="auto"/>
              <w:ind w:right="100"/>
              <w:jc w:val="center"/>
            </w:pPr>
            <w:r>
              <w:t>I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56AF" w:rsidRDefault="006E4B99">
            <w:pPr>
              <w:pStyle w:val="Jin0"/>
              <w:shd w:val="clear" w:color="auto" w:fill="auto"/>
              <w:spacing w:after="0" w:line="240" w:lineRule="auto"/>
              <w:ind w:right="340"/>
              <w:jc w:val="right"/>
            </w:pPr>
            <w:r w:rsidRPr="006E4B99">
              <w:rPr>
                <w:highlight w:val="black"/>
              </w:rPr>
              <w:t>……..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56AF" w:rsidRDefault="0048264D">
            <w:pPr>
              <w:pStyle w:val="Jin0"/>
              <w:shd w:val="clear" w:color="auto" w:fill="auto"/>
              <w:spacing w:after="0" w:line="240" w:lineRule="auto"/>
              <w:ind w:right="60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56AF" w:rsidRDefault="006E4B99">
            <w:pPr>
              <w:pStyle w:val="Jin0"/>
              <w:shd w:val="clear" w:color="auto" w:fill="auto"/>
              <w:spacing w:after="0" w:line="240" w:lineRule="auto"/>
              <w:ind w:right="160"/>
              <w:jc w:val="center"/>
            </w:pPr>
            <w:r>
              <w:rPr>
                <w:highlight w:val="black"/>
              </w:rPr>
              <w:t xml:space="preserve">  </w:t>
            </w:r>
            <w:r w:rsidRPr="006E4B99">
              <w:rPr>
                <w:highlight w:val="black"/>
              </w:rPr>
              <w:t>…….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56AF" w:rsidRDefault="006E4B99">
            <w:pPr>
              <w:pStyle w:val="Jin0"/>
              <w:shd w:val="clear" w:color="auto" w:fill="auto"/>
              <w:spacing w:after="0" w:line="240" w:lineRule="auto"/>
              <w:ind w:right="280"/>
              <w:jc w:val="right"/>
            </w:pPr>
            <w:r w:rsidRPr="006E4B99">
              <w:rPr>
                <w:highlight w:val="black"/>
              </w:rPr>
              <w:t>………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56AF" w:rsidRDefault="0048264D" w:rsidP="006E4B9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56AF" w:rsidRPr="006E4B99" w:rsidRDefault="006E4B99">
            <w:pPr>
              <w:pStyle w:val="Jin0"/>
              <w:shd w:val="clear" w:color="auto" w:fill="auto"/>
              <w:spacing w:after="0" w:line="240" w:lineRule="auto"/>
              <w:jc w:val="right"/>
              <w:rPr>
                <w:highlight w:val="black"/>
              </w:rPr>
            </w:pPr>
            <w:r w:rsidRPr="006E4B99">
              <w:rPr>
                <w:highlight w:val="black"/>
              </w:rPr>
              <w:t>……..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56AF" w:rsidRDefault="0048264D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I</w:t>
            </w:r>
          </w:p>
        </w:tc>
      </w:tr>
      <w:tr w:rsidR="00ED56AF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25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D56AF" w:rsidRDefault="0048264D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1 započitatelná plocha (m2)</w:t>
            </w:r>
          </w:p>
        </w:tc>
        <w:tc>
          <w:tcPr>
            <w:tcW w:w="5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D56AF" w:rsidRDefault="0048264D">
            <w:pPr>
              <w:pStyle w:val="Jin0"/>
              <w:shd w:val="clear" w:color="auto" w:fill="auto"/>
              <w:spacing w:after="0" w:line="240" w:lineRule="auto"/>
              <w:ind w:right="100"/>
              <w:jc w:val="center"/>
            </w:pPr>
            <w:r>
              <w:t>I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56AF" w:rsidRDefault="0048264D">
            <w:pPr>
              <w:pStyle w:val="Jin0"/>
              <w:shd w:val="clear" w:color="auto" w:fill="auto"/>
              <w:spacing w:after="0" w:line="240" w:lineRule="auto"/>
              <w:ind w:right="340"/>
              <w:jc w:val="right"/>
            </w:pPr>
            <w:r>
              <w:t>0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56AF" w:rsidRDefault="0048264D">
            <w:pPr>
              <w:pStyle w:val="Jin0"/>
              <w:shd w:val="clear" w:color="auto" w:fill="auto"/>
              <w:spacing w:after="0" w:line="240" w:lineRule="auto"/>
              <w:ind w:right="60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56AF" w:rsidRDefault="0048264D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56AF" w:rsidRDefault="0048264D">
            <w:pPr>
              <w:pStyle w:val="Jin0"/>
              <w:shd w:val="clear" w:color="auto" w:fill="auto"/>
              <w:spacing w:after="0" w:line="240" w:lineRule="auto"/>
              <w:ind w:right="280"/>
              <w:jc w:val="right"/>
            </w:pP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56AF" w:rsidRDefault="0048264D" w:rsidP="006E4B9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56AF" w:rsidRDefault="0048264D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D56AF" w:rsidRDefault="006E4B99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 xml:space="preserve">  </w:t>
            </w:r>
            <w:r w:rsidR="0048264D">
              <w:t>I</w:t>
            </w:r>
          </w:p>
        </w:tc>
      </w:tr>
      <w:tr w:rsidR="00ED56AF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2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56AF" w:rsidRDefault="0048264D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I počet byt. jednotek</w:t>
            </w:r>
          </w:p>
        </w:tc>
        <w:tc>
          <w:tcPr>
            <w:tcW w:w="5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56AF" w:rsidRDefault="0048264D">
            <w:pPr>
              <w:pStyle w:val="Jin0"/>
              <w:shd w:val="clear" w:color="auto" w:fill="auto"/>
              <w:spacing w:after="0" w:line="240" w:lineRule="auto"/>
              <w:ind w:right="100"/>
              <w:jc w:val="center"/>
            </w:pPr>
            <w:r>
              <w:t>1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56AF" w:rsidRDefault="0048264D">
            <w:pPr>
              <w:pStyle w:val="Jin0"/>
              <w:shd w:val="clear" w:color="auto" w:fill="auto"/>
              <w:spacing w:after="0" w:line="240" w:lineRule="auto"/>
              <w:ind w:right="340"/>
              <w:jc w:val="right"/>
            </w:pPr>
            <w:r>
              <w:t>0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56AF" w:rsidRDefault="0048264D">
            <w:pPr>
              <w:pStyle w:val="Jin0"/>
              <w:shd w:val="clear" w:color="auto" w:fill="auto"/>
              <w:spacing w:after="0" w:line="240" w:lineRule="auto"/>
              <w:ind w:right="60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56AF" w:rsidRDefault="0048264D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56AF" w:rsidRDefault="0048264D">
            <w:pPr>
              <w:pStyle w:val="Jin0"/>
              <w:shd w:val="clear" w:color="auto" w:fill="auto"/>
              <w:spacing w:after="0" w:line="240" w:lineRule="auto"/>
              <w:ind w:right="280"/>
              <w:jc w:val="right"/>
            </w:pP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56AF" w:rsidRDefault="0048264D" w:rsidP="006E4B9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56AF" w:rsidRDefault="006E4B99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 xml:space="preserve">   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D56AF" w:rsidRDefault="0048264D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I</w:t>
            </w:r>
          </w:p>
        </w:tc>
      </w:tr>
      <w:tr w:rsidR="00ED56AF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6AF" w:rsidRDefault="0048264D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 xml:space="preserve">Údaje o doplňkové vodě: odběr: ano, </w:t>
            </w:r>
            <w:r>
              <w:t>není účtován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D56AF" w:rsidRDefault="00ED56AF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D56AF" w:rsidRDefault="00ED56AF">
            <w:pPr>
              <w:rPr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D56AF" w:rsidRDefault="00ED56A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D56AF" w:rsidRDefault="00ED56AF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D56AF" w:rsidRDefault="00ED56AF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D56AF" w:rsidRDefault="00ED56AF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D56AF" w:rsidRDefault="00ED56AF">
            <w:pPr>
              <w:rPr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D56AF" w:rsidRDefault="00ED56AF">
            <w:pPr>
              <w:rPr>
                <w:sz w:val="10"/>
                <w:szCs w:val="10"/>
              </w:rPr>
            </w:pPr>
          </w:p>
        </w:tc>
      </w:tr>
    </w:tbl>
    <w:p w:rsidR="00ED56AF" w:rsidRDefault="0048264D">
      <w:pPr>
        <w:pStyle w:val="Titulektabulky0"/>
        <w:shd w:val="clear" w:color="auto" w:fill="auto"/>
        <w:ind w:left="36"/>
      </w:pPr>
      <w:r>
        <w:t xml:space="preserve">Údaje o plynové </w:t>
      </w:r>
      <w:proofErr w:type="gramStart"/>
      <w:r>
        <w:t>kotelně :</w:t>
      </w:r>
      <w:proofErr w:type="gramEnd"/>
    </w:p>
    <w:p w:rsidR="00ED56AF" w:rsidRDefault="00ED56AF">
      <w:pPr>
        <w:spacing w:after="226" w:line="14" w:lineRule="exact"/>
      </w:pPr>
    </w:p>
    <w:p w:rsidR="00ED56AF" w:rsidRDefault="0048264D">
      <w:pPr>
        <w:pStyle w:val="Zkladntext1"/>
        <w:shd w:val="clear" w:color="auto" w:fill="auto"/>
      </w:pPr>
      <w:r>
        <w:t xml:space="preserve">Majetková příslušnost: PK v majetku odběratele provozovaná dodavatelem, přípojka ZP je v majetku odběratele, </w:t>
      </w:r>
      <w:proofErr w:type="spellStart"/>
      <w:r>
        <w:t>sekundáry</w:t>
      </w:r>
      <w:proofErr w:type="spellEnd"/>
      <w:r>
        <w:t xml:space="preserve"> v objektu cizí</w:t>
      </w:r>
    </w:p>
    <w:p w:rsidR="00ED56AF" w:rsidRDefault="0048264D">
      <w:pPr>
        <w:pStyle w:val="Zkladntext1"/>
        <w:pBdr>
          <w:top w:val="single" w:sz="4" w:space="0" w:color="auto"/>
          <w:bottom w:val="single" w:sz="4" w:space="0" w:color="auto"/>
        </w:pBdr>
        <w:shd w:val="clear" w:color="auto" w:fill="auto"/>
        <w:spacing w:line="240" w:lineRule="auto"/>
      </w:pPr>
      <w:r>
        <w:t>Údaje pro fakturaci jsou uvedeny v diagramu na odběr tepla.</w:t>
      </w:r>
    </w:p>
    <w:p w:rsidR="00ED56AF" w:rsidRDefault="0048264D">
      <w:pPr>
        <w:pStyle w:val="Zkladntext1"/>
        <w:shd w:val="clear" w:color="auto" w:fill="auto"/>
        <w:spacing w:after="1200" w:line="257" w:lineRule="auto"/>
      </w:pPr>
      <w:r>
        <w:t xml:space="preserve">Odběratel </w:t>
      </w:r>
      <w:r>
        <w:t>prohlašuje, že rozdělení podlahových ploch odpovídá skutečnosti a že si je vědom povinnosti nahlásit dodavateli bezodkladně každou změnu výměr}' podlahové plochy bytových a nebytových prostor.</w:t>
      </w:r>
    </w:p>
    <w:p w:rsidR="00ED56AF" w:rsidRDefault="00ED56AF">
      <w:pPr>
        <w:jc w:val="center"/>
        <w:rPr>
          <w:sz w:val="2"/>
          <w:szCs w:val="2"/>
        </w:rPr>
      </w:pPr>
      <w:bookmarkStart w:id="7" w:name="_GoBack"/>
      <w:bookmarkEnd w:id="7"/>
    </w:p>
    <w:p w:rsidR="00ED56AF" w:rsidRDefault="00ED56AF">
      <w:pPr>
        <w:spacing w:line="14" w:lineRule="exact"/>
      </w:pPr>
    </w:p>
    <w:sectPr w:rsidR="00ED56AF">
      <w:footerReference w:type="default" r:id="rId6"/>
      <w:pgSz w:w="11900" w:h="16840"/>
      <w:pgMar w:top="534" w:right="1278" w:bottom="534" w:left="14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64D" w:rsidRDefault="0048264D">
      <w:r>
        <w:separator/>
      </w:r>
    </w:p>
  </w:endnote>
  <w:endnote w:type="continuationSeparator" w:id="0">
    <w:p w:rsidR="0048264D" w:rsidRDefault="00482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6AF" w:rsidRDefault="0048264D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4047490</wp:posOffset>
              </wp:positionH>
              <wp:positionV relativeFrom="page">
                <wp:posOffset>10427335</wp:posOffset>
              </wp:positionV>
              <wp:extent cx="29845" cy="6413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45" cy="64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56AF" w:rsidRDefault="0048264D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318.7pt;margin-top:821.05pt;width:2.35pt;height:5.0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" filled="f" stroked="f">
              <v:textbox style="mso-fit-shape-to-text:t" inset="0,0,0,0">
                <w:txbxContent>
                  <w:p w:rsidR="00ED56AF" w:rsidRDefault="0048264D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64D" w:rsidRDefault="0048264D"/>
  </w:footnote>
  <w:footnote w:type="continuationSeparator" w:id="0">
    <w:p w:rsidR="0048264D" w:rsidRDefault="0048264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6AF"/>
    <w:rsid w:val="0048264D"/>
    <w:rsid w:val="006E4B99"/>
    <w:rsid w:val="00E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8EAB"/>
  <w15:docId w15:val="{4D089385-7126-4B51-9153-FDB77875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Obsah">
    <w:name w:val="Obsah_"/>
    <w:basedOn w:val="Standardnpsmoodstavce"/>
    <w:link w:val="Obsah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10" w:line="254" w:lineRule="auto"/>
      <w:ind w:left="710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30" w:line="274" w:lineRule="auto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40"/>
      <w:ind w:left="5140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520" w:line="254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Obsah0">
    <w:name w:val="Obsah"/>
    <w:basedOn w:val="Normln"/>
    <w:link w:val="Obsah"/>
    <w:pPr>
      <w:shd w:val="clear" w:color="auto" w:fill="FFFFFF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520" w:line="254" w:lineRule="auto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Veolia Energie a.s.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2023-09-26T06:12:00Z</dcterms:created>
  <dcterms:modified xsi:type="dcterms:W3CDTF">2023-09-26T06:20:00Z</dcterms:modified>
</cp:coreProperties>
</file>