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30C63DF0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Evidenční číslo smlouvy:</w:t>
      </w:r>
      <w:r w:rsidR="00DA280B">
        <w:rPr>
          <w:rFonts w:eastAsia="Times New Roman"/>
          <w:lang w:eastAsia="cs-CZ"/>
        </w:rPr>
        <w:t xml:space="preserve"> </w:t>
      </w:r>
      <w:r w:rsidR="00DA280B" w:rsidRPr="00727783">
        <w:rPr>
          <w:rFonts w:eastAsia="Times New Roman"/>
          <w:b/>
          <w:lang w:eastAsia="cs-CZ"/>
        </w:rPr>
        <w:t>KK0220</w:t>
      </w:r>
      <w:r w:rsidR="00E75F9D">
        <w:rPr>
          <w:rFonts w:eastAsia="Times New Roman"/>
          <w:b/>
          <w:lang w:eastAsia="cs-CZ"/>
        </w:rPr>
        <w:t>9</w:t>
      </w:r>
      <w:r w:rsidR="00DA280B" w:rsidRPr="00727783">
        <w:rPr>
          <w:rFonts w:eastAsia="Times New Roman"/>
          <w:b/>
          <w:lang w:eastAsia="cs-CZ"/>
        </w:rPr>
        <w:t>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4C5B087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875623" w:rsidRPr="006D193A">
        <w:rPr>
          <w:rFonts w:eastAsia="Times New Roman"/>
          <w:lang w:eastAsia="cs-CZ"/>
        </w:rPr>
        <w:t>Ing. Petrem Kulhánkem, hejtmanem</w:t>
      </w: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40A47D52" w:rsidR="00CC11A9" w:rsidRPr="005178F2" w:rsidRDefault="000E474D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color w:val="000000"/>
        </w:rPr>
        <w:t>*****</w:t>
      </w:r>
      <w:r>
        <w:rPr>
          <w:color w:val="000000"/>
        </w:rPr>
        <w:tab/>
      </w:r>
      <w:r>
        <w:rPr>
          <w:color w:val="000000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>
        <w:rPr>
          <w:color w:val="000000"/>
        </w:rPr>
        <w:t>*****</w:t>
      </w:r>
    </w:p>
    <w:p w14:paraId="5C16F19F" w14:textId="12EF57D9" w:rsidR="00CC11A9" w:rsidRPr="0096502F" w:rsidRDefault="000E474D" w:rsidP="00F55AB0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color w:val="000000"/>
        </w:rPr>
        <w:t>*****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178F2"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>
        <w:rPr>
          <w:color w:val="000000"/>
        </w:rPr>
        <w:t>*****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3F8943F6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F55AB0">
        <w:rPr>
          <w:rFonts w:eastAsia="Times New Roman"/>
          <w:lang w:eastAsia="cs-CZ"/>
        </w:rPr>
        <w:t xml:space="preserve"> </w:t>
      </w:r>
      <w:r w:rsidR="00F55AB0" w:rsidRPr="006D193A">
        <w:rPr>
          <w:rFonts w:eastAsia="Times New Roman"/>
          <w:lang w:eastAsia="cs-CZ"/>
        </w:rPr>
        <w:t>bezpečnosti a krizového řízení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807ED25" w14:textId="39BC609C" w:rsidR="001E376B" w:rsidRDefault="00A76741" w:rsidP="001E376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>
        <w:rPr>
          <w:rFonts w:eastAsia="Times New Roman"/>
          <w:b/>
          <w:bCs/>
          <w:lang w:eastAsia="cs-CZ"/>
        </w:rPr>
        <w:t>M</w:t>
      </w:r>
      <w:r w:rsidR="001E376B">
        <w:rPr>
          <w:rFonts w:eastAsia="Times New Roman"/>
          <w:b/>
          <w:bCs/>
          <w:lang w:eastAsia="cs-CZ"/>
        </w:rPr>
        <w:t>ěsto</w:t>
      </w:r>
      <w:r w:rsidR="00B64FA1">
        <w:rPr>
          <w:rFonts w:eastAsia="Times New Roman"/>
          <w:b/>
          <w:bCs/>
          <w:lang w:eastAsia="cs-CZ"/>
        </w:rPr>
        <w:t xml:space="preserve"> </w:t>
      </w:r>
      <w:r w:rsidR="0035536A">
        <w:rPr>
          <w:rFonts w:eastAsia="Times New Roman"/>
          <w:b/>
          <w:bCs/>
          <w:lang w:eastAsia="cs-CZ"/>
        </w:rPr>
        <w:t>Cheb</w:t>
      </w:r>
      <w:r w:rsidR="001E376B" w:rsidRPr="0096502F">
        <w:rPr>
          <w:rFonts w:eastAsia="Times New Roman"/>
          <w:bCs/>
          <w:lang w:eastAsia="cs-CZ"/>
        </w:rPr>
        <w:t xml:space="preserve"> </w:t>
      </w:r>
    </w:p>
    <w:p w14:paraId="7152572C" w14:textId="3D51D19F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E75F9D">
        <w:rPr>
          <w:rFonts w:eastAsia="Times New Roman"/>
          <w:bCs/>
          <w:lang w:eastAsia="cs-CZ"/>
        </w:rPr>
        <w:t>náměstí Krále Jiřího z Poděbrad 1/14, 350 02 Cheb</w:t>
      </w:r>
    </w:p>
    <w:p w14:paraId="7EE718E2" w14:textId="066315EC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933D4D" w:rsidRPr="004346B3">
        <w:rPr>
          <w:rFonts w:eastAsia="Times New Roman"/>
          <w:bCs/>
          <w:lang w:eastAsia="cs-CZ"/>
        </w:rPr>
        <w:t>002</w:t>
      </w:r>
      <w:r w:rsidR="00933D4D">
        <w:rPr>
          <w:rFonts w:eastAsia="Times New Roman"/>
          <w:bCs/>
          <w:lang w:eastAsia="cs-CZ"/>
        </w:rPr>
        <w:t>5</w:t>
      </w:r>
      <w:r w:rsidR="00E75F9D">
        <w:rPr>
          <w:rFonts w:eastAsia="Times New Roman"/>
          <w:bCs/>
          <w:lang w:eastAsia="cs-CZ"/>
        </w:rPr>
        <w:t>3979</w:t>
      </w:r>
    </w:p>
    <w:p w14:paraId="02B29782" w14:textId="13B768A3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="00933D4D">
        <w:rPr>
          <w:rFonts w:eastAsia="Times New Roman"/>
          <w:bCs/>
          <w:lang w:eastAsia="cs-CZ"/>
        </w:rPr>
        <w:t>CZ002</w:t>
      </w:r>
      <w:r w:rsidR="00E75F9D">
        <w:rPr>
          <w:rFonts w:eastAsia="Times New Roman"/>
          <w:bCs/>
          <w:lang w:eastAsia="cs-CZ"/>
        </w:rPr>
        <w:t>53979</w:t>
      </w:r>
    </w:p>
    <w:p w14:paraId="5B9FA43D" w14:textId="0EEC04E4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E75F9D">
        <w:rPr>
          <w:rFonts w:eastAsia="Times New Roman"/>
          <w:lang w:eastAsia="cs-CZ"/>
        </w:rPr>
        <w:t>Ing. Janem Vrbou</w:t>
      </w:r>
      <w:r w:rsidR="00933D4D">
        <w:rPr>
          <w:rFonts w:eastAsia="Times New Roman"/>
          <w:lang w:eastAsia="cs-CZ"/>
        </w:rPr>
        <w:t>, starostou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07C95840" w:rsidR="00CC11A9" w:rsidRPr="00D9675B" w:rsidRDefault="000E474D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>
        <w:rPr>
          <w:rFonts w:eastAsia="Times New Roman"/>
          <w:lang w:eastAsia="cs-CZ"/>
        </w:rPr>
        <w:t>*****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933D4D" w:rsidRPr="00D9675B"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CC11A9" w:rsidRPr="001E376B">
        <w:rPr>
          <w:rFonts w:eastAsia="Times New Roman"/>
          <w:lang w:eastAsia="cs-CZ"/>
        </w:rPr>
        <w:t>číslo účtu:</w:t>
      </w:r>
      <w:r w:rsidR="00CC11A9" w:rsidRPr="001E376B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*****</w:t>
      </w:r>
    </w:p>
    <w:p w14:paraId="458C6585" w14:textId="4B883866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0E474D">
        <w:rPr>
          <w:rFonts w:eastAsia="Times New Roman"/>
          <w:lang w:eastAsia="cs-CZ"/>
        </w:rPr>
        <w:t>*****</w:t>
      </w:r>
    </w:p>
    <w:p w14:paraId="361F897E" w14:textId="40DAE67F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E75F9D">
        <w:rPr>
          <w:rFonts w:eastAsia="Times New Roman"/>
          <w:lang w:eastAsia="cs-CZ"/>
        </w:rPr>
        <w:t>a8gbnyc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0189673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139CBDEF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7F2F3ED4" w14:textId="528A5662" w:rsidR="00C617E2" w:rsidRDefault="00C617E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020C1C0" w14:textId="77777777" w:rsidR="00C617E2" w:rsidRDefault="00C617E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17057E7B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</w:t>
      </w:r>
      <w:r w:rsidR="00F55AB0">
        <w:rPr>
          <w:rFonts w:eastAsia="Arial Unicode MS"/>
          <w:lang w:eastAsia="cs-CZ"/>
        </w:rPr>
        <w:t xml:space="preserve">na podporu aktivit v oblasti prevence kriminality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3811DB13" w:rsidR="00B766F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200E451E" w14:textId="77777777" w:rsidR="00F55AB0" w:rsidRPr="00F40594" w:rsidRDefault="00F55AB0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9929D2">
        <w:rPr>
          <w:sz w:val="22"/>
          <w:szCs w:val="22"/>
        </w:rPr>
        <w:t xml:space="preserve">případnou </w:t>
      </w:r>
      <w:r w:rsidRPr="0096502F">
        <w:rPr>
          <w:sz w:val="22"/>
          <w:szCs w:val="22"/>
        </w:rPr>
        <w:t>maximální přípustnou výši podpory v režimu de minimis</w:t>
      </w:r>
      <w:r w:rsidR="00393659">
        <w:rPr>
          <w:sz w:val="22"/>
          <w:szCs w:val="22"/>
        </w:rPr>
        <w:t>,</w:t>
      </w:r>
      <w:r w:rsidRPr="0096502F">
        <w:rPr>
          <w:sz w:val="22"/>
          <w:szCs w:val="22"/>
        </w:rPr>
        <w:t xml:space="preserve"> a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to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dle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aktuálního stavu v registru podpor de minimis v den podpisu smlouvy.</w:t>
      </w:r>
    </w:p>
    <w:p w14:paraId="5A14974E" w14:textId="5E721E86" w:rsidR="00CC11A9" w:rsidRDefault="00CC11A9" w:rsidP="00F40594">
      <w:pPr>
        <w:pStyle w:val="Normlnweb"/>
        <w:rPr>
          <w:bCs/>
          <w:sz w:val="22"/>
          <w:szCs w:val="22"/>
        </w:rPr>
      </w:pPr>
    </w:p>
    <w:p w14:paraId="5B09EC58" w14:textId="77777777" w:rsidR="00C617E2" w:rsidRDefault="00C617E2" w:rsidP="00F40594">
      <w:pPr>
        <w:pStyle w:val="Normlnweb"/>
        <w:rPr>
          <w:bCs/>
          <w:sz w:val="22"/>
          <w:szCs w:val="22"/>
        </w:rPr>
      </w:pPr>
    </w:p>
    <w:p w14:paraId="6D2B849C" w14:textId="77777777" w:rsidR="00C617E2" w:rsidRPr="00F40594" w:rsidRDefault="00C617E2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424E3FC8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A69A9">
        <w:rPr>
          <w:sz w:val="22"/>
          <w:szCs w:val="22"/>
        </w:rPr>
        <w:t xml:space="preserve">          </w:t>
      </w:r>
      <w:r w:rsidR="00317371" w:rsidRPr="00317371">
        <w:rPr>
          <w:b/>
          <w:sz w:val="22"/>
          <w:szCs w:val="22"/>
        </w:rPr>
        <w:t>2023</w:t>
      </w:r>
    </w:p>
    <w:p w14:paraId="041A388D" w14:textId="6824D053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A69A9">
        <w:rPr>
          <w:sz w:val="22"/>
          <w:szCs w:val="22"/>
        </w:rPr>
        <w:t xml:space="preserve">          </w:t>
      </w:r>
      <w:r w:rsidR="00E75F9D">
        <w:rPr>
          <w:b/>
          <w:sz w:val="22"/>
          <w:szCs w:val="22"/>
        </w:rPr>
        <w:t>150</w:t>
      </w:r>
      <w:r w:rsidR="00933D4D">
        <w:rPr>
          <w:b/>
          <w:sz w:val="22"/>
          <w:szCs w:val="22"/>
        </w:rPr>
        <w:t xml:space="preserve"> 0</w:t>
      </w:r>
      <w:r w:rsidR="001E376B" w:rsidRPr="001E376B">
        <w:rPr>
          <w:b/>
          <w:sz w:val="22"/>
          <w:szCs w:val="22"/>
        </w:rPr>
        <w:t>00</w:t>
      </w:r>
      <w:r w:rsidRPr="001E376B">
        <w:rPr>
          <w:sz w:val="22"/>
          <w:szCs w:val="22"/>
        </w:rPr>
        <w:t xml:space="preserve"> </w:t>
      </w:r>
      <w:r w:rsidRPr="001E376B">
        <w:rPr>
          <w:b/>
          <w:sz w:val="22"/>
          <w:szCs w:val="22"/>
        </w:rPr>
        <w:t>Kč</w:t>
      </w:r>
    </w:p>
    <w:p w14:paraId="7CF831B7" w14:textId="02F52071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E75F9D">
        <w:rPr>
          <w:sz w:val="22"/>
          <w:szCs w:val="22"/>
        </w:rPr>
        <w:t xml:space="preserve">sto </w:t>
      </w:r>
      <w:r w:rsidR="00933D4D">
        <w:rPr>
          <w:sz w:val="22"/>
          <w:szCs w:val="22"/>
        </w:rPr>
        <w:t>padesát</w:t>
      </w:r>
      <w:r w:rsidR="001E376B" w:rsidRPr="001E376B">
        <w:rPr>
          <w:sz w:val="22"/>
          <w:szCs w:val="22"/>
        </w:rPr>
        <w:t xml:space="preserve"> tisíc </w:t>
      </w:r>
      <w:r w:rsidRPr="0096502F">
        <w:rPr>
          <w:sz w:val="22"/>
          <w:szCs w:val="22"/>
        </w:rPr>
        <w:t>korun českých)</w:t>
      </w:r>
    </w:p>
    <w:p w14:paraId="58983808" w14:textId="600DC206" w:rsidR="00CC11A9" w:rsidRPr="00F40594" w:rsidRDefault="00CC11A9" w:rsidP="00933D4D">
      <w:pPr>
        <w:pStyle w:val="Normlnweb"/>
        <w:ind w:left="426"/>
        <w:jc w:val="left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A69A9">
        <w:rPr>
          <w:sz w:val="22"/>
          <w:szCs w:val="22"/>
        </w:rPr>
        <w:t xml:space="preserve">          </w:t>
      </w:r>
      <w:r w:rsidR="00E75F9D">
        <w:rPr>
          <w:b/>
          <w:sz w:val="22"/>
          <w:szCs w:val="22"/>
        </w:rPr>
        <w:t>Bezpečí pro naše seniory</w:t>
      </w:r>
    </w:p>
    <w:p w14:paraId="62AA832A" w14:textId="4D20E929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="001A69A9">
        <w:rPr>
          <w:sz w:val="22"/>
          <w:szCs w:val="22"/>
        </w:rPr>
        <w:t xml:space="preserve">         </w:t>
      </w:r>
      <w:r w:rsidR="000E474D">
        <w:rPr>
          <w:b/>
          <w:sz w:val="22"/>
          <w:szCs w:val="22"/>
        </w:rPr>
        <w:t>*****</w:t>
      </w:r>
      <w:bookmarkStart w:id="0" w:name="_GoBack"/>
      <w:bookmarkEnd w:id="0"/>
    </w:p>
    <w:p w14:paraId="4276D08D" w14:textId="398B3EEC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DF9AD17" w14:textId="77777777" w:rsidR="00C617E2" w:rsidRDefault="00C617E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221799D9" w14:textId="037625E2" w:rsidR="00D733D2" w:rsidRPr="00317371" w:rsidRDefault="00D733D2" w:rsidP="00317371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76C162AA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317371">
        <w:rPr>
          <w:rFonts w:eastAsia="Arial Unicode MS"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081AB3F3" w14:textId="7E1CE298" w:rsidR="00317371" w:rsidRDefault="00317371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52DCB05" w14:textId="77777777" w:rsidR="00A76741" w:rsidRDefault="00A76741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71693EB" w14:textId="4E96BE98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352797A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317371" w:rsidRPr="001E1141">
        <w:rPr>
          <w:rFonts w:eastAsia="Arial Unicode MS"/>
          <w:b/>
          <w:lang w:eastAsia="cs-CZ"/>
        </w:rPr>
        <w:t>31.</w:t>
      </w:r>
      <w:r w:rsidR="00317371">
        <w:rPr>
          <w:rFonts w:eastAsia="Arial Unicode MS"/>
          <w:b/>
          <w:lang w:eastAsia="cs-CZ"/>
        </w:rPr>
        <w:t xml:space="preserve"> 12. 2023</w:t>
      </w:r>
      <w:r w:rsidR="00317371" w:rsidRPr="005856B3">
        <w:rPr>
          <w:rFonts w:eastAsia="Arial Unicode MS"/>
          <w:lang w:eastAsia="cs-CZ"/>
        </w:rPr>
        <w:t>.</w:t>
      </w:r>
      <w:r w:rsidR="00317371">
        <w:rPr>
          <w:rFonts w:eastAsia="Arial Unicode MS"/>
          <w:lang w:eastAsia="cs-CZ"/>
        </w:rPr>
        <w:t xml:space="preserve"> </w:t>
      </w:r>
      <w:r w:rsidR="00317371" w:rsidRPr="00710FA6">
        <w:rPr>
          <w:rFonts w:eastAsia="Arial Unicode MS"/>
          <w:lang w:eastAsia="cs-CZ"/>
        </w:rPr>
        <w:t>Výjimku tvoří pouze osobn</w:t>
      </w:r>
      <w:r w:rsidR="00317371">
        <w:rPr>
          <w:rFonts w:eastAsia="Arial Unicode MS"/>
          <w:lang w:eastAsia="cs-CZ"/>
        </w:rPr>
        <w:t>í náklady za měsíc prosinec 2023</w:t>
      </w:r>
      <w:r w:rsidR="00317371" w:rsidRPr="00710FA6">
        <w:rPr>
          <w:rFonts w:eastAsia="Arial Unicode MS"/>
          <w:lang w:eastAsia="cs-CZ"/>
        </w:rPr>
        <w:t>, které moh</w:t>
      </w:r>
      <w:r w:rsidR="00317371">
        <w:rPr>
          <w:rFonts w:eastAsia="Arial Unicode MS"/>
          <w:lang w:eastAsia="cs-CZ"/>
        </w:rPr>
        <w:t xml:space="preserve">ou být uhrazeny nejpozději </w:t>
      </w:r>
      <w:r w:rsidR="00DA280B">
        <w:rPr>
          <w:rFonts w:eastAsia="Arial Unicode MS"/>
          <w:lang w:eastAsia="cs-CZ"/>
        </w:rPr>
        <w:br/>
      </w:r>
      <w:r w:rsidR="00317371">
        <w:rPr>
          <w:rFonts w:eastAsia="Arial Unicode MS"/>
          <w:lang w:eastAsia="cs-CZ"/>
        </w:rPr>
        <w:t>do 20</w:t>
      </w:r>
      <w:r w:rsidR="00317371" w:rsidRPr="00710FA6">
        <w:rPr>
          <w:rFonts w:eastAsia="Arial Unicode MS"/>
          <w:lang w:eastAsia="cs-CZ"/>
        </w:rPr>
        <w:t>. 1.</w:t>
      </w:r>
      <w:r w:rsidR="00317371">
        <w:rPr>
          <w:rFonts w:eastAsia="Arial Unicode MS"/>
          <w:lang w:eastAsia="cs-CZ"/>
        </w:rPr>
        <w:t xml:space="preserve"> 2024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609223BF" w14:textId="115342DA" w:rsidR="0061471F" w:rsidRPr="00E75F9D" w:rsidRDefault="00DC708E" w:rsidP="0061471F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E75F9D">
        <w:rPr>
          <w:rFonts w:eastAsia="Arial Unicode MS"/>
          <w:bCs/>
          <w:lang w:eastAsia="cs-CZ"/>
        </w:rPr>
        <w:t xml:space="preserve">Dotace je </w:t>
      </w:r>
      <w:r w:rsidRPr="00E75F9D">
        <w:rPr>
          <w:rFonts w:eastAsia="Arial Unicode MS"/>
          <w:b/>
          <w:bCs/>
          <w:lang w:eastAsia="cs-CZ"/>
        </w:rPr>
        <w:t>neinvestičního</w:t>
      </w:r>
      <w:r w:rsidRPr="00E75F9D">
        <w:rPr>
          <w:rFonts w:eastAsia="Arial Unicode MS"/>
          <w:bCs/>
          <w:lang w:eastAsia="cs-CZ"/>
        </w:rPr>
        <w:t xml:space="preserve"> charakteru a příjemce ji použije</w:t>
      </w:r>
      <w:r w:rsidR="00D3583E" w:rsidRPr="00E75F9D">
        <w:rPr>
          <w:rFonts w:eastAsia="Arial Unicode MS"/>
          <w:bCs/>
          <w:lang w:eastAsia="cs-CZ"/>
        </w:rPr>
        <w:t xml:space="preserve"> k pokrytí nákladů vynaložených </w:t>
      </w:r>
      <w:r w:rsidR="00DA280B" w:rsidRPr="00E75F9D">
        <w:rPr>
          <w:rFonts w:eastAsia="Arial Unicode MS"/>
          <w:bCs/>
          <w:lang w:eastAsia="cs-CZ"/>
        </w:rPr>
        <w:br/>
      </w:r>
      <w:r w:rsidR="00D3583E" w:rsidRPr="00E75F9D">
        <w:rPr>
          <w:rFonts w:eastAsia="Arial Unicode MS"/>
          <w:bCs/>
          <w:lang w:eastAsia="cs-CZ"/>
        </w:rPr>
        <w:t xml:space="preserve">při realizaci projektu </w:t>
      </w:r>
      <w:r w:rsidR="00E75F9D" w:rsidRPr="00E75F9D">
        <w:rPr>
          <w:b/>
        </w:rPr>
        <w:t>Bezpečí pro naše seniory</w:t>
      </w:r>
      <w:r w:rsidR="00E75F9D">
        <w:t>, zaměřeného na zv</w:t>
      </w:r>
      <w:r w:rsidR="007D5082">
        <w:t>ý</w:t>
      </w:r>
      <w:r w:rsidR="00E75F9D">
        <w:t>š</w:t>
      </w:r>
      <w:r w:rsidR="007D5082">
        <w:t xml:space="preserve">ení informovanosti seniorů </w:t>
      </w:r>
      <w:r w:rsidR="00E27C53">
        <w:br/>
      </w:r>
      <w:r w:rsidR="007D5082">
        <w:t>o nebezpečí a rizi</w:t>
      </w:r>
      <w:r w:rsidR="00E27C53">
        <w:t>cích</w:t>
      </w:r>
      <w:r w:rsidR="007D5082">
        <w:t>, které jim hrozí, o možnostech, jak ji</w:t>
      </w:r>
      <w:r w:rsidR="00E27C53">
        <w:t>m</w:t>
      </w:r>
      <w:r w:rsidR="007D5082">
        <w:t xml:space="preserve"> předcházet</w:t>
      </w:r>
      <w:r w:rsidR="00E27C53">
        <w:t>,</w:t>
      </w:r>
      <w:r w:rsidR="007D5082">
        <w:t xml:space="preserve"> nebo </w:t>
      </w:r>
      <w:r w:rsidR="00E27C53">
        <w:t xml:space="preserve">jak </w:t>
      </w:r>
      <w:r w:rsidR="007D5082">
        <w:t>se bránit.</w:t>
      </w:r>
      <w:r w:rsidR="00E75F9D">
        <w:t xml:space="preserve"> Dotace bude využita na pořízení </w:t>
      </w:r>
      <w:r w:rsidR="007D5082">
        <w:t>bezpečnostních balíčků pro seniory</w:t>
      </w:r>
      <w:r w:rsidR="00E27C53">
        <w:t xml:space="preserve"> v </w:t>
      </w:r>
      <w:r w:rsidR="00E27C53" w:rsidRPr="00E75F9D">
        <w:rPr>
          <w:rFonts w:eastAsia="Arial Unicode MS"/>
          <w:bCs/>
          <w:lang w:eastAsia="cs-CZ"/>
        </w:rPr>
        <w:t xml:space="preserve">předpokládaném počtu </w:t>
      </w:r>
      <w:r w:rsidR="00E27C53">
        <w:rPr>
          <w:rFonts w:eastAsia="Arial Unicode MS"/>
          <w:bCs/>
          <w:lang w:eastAsia="cs-CZ"/>
        </w:rPr>
        <w:t>300</w:t>
      </w:r>
      <w:r w:rsidR="00E27C53" w:rsidRPr="00E75F9D">
        <w:rPr>
          <w:rFonts w:eastAsia="Arial Unicode MS"/>
          <w:bCs/>
          <w:lang w:eastAsia="cs-CZ"/>
        </w:rPr>
        <w:t xml:space="preserve"> ks</w:t>
      </w:r>
      <w:r w:rsidR="00E27C53">
        <w:t>. Balíčky</w:t>
      </w:r>
      <w:r w:rsidR="007D5082">
        <w:t xml:space="preserve"> budou</w:t>
      </w:r>
      <w:r w:rsidR="00E27C53">
        <w:t xml:space="preserve"> obsahovat např.</w:t>
      </w:r>
      <w:r w:rsidR="007D5082">
        <w:t xml:space="preserve"> </w:t>
      </w:r>
      <w:r w:rsidR="00E27C53">
        <w:t>informativní brožury a karty, osobní alarm, pepřový (slzný) sprej, bezpečnostní řetízek na dveře, přívěsek – svítiln</w:t>
      </w:r>
      <w:r w:rsidR="00974CC5">
        <w:t>u</w:t>
      </w:r>
      <w:r w:rsidR="00974CC5">
        <w:rPr>
          <w:rFonts w:eastAsia="Arial Unicode MS"/>
          <w:bCs/>
          <w:lang w:eastAsia="cs-CZ"/>
        </w:rPr>
        <w:t>. Z dotace bude pořízen také obalový materiál pro balíčky.</w:t>
      </w:r>
      <w:r w:rsidR="00E75F9D" w:rsidRPr="00E75F9D">
        <w:rPr>
          <w:rFonts w:eastAsia="Arial Unicode MS"/>
          <w:bCs/>
          <w:lang w:eastAsia="cs-CZ"/>
        </w:rPr>
        <w:t xml:space="preserve">  </w:t>
      </w:r>
      <w:r w:rsidR="00A26C1F">
        <w:t xml:space="preserve"> </w:t>
      </w:r>
    </w:p>
    <w:p w14:paraId="759D995C" w14:textId="77777777" w:rsidR="00A76741" w:rsidRPr="00F40594" w:rsidRDefault="00A76741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1767DDB2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DC708E">
        <w:rPr>
          <w:lang w:eastAsia="cs-CZ"/>
        </w:rPr>
        <w:t>Programem na podporu aktivit v oblasti prevence kriminality</w:t>
      </w:r>
      <w:r w:rsidR="00820862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DC708E">
        <w:rPr>
          <w:lang w:eastAsia="cs-CZ"/>
        </w:rPr>
        <w:t>ZK 516/12/22</w:t>
      </w:r>
      <w:r w:rsidR="00DA280B">
        <w:rPr>
          <w:lang w:eastAsia="cs-CZ"/>
        </w:rPr>
        <w:br/>
      </w:r>
      <w:r w:rsidRPr="0096502F">
        <w:rPr>
          <w:lang w:eastAsia="cs-CZ"/>
        </w:rPr>
        <w:t>ze</w:t>
      </w:r>
      <w:r w:rsidR="00DA280B">
        <w:rPr>
          <w:lang w:eastAsia="cs-CZ"/>
        </w:rPr>
        <w:t xml:space="preserve"> </w:t>
      </w:r>
      <w:r w:rsidRPr="0096502F">
        <w:rPr>
          <w:lang w:eastAsia="cs-CZ"/>
        </w:rPr>
        <w:t>dne</w:t>
      </w:r>
      <w:r w:rsidR="00DA280B">
        <w:rPr>
          <w:lang w:eastAsia="cs-CZ"/>
        </w:rPr>
        <w:t xml:space="preserve"> </w:t>
      </w:r>
      <w:r w:rsidR="00DC708E">
        <w:rPr>
          <w:lang w:eastAsia="cs-CZ"/>
        </w:rPr>
        <w:t>12. 12. 2022</w:t>
      </w:r>
      <w:r w:rsidRPr="0096502F">
        <w:rPr>
          <w:lang w:eastAsia="cs-CZ"/>
        </w:rPr>
        <w:t>, zveřejněným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65CBC8E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</w:t>
      </w:r>
      <w:r w:rsidR="00AD6B23">
        <w:rPr>
          <w:rFonts w:eastAsia="Arial Unicode MS"/>
          <w:lang w:eastAsia="cs-CZ"/>
        </w:rPr>
        <w:t xml:space="preserve"> </w:t>
      </w:r>
      <w:r w:rsidR="00464145" w:rsidRPr="0096502F">
        <w:rPr>
          <w:rFonts w:eastAsia="Arial Unicode MS"/>
          <w:lang w:eastAsia="cs-CZ"/>
        </w:rPr>
        <w:t>pohoštění,</w:t>
      </w:r>
      <w:r w:rsidR="00974CC5">
        <w:rPr>
          <w:rFonts w:eastAsia="Arial Unicode MS"/>
          <w:lang w:eastAsia="cs-CZ"/>
        </w:rPr>
        <w:t xml:space="preserve"> </w:t>
      </w:r>
      <w:r w:rsidR="00974CC5" w:rsidRPr="0096502F">
        <w:rPr>
          <w:rFonts w:eastAsia="Arial Unicode MS"/>
          <w:lang w:eastAsia="cs-CZ"/>
        </w:rPr>
        <w:t>mzdy pracovníků nebo funkcionářů příjemce či</w:t>
      </w:r>
      <w:r w:rsidR="00974CC5">
        <w:rPr>
          <w:rFonts w:eastAsia="Arial Unicode MS"/>
          <w:lang w:eastAsia="cs-CZ"/>
        </w:rPr>
        <w:t> </w:t>
      </w:r>
      <w:r w:rsidR="00974CC5" w:rsidRPr="0096502F">
        <w:rPr>
          <w:rFonts w:eastAsia="Arial Unicode MS"/>
          <w:lang w:eastAsia="cs-CZ"/>
        </w:rPr>
        <w:t>příjemce samotného</w:t>
      </w:r>
      <w:r w:rsidR="00974CC5">
        <w:rPr>
          <w:rFonts w:eastAsia="Arial Unicode MS"/>
          <w:lang w:eastAsia="cs-CZ"/>
        </w:rPr>
        <w:t>,</w:t>
      </w:r>
      <w:r w:rsidR="00464145" w:rsidRPr="0096502F">
        <w:rPr>
          <w:rFonts w:eastAsia="Arial Unicode MS"/>
          <w:lang w:eastAsia="cs-CZ"/>
        </w:rPr>
        <w:t xml:space="preserve"> penále, úroky z úvěrů, náhrady škod,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5312B6F7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10235E" w:rsidRPr="004206B1">
        <w:rPr>
          <w:rFonts w:eastAsia="Arial Unicode MS"/>
          <w:b/>
          <w:lang w:eastAsia="cs-CZ"/>
        </w:rPr>
        <w:t>31. 1.</w:t>
      </w:r>
      <w:r w:rsidR="004206B1">
        <w:rPr>
          <w:rFonts w:eastAsia="Arial Unicode MS"/>
          <w:b/>
          <w:lang w:eastAsia="cs-CZ"/>
        </w:rPr>
        <w:t xml:space="preserve"> </w:t>
      </w:r>
      <w:r w:rsidR="0010235E" w:rsidRPr="004206B1">
        <w:rPr>
          <w:rFonts w:eastAsia="Arial Unicode MS"/>
          <w:b/>
          <w:lang w:eastAsia="cs-CZ"/>
        </w:rPr>
        <w:t>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577485F9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524012C3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průkaznou fotodokumentaci</w:t>
      </w:r>
      <w:r w:rsidR="004F3493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4A26F1B0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</w:t>
      </w:r>
      <w:r w:rsidR="004206B1">
        <w:rPr>
          <w:rFonts w:eastAsia="Arial Unicode MS"/>
          <w:lang w:eastAsia="cs-CZ"/>
        </w:rPr>
        <w:t>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72095D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72095D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72095D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3A115615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620409D" w14:textId="77777777" w:rsidR="00A76741" w:rsidRDefault="00A76741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12F57AB5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4206B1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 xml:space="preserve">účet </w:t>
      </w:r>
      <w:bookmarkStart w:id="1" w:name="_Hlk130395516"/>
      <w:r w:rsidRPr="00A22E47">
        <w:rPr>
          <w:rFonts w:eastAsia="Arial Unicode MS"/>
          <w:lang w:eastAsia="cs-CZ"/>
        </w:rPr>
        <w:t>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bookmarkEnd w:id="1"/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4206B1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0714BF42" w14:textId="77777777" w:rsidR="008F0B23" w:rsidRPr="0096502F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24ADE14" w14:textId="01106E9D" w:rsidR="008F0B23" w:rsidRPr="0096502F" w:rsidRDefault="008F0B23" w:rsidP="00313C0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rovněž povinen vrátit poskytnuté finanční prostředky na účet </w:t>
      </w:r>
      <w:r w:rsidR="00313C0F" w:rsidRPr="00313C0F">
        <w:rPr>
          <w:rFonts w:eastAsia="Arial Unicode MS"/>
          <w:lang w:eastAsia="cs-CZ"/>
        </w:rPr>
        <w:t>poskytovatele, ze kterého dotaci obdržel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313C0F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1, </w:t>
      </w:r>
      <w:r w:rsidRPr="0096502F">
        <w:rPr>
          <w:rFonts w:eastAsia="Arial Unicode MS"/>
          <w:lang w:eastAsia="cs-CZ"/>
        </w:rPr>
        <w:t xml:space="preserve">a to do </w:t>
      </w:r>
      <w:r w:rsidR="00313C0F">
        <w:rPr>
          <w:rFonts w:eastAsia="Arial Unicode MS"/>
          <w:lang w:eastAsia="cs-CZ"/>
        </w:rPr>
        <w:t>15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313C0F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13C0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13C0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0E4928E2" w:rsidR="008F0B23" w:rsidRPr="0096502F" w:rsidRDefault="008F0B23" w:rsidP="00313C0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="00334FD3">
        <w:rPr>
          <w:rFonts w:eastAsia="Arial Unicode MS"/>
          <w:lang w:eastAsia="cs-CZ"/>
        </w:rPr>
        <w:t>20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</w:t>
      </w:r>
      <w:r w:rsidR="009871C8" w:rsidRPr="0096502F">
        <w:rPr>
          <w:rFonts w:eastAsia="Arial Unicode MS"/>
          <w:lang w:eastAsia="cs-CZ"/>
        </w:rPr>
        <w:t xml:space="preserve">změnu </w:t>
      </w:r>
      <w:r w:rsidR="009871C8">
        <w:rPr>
          <w:rFonts w:eastAsia="Arial Unicode MS"/>
          <w:lang w:eastAsia="cs-CZ"/>
        </w:rPr>
        <w:t>oprávněné osoby</w:t>
      </w:r>
      <w:r w:rsidR="009871C8" w:rsidRPr="0096502F">
        <w:rPr>
          <w:rFonts w:eastAsia="Arial Unicode MS"/>
          <w:lang w:eastAsia="cs-CZ"/>
        </w:rPr>
        <w:t xml:space="preserve"> příjemce, změnu vlastnického vztahu příjemce k věci, na niž se dotace poskytuje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42664A3D" w:rsidR="008F0B23" w:rsidRPr="0096502F" w:rsidRDefault="008F0B23" w:rsidP="00313C0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</w:t>
      </w:r>
      <w:r w:rsidR="009871C8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</w:t>
      </w:r>
      <w:r w:rsidR="009871C8" w:rsidRPr="0096502F">
        <w:rPr>
          <w:rFonts w:eastAsia="Arial Unicode MS"/>
          <w:lang w:eastAsia="cs-CZ"/>
        </w:rPr>
        <w:t>aby</w:t>
      </w:r>
      <w:r w:rsidR="009871C8">
        <w:rPr>
          <w:rFonts w:eastAsia="Arial Unicode MS"/>
          <w:lang w:eastAsia="cs-CZ"/>
        </w:rPr>
        <w:t> </w:t>
      </w:r>
      <w:r w:rsidR="009871C8" w:rsidRPr="0096502F">
        <w:rPr>
          <w:rFonts w:eastAsia="Arial Unicode MS"/>
          <w:lang w:eastAsia="cs-CZ"/>
        </w:rPr>
        <w:t xml:space="preserve">práva a povinnosti ze smlouvy přešly na </w:t>
      </w:r>
      <w:r w:rsidR="009871C8">
        <w:rPr>
          <w:rFonts w:eastAsia="Arial Unicode MS"/>
          <w:lang w:eastAsia="cs-CZ"/>
        </w:rPr>
        <w:t xml:space="preserve">nového vlastníka </w:t>
      </w:r>
      <w:r w:rsidR="009871C8" w:rsidRPr="0096502F">
        <w:rPr>
          <w:rFonts w:eastAsia="Arial Unicode MS"/>
          <w:lang w:eastAsia="cs-CZ"/>
        </w:rPr>
        <w:t>věci, na niž se dotace poskytuje</w:t>
      </w:r>
      <w:r w:rsidR="009871C8">
        <w:rPr>
          <w:rFonts w:eastAsia="Arial Unicode MS"/>
          <w:lang w:eastAsia="cs-CZ"/>
        </w:rPr>
        <w:t>,</w:t>
      </w:r>
      <w:r w:rsidR="009871C8" w:rsidRPr="0096502F">
        <w:rPr>
          <w:rFonts w:eastAsia="Arial Unicode MS"/>
          <w:lang w:eastAsia="cs-CZ"/>
        </w:rPr>
        <w:t xml:space="preserve"> nebo</w:t>
      </w:r>
      <w:r w:rsidR="009871C8">
        <w:rPr>
          <w:rFonts w:eastAsia="Arial Unicode MS"/>
          <w:lang w:eastAsia="cs-CZ"/>
        </w:rPr>
        <w:t> </w:t>
      </w:r>
      <w:r w:rsidR="009871C8" w:rsidRPr="0096502F">
        <w:rPr>
          <w:rFonts w:eastAsia="Arial Unicode MS"/>
          <w:lang w:eastAsia="cs-CZ"/>
        </w:rPr>
        <w:t>podat návrh na ukončení smlouvy.</w:t>
      </w:r>
    </w:p>
    <w:p w14:paraId="6994C3B9" w14:textId="4070F1E3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7FC76B1" w14:textId="77777777" w:rsidR="002322CA" w:rsidRPr="0096502F" w:rsidRDefault="002322CA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3E8675B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  <w:r w:rsidR="00334FD3">
        <w:rPr>
          <w:rFonts w:eastAsia="Times New Roman"/>
          <w:lang w:eastAsia="cs-CZ"/>
        </w:rPr>
        <w:t xml:space="preserve">   </w:t>
      </w:r>
    </w:p>
    <w:p w14:paraId="104231F3" w14:textId="3B624D5A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453E427F" w14:textId="77777777" w:rsidR="002322CA" w:rsidRPr="000717F9" w:rsidRDefault="002322CA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BF4E6B2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FF4BE7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FF4BE7">
        <w:rPr>
          <w:rFonts w:eastAsia="Times New Roman"/>
          <w:bCs/>
          <w:lang w:eastAsia="cs-CZ"/>
        </w:rPr>
        <w:t xml:space="preserve"> 10, 11,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3AD019F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FF4BE7">
        <w:rPr>
          <w:rFonts w:eastAsia="Times New Roman"/>
          <w:bCs/>
          <w:lang w:eastAsia="cs-CZ"/>
        </w:rPr>
        <w:t xml:space="preserve"> 4, </w:t>
      </w:r>
      <w:r w:rsidRPr="00B37E02">
        <w:rPr>
          <w:rFonts w:eastAsia="Times New Roman"/>
          <w:bCs/>
          <w:lang w:eastAsia="cs-CZ"/>
        </w:rPr>
        <w:t>7</w:t>
      </w:r>
      <w:r w:rsidR="00FF4BE7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1E0B5470" w:rsidR="008F0B23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</w:t>
      </w:r>
      <w:r w:rsidR="00DA280B">
        <w:rPr>
          <w:rFonts w:eastAsia="Times New Roman"/>
          <w:bCs/>
          <w:lang w:eastAsia="cs-CZ"/>
        </w:rPr>
        <w:br/>
      </w:r>
      <w:r w:rsidRPr="00B37E02">
        <w:rPr>
          <w:rFonts w:eastAsia="Times New Roman"/>
          <w:bCs/>
          <w:lang w:eastAsia="cs-CZ"/>
        </w:rPr>
        <w:t>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38929FAA" w:rsidR="008F0B23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="00FF4BE7">
        <w:rPr>
          <w:rFonts w:eastAsia="Times New Roman"/>
          <w:bCs/>
          <w:lang w:eastAsia="cs-CZ"/>
        </w:rPr>
        <w:t>,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FF4BE7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735CA354" w14:textId="77777777" w:rsidR="00974CC5" w:rsidRPr="00974CC5" w:rsidRDefault="00974CC5" w:rsidP="00974CC5">
      <w:pPr>
        <w:pStyle w:val="Odstavecseseznamem"/>
        <w:rPr>
          <w:rFonts w:eastAsia="Times New Roman"/>
          <w:bCs/>
          <w:lang w:eastAsia="cs-CZ"/>
        </w:rPr>
      </w:pPr>
    </w:p>
    <w:p w14:paraId="6C041313" w14:textId="77777777" w:rsidR="00974CC5" w:rsidRPr="008721B5" w:rsidRDefault="00974CC5" w:rsidP="00974CC5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4EABA926" w14:textId="0089E2F3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57A1F00C" w14:textId="7A82D66C" w:rsidR="00974CC5" w:rsidRDefault="00974CC5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0868D3D1" w14:textId="77777777" w:rsidR="00974CC5" w:rsidRPr="00F40594" w:rsidRDefault="00974CC5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5B3B98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B3B98">
        <w:rPr>
          <w:rFonts w:eastAsia="Times New Roman"/>
          <w:b/>
          <w:bCs/>
          <w:lang w:eastAsia="cs-CZ"/>
        </w:rPr>
        <w:t>Čl. I</w:t>
      </w:r>
      <w:r w:rsidR="002C3670" w:rsidRPr="005B3B98">
        <w:rPr>
          <w:rFonts w:eastAsia="Times New Roman"/>
          <w:b/>
          <w:bCs/>
          <w:lang w:eastAsia="cs-CZ"/>
        </w:rPr>
        <w:t>X</w:t>
      </w:r>
      <w:r w:rsidRPr="005B3B98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5B3B98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50DB0916" w14:textId="77777777" w:rsidR="00D4754B" w:rsidRPr="00F40594" w:rsidRDefault="00D4754B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B81739A" w14:textId="77777777" w:rsidR="008D2C71" w:rsidRDefault="008D2C71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6B5C023" w14:textId="7B970400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107D806C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</w:t>
      </w:r>
      <w:r w:rsidR="00D4754B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10F2282E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C617E2">
        <w:rPr>
          <w:rStyle w:val="Znakapoznpodarou"/>
          <w:rFonts w:eastAsia="Times New Roman"/>
          <w:lang w:eastAsia="cs-CZ"/>
        </w:rPr>
        <w:footnoteReference w:id="1"/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15DEBE86" w14:textId="1A944E00" w:rsidR="008D2C71" w:rsidRDefault="008D2C71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468105CE" w14:textId="77777777" w:rsidR="002322CA" w:rsidRPr="0096502F" w:rsidRDefault="002322CA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0BDD4755" w:rsidR="008F0B23" w:rsidRPr="00D454DF" w:rsidRDefault="008F0B23" w:rsidP="00D454D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77777777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 w:rsidRPr="00AA0059">
        <w:rPr>
          <w:rFonts w:eastAsia="Times New Roman"/>
          <w:lang w:eastAsia="cs-CZ"/>
        </w:rPr>
        <w:t xml:space="preserve">ve 3 vyhotoveních, z nichž 2 obdrží poskytovatel a 1 </w:t>
      </w:r>
      <w:r w:rsidRPr="0096502F">
        <w:rPr>
          <w:rFonts w:eastAsia="Times New Roman"/>
          <w:lang w:eastAsia="cs-CZ"/>
        </w:rPr>
        <w:t>příjemce.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55E62B1D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A10ED65" w14:textId="7670312D" w:rsidR="00974CC5" w:rsidRDefault="00974CC5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1B845B" w14:textId="77777777" w:rsidR="00974CC5" w:rsidRPr="0096502F" w:rsidRDefault="00974CC5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D6C3171" w14:textId="05AEE8C9" w:rsidR="00DA280B" w:rsidRPr="00A76741" w:rsidRDefault="008F0B23" w:rsidP="00934BBF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19C1BE26" w14:textId="77777777" w:rsidR="00DA280B" w:rsidRPr="0096502F" w:rsidRDefault="00DA280B" w:rsidP="00934BBF">
      <w:p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</w:p>
    <w:p w14:paraId="26F00006" w14:textId="1B67E013" w:rsidR="008F0B23" w:rsidRPr="0096502F" w:rsidRDefault="002322CA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písm. c) příp. d) zákona č. 129/2000 Sb., o krajích (krajské zřízení), ve znění pozdějších předpisů, Zastupitelstvo Karlovarského kraje usnesením č. ZK</w:t>
      </w:r>
      <w:r w:rsidR="00DA280B">
        <w:rPr>
          <w:rFonts w:eastAsia="Times New Roman"/>
          <w:lang w:eastAsia="cs-CZ"/>
        </w:rPr>
        <w:t xml:space="preserve"> 241/05/23 </w:t>
      </w:r>
      <w:r w:rsidRPr="002B67D8">
        <w:rPr>
          <w:rFonts w:eastAsia="Times New Roman"/>
          <w:lang w:eastAsia="cs-CZ"/>
        </w:rPr>
        <w:t xml:space="preserve">ze dne </w:t>
      </w:r>
      <w:r w:rsidR="00DA280B">
        <w:rPr>
          <w:rFonts w:eastAsia="Times New Roman"/>
          <w:lang w:eastAsia="cs-CZ"/>
        </w:rPr>
        <w:t>15. 5. 2023.</w:t>
      </w:r>
    </w:p>
    <w:p w14:paraId="1890E3D6" w14:textId="38A87F70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8CFDA8D" w14:textId="77777777" w:rsidR="00DA280B" w:rsidRDefault="00DA280B" w:rsidP="008F0B23">
      <w:pPr>
        <w:spacing w:after="0" w:line="240" w:lineRule="auto"/>
        <w:rPr>
          <w:rFonts w:eastAsia="Times New Roman"/>
          <w:lang w:eastAsia="cs-CZ"/>
        </w:rPr>
      </w:pPr>
    </w:p>
    <w:p w14:paraId="590860E8" w14:textId="77777777" w:rsidR="008D2C71" w:rsidRDefault="008D2C71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DA280B">
        <w:trPr>
          <w:trHeight w:val="871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dne</w:t>
            </w:r>
            <w:proofErr w:type="gramStart"/>
            <w:r>
              <w:rPr>
                <w:rFonts w:eastAsia="Times New Roman"/>
                <w:lang w:eastAsia="cs-CZ"/>
              </w:rPr>
              <w:t xml:space="preserve">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</w:t>
            </w:r>
            <w:proofErr w:type="gramEnd"/>
            <w:r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dne</w:t>
            </w:r>
            <w:proofErr w:type="gramStart"/>
            <w:r>
              <w:rPr>
                <w:rFonts w:eastAsia="Times New Roman"/>
                <w:lang w:eastAsia="cs-CZ"/>
              </w:rPr>
              <w:t xml:space="preserve">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</w:t>
            </w:r>
            <w:proofErr w:type="gramEnd"/>
            <w:r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8F0B23" w:rsidRPr="0096502F" w14:paraId="16D7887C" w14:textId="77777777" w:rsidTr="008D2C71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CDFB6A2" w14:textId="120B1284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4B83B585" w14:textId="4DD2037B" w:rsidR="008F0B23" w:rsidRPr="0096502F" w:rsidRDefault="00DA280B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8F0B23"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9441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54C40D" w14:textId="783526B3" w:rsidR="00DA280B" w:rsidRDefault="00DA280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20C2A" w14:textId="77777777" w:rsidR="00DA280B" w:rsidRDefault="00DA28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  <w:footnote w:id="1">
    <w:p w14:paraId="1488A6C2" w14:textId="2405F535" w:rsidR="00C617E2" w:rsidRDefault="00C617E2">
      <w:pPr>
        <w:pStyle w:val="Textpoznpodarou"/>
      </w:pPr>
      <w:r>
        <w:rPr>
          <w:rStyle w:val="Znakapoznpodarou"/>
        </w:rPr>
        <w:footnoteRef/>
      </w:r>
      <w:r>
        <w:t xml:space="preserve"> Nařízení </w:t>
      </w:r>
      <w:r w:rsidRPr="008721B5">
        <w:t>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43AEE28A"/>
    <w:lvl w:ilvl="0" w:tplc="908E3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F0084"/>
    <w:multiLevelType w:val="hybridMultilevel"/>
    <w:tmpl w:val="12907F34"/>
    <w:lvl w:ilvl="0" w:tplc="9C4CB47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E45963"/>
    <w:multiLevelType w:val="hybridMultilevel"/>
    <w:tmpl w:val="B66E2BB2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2722D"/>
    <w:multiLevelType w:val="hybridMultilevel"/>
    <w:tmpl w:val="EBB29112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7"/>
  </w:num>
  <w:num w:numId="5">
    <w:abstractNumId w:val="35"/>
  </w:num>
  <w:num w:numId="6">
    <w:abstractNumId w:val="0"/>
  </w:num>
  <w:num w:numId="7">
    <w:abstractNumId w:val="1"/>
  </w:num>
  <w:num w:numId="8">
    <w:abstractNumId w:val="28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5"/>
  </w:num>
  <w:num w:numId="20">
    <w:abstractNumId w:val="20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7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29"/>
  </w:num>
  <w:num w:numId="34">
    <w:abstractNumId w:val="6"/>
  </w:num>
  <w:num w:numId="35">
    <w:abstractNumId w:val="31"/>
  </w:num>
  <w:num w:numId="36">
    <w:abstractNumId w:val="14"/>
  </w:num>
  <w:num w:numId="37">
    <w:abstractNumId w:val="23"/>
  </w:num>
  <w:num w:numId="38">
    <w:abstractNumId w:val="19"/>
  </w:num>
  <w:num w:numId="39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516C1"/>
    <w:rsid w:val="00062252"/>
    <w:rsid w:val="0006239A"/>
    <w:rsid w:val="00063C82"/>
    <w:rsid w:val="00063EAF"/>
    <w:rsid w:val="000717F9"/>
    <w:rsid w:val="000858A0"/>
    <w:rsid w:val="000C12F2"/>
    <w:rsid w:val="000C5E25"/>
    <w:rsid w:val="000C76F4"/>
    <w:rsid w:val="000D37F3"/>
    <w:rsid w:val="000E474D"/>
    <w:rsid w:val="0010235E"/>
    <w:rsid w:val="00112631"/>
    <w:rsid w:val="00117A22"/>
    <w:rsid w:val="0015202A"/>
    <w:rsid w:val="001817D7"/>
    <w:rsid w:val="0018688E"/>
    <w:rsid w:val="001A3CCC"/>
    <w:rsid w:val="001A69A9"/>
    <w:rsid w:val="001E376B"/>
    <w:rsid w:val="00202B74"/>
    <w:rsid w:val="002322CA"/>
    <w:rsid w:val="00244366"/>
    <w:rsid w:val="00247572"/>
    <w:rsid w:val="00251951"/>
    <w:rsid w:val="002525C2"/>
    <w:rsid w:val="00254964"/>
    <w:rsid w:val="00266773"/>
    <w:rsid w:val="00270046"/>
    <w:rsid w:val="00276885"/>
    <w:rsid w:val="00281566"/>
    <w:rsid w:val="0029215C"/>
    <w:rsid w:val="00294738"/>
    <w:rsid w:val="002B0D0E"/>
    <w:rsid w:val="002B67D8"/>
    <w:rsid w:val="002C3670"/>
    <w:rsid w:val="002E4E97"/>
    <w:rsid w:val="00300D1B"/>
    <w:rsid w:val="00313C0F"/>
    <w:rsid w:val="00317371"/>
    <w:rsid w:val="00320C36"/>
    <w:rsid w:val="00325592"/>
    <w:rsid w:val="00334FD3"/>
    <w:rsid w:val="0035536A"/>
    <w:rsid w:val="003767E2"/>
    <w:rsid w:val="00385583"/>
    <w:rsid w:val="00393659"/>
    <w:rsid w:val="003B6DE9"/>
    <w:rsid w:val="003D28B6"/>
    <w:rsid w:val="003D6BBB"/>
    <w:rsid w:val="003E09E8"/>
    <w:rsid w:val="003E2204"/>
    <w:rsid w:val="003F13DE"/>
    <w:rsid w:val="00401FF7"/>
    <w:rsid w:val="00404DE1"/>
    <w:rsid w:val="004206B1"/>
    <w:rsid w:val="0046096F"/>
    <w:rsid w:val="00464145"/>
    <w:rsid w:val="00476C23"/>
    <w:rsid w:val="00484407"/>
    <w:rsid w:val="004A4939"/>
    <w:rsid w:val="004B7CA6"/>
    <w:rsid w:val="004F3493"/>
    <w:rsid w:val="004F5509"/>
    <w:rsid w:val="005178F2"/>
    <w:rsid w:val="00517DCD"/>
    <w:rsid w:val="005363C2"/>
    <w:rsid w:val="00560154"/>
    <w:rsid w:val="005865FA"/>
    <w:rsid w:val="005B1B85"/>
    <w:rsid w:val="005B3B98"/>
    <w:rsid w:val="005C4E9D"/>
    <w:rsid w:val="005D78CC"/>
    <w:rsid w:val="005E0564"/>
    <w:rsid w:val="005E6AC0"/>
    <w:rsid w:val="00610ADC"/>
    <w:rsid w:val="0061471F"/>
    <w:rsid w:val="00640D63"/>
    <w:rsid w:val="00686ECC"/>
    <w:rsid w:val="00690D0E"/>
    <w:rsid w:val="006A6B01"/>
    <w:rsid w:val="006C53A1"/>
    <w:rsid w:val="006C5BF1"/>
    <w:rsid w:val="007018CB"/>
    <w:rsid w:val="0071229F"/>
    <w:rsid w:val="0072095D"/>
    <w:rsid w:val="00727783"/>
    <w:rsid w:val="007A26B7"/>
    <w:rsid w:val="007C424F"/>
    <w:rsid w:val="007D5082"/>
    <w:rsid w:val="008076E0"/>
    <w:rsid w:val="00815C2F"/>
    <w:rsid w:val="00820862"/>
    <w:rsid w:val="008466C6"/>
    <w:rsid w:val="0086380E"/>
    <w:rsid w:val="008721B5"/>
    <w:rsid w:val="00875623"/>
    <w:rsid w:val="00886B16"/>
    <w:rsid w:val="00893799"/>
    <w:rsid w:val="008A45C6"/>
    <w:rsid w:val="008B0D16"/>
    <w:rsid w:val="008B4CCF"/>
    <w:rsid w:val="008C6878"/>
    <w:rsid w:val="008D2C71"/>
    <w:rsid w:val="008D4B53"/>
    <w:rsid w:val="008F0B23"/>
    <w:rsid w:val="00933D4D"/>
    <w:rsid w:val="00934BBF"/>
    <w:rsid w:val="00954083"/>
    <w:rsid w:val="00972169"/>
    <w:rsid w:val="00974CC5"/>
    <w:rsid w:val="009871C8"/>
    <w:rsid w:val="009929D2"/>
    <w:rsid w:val="009C6F84"/>
    <w:rsid w:val="00A06B02"/>
    <w:rsid w:val="00A22E47"/>
    <w:rsid w:val="00A26C1F"/>
    <w:rsid w:val="00A40C1C"/>
    <w:rsid w:val="00A47F4B"/>
    <w:rsid w:val="00A562B2"/>
    <w:rsid w:val="00A70B77"/>
    <w:rsid w:val="00A76741"/>
    <w:rsid w:val="00AA0059"/>
    <w:rsid w:val="00AD6B23"/>
    <w:rsid w:val="00B449D0"/>
    <w:rsid w:val="00B64FA1"/>
    <w:rsid w:val="00B766F2"/>
    <w:rsid w:val="00BA0C3B"/>
    <w:rsid w:val="00BC1DA4"/>
    <w:rsid w:val="00BD446B"/>
    <w:rsid w:val="00C617E2"/>
    <w:rsid w:val="00C707E0"/>
    <w:rsid w:val="00C75871"/>
    <w:rsid w:val="00C8481B"/>
    <w:rsid w:val="00C91027"/>
    <w:rsid w:val="00CC11A9"/>
    <w:rsid w:val="00CD7089"/>
    <w:rsid w:val="00CF660D"/>
    <w:rsid w:val="00D3583E"/>
    <w:rsid w:val="00D454DF"/>
    <w:rsid w:val="00D4754B"/>
    <w:rsid w:val="00D72289"/>
    <w:rsid w:val="00D733D2"/>
    <w:rsid w:val="00D80E8F"/>
    <w:rsid w:val="00D9675B"/>
    <w:rsid w:val="00DA280B"/>
    <w:rsid w:val="00DB55D3"/>
    <w:rsid w:val="00DC708E"/>
    <w:rsid w:val="00DE7EC1"/>
    <w:rsid w:val="00DF5E91"/>
    <w:rsid w:val="00DF7ECE"/>
    <w:rsid w:val="00E1184B"/>
    <w:rsid w:val="00E27C53"/>
    <w:rsid w:val="00E35F29"/>
    <w:rsid w:val="00E75F9D"/>
    <w:rsid w:val="00EE5502"/>
    <w:rsid w:val="00EF4C48"/>
    <w:rsid w:val="00EF57A1"/>
    <w:rsid w:val="00F0440D"/>
    <w:rsid w:val="00F04A51"/>
    <w:rsid w:val="00F069E7"/>
    <w:rsid w:val="00F32065"/>
    <w:rsid w:val="00F40594"/>
    <w:rsid w:val="00F54944"/>
    <w:rsid w:val="00F55AB0"/>
    <w:rsid w:val="00F73D78"/>
    <w:rsid w:val="00FA04D0"/>
    <w:rsid w:val="00FA63A9"/>
    <w:rsid w:val="00FF4BE7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786F58-73AB-488F-B35C-764D824F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Tymrová Gabriela</cp:lastModifiedBy>
  <cp:revision>2</cp:revision>
  <cp:lastPrinted>2023-08-24T10:36:00Z</cp:lastPrinted>
  <dcterms:created xsi:type="dcterms:W3CDTF">2023-09-25T05:52:00Z</dcterms:created>
  <dcterms:modified xsi:type="dcterms:W3CDTF">2023-09-25T05:52:00Z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