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3825240</wp:posOffset>
            </wp:positionH>
            <wp:positionV relativeFrom="paragraph">
              <wp:posOffset>12700</wp:posOffset>
            </wp:positionV>
            <wp:extent cx="1060450" cy="597535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60450" cy="5975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00"/>
        <w:ind w:left="0" w:right="0" w:firstLine="0"/>
        <w:jc w:val="left"/>
      </w:pPr>
      <w:bookmarkStart w:id="0" w:name="bookmark0"/>
      <w:bookmarkStart w:id="1" w:name="bookmark1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Krajská správa • a údržba silníc Vysočiny</w:t>
      </w:r>
      <w:bookmarkEnd w:id="0"/>
      <w:bookmarkEnd w:id="1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Zajištění výkonu technického dozoru stavebníka na staveništi akce: III/12920 Leskovice, most ev. č. 12920-1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1 k SMLOUVĚ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zajištění výkonu technického dozoru stavebníka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staveništi „III/12920 Leskovice, most ev. č. 12920-1, ze dne 27. 2. 2023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83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</w:r>
    </w:p>
    <w:tbl>
      <w:tblPr>
        <w:tblOverlap w:val="never"/>
        <w:jc w:val="left"/>
        <w:tblLayout w:type="fixed"/>
      </w:tblPr>
      <w:tblGrid>
        <w:gridCol w:w="1867"/>
        <w:gridCol w:w="6533"/>
      </w:tblGrid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 strany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</w:tbl>
    <w:p>
      <w:pPr>
        <w:widowControl w:val="0"/>
        <w:spacing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Osoby pověřené jednat jménem objednatele ve věcech smluvních:</w:t>
      </w:r>
    </w:p>
    <w:tbl>
      <w:tblPr>
        <w:tblOverlap w:val="never"/>
        <w:jc w:val="left"/>
        <w:tblLayout w:type="fixed"/>
      </w:tblPr>
      <w:tblGrid>
        <w:gridCol w:w="1867"/>
        <w:gridCol w:w="6533"/>
      </w:tblGrid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</w:tbl>
    <w:p>
      <w:pPr>
        <w:widowControl w:val="0"/>
        <w:spacing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tbl>
      <w:tblPr>
        <w:tblOverlap w:val="never"/>
        <w:jc w:val="left"/>
        <w:tblLayout w:type="fixed"/>
      </w:tblPr>
      <w:tblGrid>
        <w:gridCol w:w="1867"/>
        <w:gridCol w:w="6533"/>
      </w:tblGrid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9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)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867"/>
        <w:gridCol w:w="6533"/>
      </w:tblGrid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Eduard Chalupa s.r.o.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Budovatelů 2617, 390 02 Tábor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Eduardem Chalupou, jednatelem</w:t>
            </w:r>
          </w:p>
        </w:tc>
      </w:tr>
    </w:tbl>
    <w:p>
      <w:pPr>
        <w:widowControl w:val="0"/>
        <w:spacing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Krajského soudu v Českých Budějovicích, oddíl C, vložka 31005 Osoby pověřené jednat jménem zhotovitele ve věcech</w:t>
      </w:r>
    </w:p>
    <w:tbl>
      <w:tblPr>
        <w:tblOverlap w:val="never"/>
        <w:jc w:val="left"/>
        <w:tblLayout w:type="fixed"/>
      </w:tblPr>
      <w:tblGrid>
        <w:gridCol w:w="1867"/>
        <w:gridCol w:w="6533"/>
      </w:tblGrid>
      <w:tr>
        <w:trPr>
          <w:trHeight w:val="53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smluvních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10820604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CZ10820604</w:t>
            </w:r>
          </w:p>
        </w:tc>
      </w:tr>
    </w:tbl>
    <w:p>
      <w:pPr>
        <w:widowControl w:val="0"/>
        <w:spacing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tbl>
      <w:tblPr>
        <w:tblOverlap w:val="never"/>
        <w:jc w:val="left"/>
        <w:tblLayout w:type="fixed"/>
      </w:tblPr>
      <w:tblGrid>
        <w:gridCol w:w="1867"/>
        <w:gridCol w:w="6533"/>
      </w:tblGrid>
      <w:tr>
        <w:trPr>
          <w:trHeight w:val="60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(dále jen „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TDS“)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(společně také jako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„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 strany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“ nebo jednotlivě „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 strana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“)</w:t>
            </w:r>
          </w:p>
        </w:tc>
      </w:tr>
    </w:tbl>
    <w:p>
      <w:pPr>
        <w:widowControl w:val="0"/>
        <w:spacing w:after="43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tomto Dodatku č. 1 z důvodu složitosti stavby a množství přebíraných zakrývaných konstrukcí, nutnosti většího počtu návštěv TDS na staveništi a s tím spojeného zpracování dokumentace v kanceláři oproti předpokládanému rozsahu hodin dle Kalkulace odměny TDS uvedené v Příloze č. 1 Smlouvy o zajištění výkonu technického dozoru stavebníka na staveništi č. objednatele 030/2023-KSÚSV ze dne 27. 2. 2023.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sectPr>
          <w:headerReference w:type="default" r:id="rId7"/>
          <w:footerReference w:type="default" r:id="rId8"/>
          <w:footnotePr>
            <w:pos w:val="pageBottom"/>
            <w:numFmt w:val="decimal"/>
            <w:numRestart w:val="continuous"/>
          </w:footnotePr>
          <w:pgSz w:w="12240" w:h="15840"/>
          <w:pgMar w:top="336" w:left="1157" w:right="725" w:bottom="965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2.2.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souvislosti s navýšením počtu hodin výkonu TDS dochází k navýšení celkové ceny díla dle cen uvedených v odst. 5.1. b) Výkon TDS - práce spojené s prováděním stavby a v souladu s platnými Pravidly Rady Kraje Vysočina pro zadávání veřejných zakázek takto:</w:t>
      </w:r>
    </w:p>
    <w:p>
      <w:pPr>
        <w:pStyle w:val="Style2"/>
        <w:keepNext/>
        <w:keepLines/>
        <w:framePr w:w="3682" w:h="902" w:wrap="none" w:hAnchor="page" w:x="1172" w:y="-1462"/>
        <w:widowControl w:val="0"/>
        <w:shd w:val="clear" w:color="auto" w:fill="auto"/>
        <w:bidi w:val="0"/>
        <w:spacing w:before="0" w:after="0" w:line="432" w:lineRule="atLeast"/>
        <w:ind w:left="0" w:right="0" w:firstLine="0"/>
        <w:jc w:val="left"/>
      </w:pPr>
      <w:bookmarkStart w:id="2" w:name="bookmark2"/>
      <w:bookmarkStart w:id="3" w:name="bookmark3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Krajská správa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drawing>
          <wp:inline>
            <wp:extent cx="560705" cy="286385"/>
            <wp:docPr id="9" name="Picut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560705" cy="28638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a údržba silníc Vysočiny</w:t>
      </w:r>
      <w:bookmarkEnd w:id="2"/>
      <w:bookmarkEnd w:id="3"/>
    </w:p>
    <w:p>
      <w:pPr>
        <w:pStyle w:val="Style23"/>
        <w:keepNext/>
        <w:keepLines/>
        <w:framePr w:w="1512" w:h="658" w:wrap="none" w:hAnchor="page" w:x="6015" w:y="-14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572758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g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sfdi</w:t>
      </w:r>
      <w:bookmarkEnd w:id="4"/>
      <w:bookmarkEnd w:id="5"/>
    </w:p>
    <w:p>
      <w:pPr>
        <w:pStyle w:val="Style8"/>
        <w:keepNext w:val="0"/>
        <w:keepLines w:val="0"/>
        <w:framePr w:w="4742" w:h="413" w:wrap="none" w:hAnchor="page" w:x="1268" w:y="-4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Zajištění výkonu technického dozoru stavebníka na staveništi akce: III/12920 Leskovice, most ev. č. 12920-1</w:t>
      </w:r>
    </w:p>
    <w:p>
      <w:pPr>
        <w:pStyle w:val="Style26"/>
        <w:keepNext/>
        <w:keepLines/>
        <w:framePr w:w="2630" w:h="269" w:wrap="none" w:hAnchor="page" w:x="1868" w:y="2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cena díla bez DPH</w:t>
      </w:r>
      <w:bookmarkEnd w:id="6"/>
      <w:bookmarkEnd w:id="7"/>
    </w:p>
    <w:p>
      <w:pPr>
        <w:pStyle w:val="Style12"/>
        <w:keepNext w:val="0"/>
        <w:keepLines w:val="0"/>
        <w:framePr w:w="1906" w:h="274" w:wrap="none" w:hAnchor="page" w:x="1868" w:y="6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Vícepráce max. 30%</w:t>
      </w:r>
    </w:p>
    <w:p>
      <w:pPr>
        <w:pStyle w:val="Style26"/>
        <w:keepNext/>
        <w:keepLines/>
        <w:framePr w:w="1378" w:h="629" w:wrap="none" w:hAnchor="page" w:x="8348" w:y="29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140 520,00 Kč</w:t>
      </w:r>
      <w:bookmarkEnd w:id="8"/>
      <w:bookmarkEnd w:id="9"/>
    </w:p>
    <w:p>
      <w:pPr>
        <w:pStyle w:val="Style12"/>
        <w:keepNext w:val="0"/>
        <w:keepLines w:val="0"/>
        <w:framePr w:w="1378" w:h="629" w:wrap="none" w:hAnchor="page" w:x="8348" w:y="2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42 156,00 Kč</w:t>
      </w:r>
    </w:p>
    <w:p>
      <w:pPr>
        <w:pStyle w:val="Style12"/>
        <w:keepNext w:val="0"/>
        <w:keepLines w:val="0"/>
        <w:framePr w:w="398" w:h="269" w:wrap="none" w:hAnchor="page" w:x="1158" w:y="21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2.3.</w:t>
      </w:r>
    </w:p>
    <w:p>
      <w:pPr>
        <w:pStyle w:val="Style26"/>
        <w:keepNext/>
        <w:keepLines/>
        <w:framePr w:w="4445" w:h="624" w:wrap="none" w:hAnchor="page" w:x="1868" w:y="99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Nově sjednaná cena dle Dodatku č. 1 bez DPH</w:t>
      </w:r>
      <w:bookmarkEnd w:id="10"/>
      <w:bookmarkEnd w:id="11"/>
    </w:p>
    <w:p>
      <w:pPr>
        <w:pStyle w:val="Style12"/>
        <w:keepNext w:val="0"/>
        <w:keepLines w:val="0"/>
        <w:framePr w:w="4445" w:h="624" w:wrap="none" w:hAnchor="page" w:x="1868" w:y="9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DPH 21%</w:t>
      </w:r>
    </w:p>
    <w:p>
      <w:pPr>
        <w:pStyle w:val="Style12"/>
        <w:keepNext w:val="0"/>
        <w:keepLines w:val="0"/>
        <w:framePr w:w="3149" w:h="274" w:wrap="none" w:hAnchor="page" w:x="1868" w:y="16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Nově sjednaná cena včetně DPH</w:t>
      </w:r>
    </w:p>
    <w:p>
      <w:pPr>
        <w:pStyle w:val="Style12"/>
        <w:keepNext w:val="0"/>
        <w:keepLines w:val="0"/>
        <w:framePr w:w="1392" w:h="970" w:wrap="none" w:hAnchor="page" w:x="8406" w:y="99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182 676,00 Kč</w:t>
      </w:r>
    </w:p>
    <w:p>
      <w:pPr>
        <w:pStyle w:val="Style12"/>
        <w:keepNext w:val="0"/>
        <w:keepLines w:val="0"/>
        <w:framePr w:w="1392" w:h="970" w:wrap="none" w:hAnchor="page" w:x="8406" w:y="99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38 361,96 Kč</w:t>
      </w:r>
    </w:p>
    <w:p>
      <w:pPr>
        <w:pStyle w:val="Style12"/>
        <w:keepNext w:val="0"/>
        <w:keepLines w:val="0"/>
        <w:framePr w:w="1392" w:h="970" w:wrap="none" w:hAnchor="page" w:x="8406" w:y="99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221 037,96 Kč</w:t>
      </w:r>
    </w:p>
    <w:p>
      <w:pPr>
        <w:pStyle w:val="Style12"/>
        <w:keepNext w:val="0"/>
        <w:keepLines w:val="0"/>
        <w:framePr w:w="8246" w:h="274" w:wrap="none" w:hAnchor="page" w:x="1868" w:y="21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Ostatní ujednání Smlouvy nedotčené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Dodatkem č. 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zůstávají v platnosti v původním znění.</w:t>
      </w:r>
    </w:p>
    <w:p>
      <w:pPr>
        <w:pStyle w:val="Style12"/>
        <w:keepNext w:val="0"/>
        <w:keepLines w:val="0"/>
        <w:framePr w:w="1632" w:h="514" w:wrap="none" w:hAnchor="page" w:x="5521" w:y="29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</w:p>
    <w:p>
      <w:pPr>
        <w:pStyle w:val="Style12"/>
        <w:keepNext w:val="0"/>
        <w:keepLines w:val="0"/>
        <w:framePr w:w="1632" w:h="514" w:wrap="none" w:hAnchor="page" w:x="5521" w:y="29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</w:p>
    <w:p>
      <w:pPr>
        <w:pStyle w:val="Style12"/>
        <w:keepNext w:val="0"/>
        <w:keepLines w:val="0"/>
        <w:framePr w:w="10368" w:h="3403" w:wrap="none" w:hAnchor="page" w:x="1143" w:y="3554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nedílnou součástí stávající smlouvy.</w:t>
      </w:r>
    </w:p>
    <w:p>
      <w:pPr>
        <w:pStyle w:val="Style12"/>
        <w:keepNext w:val="0"/>
        <w:keepLines w:val="0"/>
        <w:framePr w:w="10368" w:h="3403" w:wrap="none" w:hAnchor="page" w:x="1143" w:y="3554"/>
        <w:widowControl w:val="0"/>
        <w:shd w:val="clear" w:color="auto" w:fill="auto"/>
        <w:tabs>
          <w:tab w:pos="686" w:val="left"/>
        </w:tabs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3.2.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vyhotoven v elektronické podobě, přičemž obě smluvní strany obdrží její elektronický originál.</w:t>
      </w:r>
    </w:p>
    <w:p>
      <w:pPr>
        <w:pStyle w:val="Style12"/>
        <w:keepNext w:val="0"/>
        <w:keepLines w:val="0"/>
        <w:framePr w:w="10368" w:h="3403" w:wrap="none" w:hAnchor="page" w:x="1143" w:y="3554"/>
        <w:widowControl w:val="0"/>
        <w:numPr>
          <w:ilvl w:val="0"/>
          <w:numId w:val="1"/>
        </w:numPr>
        <w:shd w:val="clear" w:color="auto" w:fill="auto"/>
        <w:tabs>
          <w:tab w:pos="734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1 je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platný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>
      <w:pPr>
        <w:pStyle w:val="Style12"/>
        <w:keepNext w:val="0"/>
        <w:keepLines w:val="0"/>
        <w:framePr w:w="10368" w:h="3403" w:wrap="none" w:hAnchor="page" w:x="1143" w:y="3554"/>
        <w:widowControl w:val="0"/>
        <w:numPr>
          <w:ilvl w:val="0"/>
          <w:numId w:val="1"/>
        </w:numPr>
        <w:shd w:val="clear" w:color="auto" w:fill="auto"/>
        <w:tabs>
          <w:tab w:pos="715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1 je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účinný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jejího uveřejnění v registru smluv.</w:t>
      </w:r>
    </w:p>
    <w:p>
      <w:pPr>
        <w:pStyle w:val="Style12"/>
        <w:keepNext w:val="0"/>
        <w:keepLines w:val="0"/>
        <w:framePr w:w="10368" w:h="3403" w:wrap="none" w:hAnchor="page" w:x="1143" w:y="3554"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>
      <w:pPr>
        <w:pStyle w:val="Style12"/>
        <w:keepNext w:val="0"/>
        <w:keepLines w:val="0"/>
        <w:framePr w:w="10368" w:h="3403" w:wrap="none" w:hAnchor="page" w:x="1143" w:y="3554"/>
        <w:widowControl w:val="0"/>
        <w:numPr>
          <w:ilvl w:val="0"/>
          <w:numId w:val="1"/>
        </w:numPr>
        <w:shd w:val="clear" w:color="auto" w:fill="auto"/>
        <w:tabs>
          <w:tab w:pos="715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>
      <w:pPr>
        <w:pStyle w:val="Style12"/>
        <w:keepNext w:val="0"/>
        <w:keepLines w:val="0"/>
        <w:framePr w:w="10354" w:h="734" w:wrap="none" w:hAnchor="page" w:x="1158" w:y="77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4260850</wp:posOffset>
            </wp:positionH>
            <wp:positionV relativeFrom="margin">
              <wp:posOffset>-563245</wp:posOffset>
            </wp:positionV>
            <wp:extent cx="603250" cy="103505"/>
            <wp:wrapNone/>
            <wp:docPr id="10" name="Shap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03250" cy="1035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1674" w:left="1142" w:right="729" w:bottom="106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44" w:lineRule="exact"/>
        <w:rPr>
          <w:sz w:val="12"/>
          <w:szCs w:val="1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574" w:left="0" w:right="0" w:bottom="26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Táboře, dne: viz podpis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574" w:left="1992" w:right="3149" w:bottom="2606" w:header="0" w:footer="3" w:gutter="0"/>
          <w:cols w:num="2" w:space="2449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Jihlavě, dne: viz podpis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3" w:after="1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574" w:left="0" w:right="0" w:bottom="157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1264920</wp:posOffset>
                </wp:positionH>
                <wp:positionV relativeFrom="paragraph">
                  <wp:posOffset>12700</wp:posOffset>
                </wp:positionV>
                <wp:extent cx="780415" cy="265430"/>
                <wp:wrapSquare wrapText="bothSides"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0415" cy="2654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Eduard Chalupa jednatel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99.599999999999994pt;margin-top:1.pt;width:61.450000000000003pt;height:20.899999999999999pt;z-index:-12582937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Eduard Chalupa jednatel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56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Necid, ředitel organizace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56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</w:t>
      </w:r>
    </w:p>
    <w:sectPr>
      <w:footnotePr>
        <w:pos w:val="pageBottom"/>
        <w:numFmt w:val="decimal"/>
        <w:numRestart w:val="continuous"/>
      </w:footnotePr>
      <w:type w:val="continuous"/>
      <w:pgSz w:w="12240" w:h="15840"/>
      <w:pgMar w:top="1574" w:left="3221" w:right="730" w:bottom="1574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9445625</wp:posOffset>
              </wp:positionV>
              <wp:extent cx="600710" cy="91440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07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293.30000000000001pt;margin-top:743.75pt;width:47.299999999999997pt;height:7.2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9407525</wp:posOffset>
              </wp:positionV>
              <wp:extent cx="6577330" cy="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773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40.75pt;width:51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4605655</wp:posOffset>
              </wp:positionH>
              <wp:positionV relativeFrom="page">
                <wp:posOffset>786130</wp:posOffset>
              </wp:positionV>
              <wp:extent cx="2155190" cy="21336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55190" cy="2133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Číslo smlouvy objednatele: 030/2023-KSÚSV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Číslo smlouvy zhotovitele: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2.64999999999998pt;margin-top:61.899999999999999pt;width:169.69999999999999pt;height:16.8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Číslo smlouvy objednatele: 030/2023-KSÚSV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Číslo smlouvy zhotovitele: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1080135</wp:posOffset>
              </wp:positionV>
              <wp:extent cx="6577330" cy="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773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85.049999999999997pt;width:51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3"/>
      <w:numFmt w:val="decimal"/>
      <w:lvlText w:val="3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3A3D58"/>
      <w:sz w:val="30"/>
      <w:szCs w:val="30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Základní text (2)_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">
    <w:name w:val="Základní text (3)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3">
    <w:name w:val="Základní text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Titulek tabulky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Jiné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Nadpis #1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0F3B65"/>
      <w:sz w:val="48"/>
      <w:szCs w:val="48"/>
      <w:u w:val="none"/>
    </w:rPr>
  </w:style>
  <w:style w:type="character" w:customStyle="1" w:styleId="CharStyle27">
    <w:name w:val="Nadpis #3_"/>
    <w:basedOn w:val="DefaultParagraphFont"/>
    <w:link w:val="Style2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FFFFFF"/>
      <w:spacing w:after="50" w:line="300" w:lineRule="auto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color w:val="3A3D58"/>
      <w:sz w:val="30"/>
      <w:szCs w:val="30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FFFFFF"/>
      <w:spacing w:after="10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2">
    <w:name w:val="Základní text"/>
    <w:basedOn w:val="Normal"/>
    <w:link w:val="CharStyle13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Titulek tabulky"/>
    <w:basedOn w:val="Normal"/>
    <w:link w:val="CharStyle16"/>
    <w:pPr>
      <w:widowControl w:val="0"/>
      <w:shd w:val="clear" w:color="auto" w:fill="FFFFFF"/>
      <w:spacing w:line="30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Jiné"/>
    <w:basedOn w:val="Normal"/>
    <w:link w:val="CharStyle19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3">
    <w:name w:val="Nadpis #1"/>
    <w:basedOn w:val="Normal"/>
    <w:link w:val="CharStyle24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0F3B65"/>
      <w:sz w:val="48"/>
      <w:szCs w:val="48"/>
      <w:u w:val="none"/>
    </w:rPr>
  </w:style>
  <w:style w:type="paragraph" w:customStyle="1" w:styleId="Style26">
    <w:name w:val="Nadpis #3"/>
    <w:basedOn w:val="Normal"/>
    <w:link w:val="CharStyle27"/>
    <w:pPr>
      <w:widowControl w:val="0"/>
      <w:shd w:val="clear" w:color="auto" w:fill="FFFFFF"/>
      <w:spacing w:after="12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kostelecka</dc:creator>
  <cp:keywords/>
</cp:coreProperties>
</file>