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01610" w:rsidRDefault="00E21F1C">
      <w:pPr>
        <w:jc w:val="center"/>
      </w:pPr>
      <w:r>
        <w:rPr>
          <w:b/>
          <w:sz w:val="28"/>
        </w:rPr>
        <w:t>SMLOUVA O POSKYTOVÁNÍ AUDITORSKÝCH SLUŽEB</w:t>
      </w:r>
    </w:p>
    <w:p w:rsidR="00101610" w:rsidRDefault="00E21F1C">
      <w:pPr>
        <w:jc w:val="center"/>
      </w:pPr>
      <w:r>
        <w:rPr>
          <w:b/>
          <w:sz w:val="24"/>
        </w:rPr>
        <w:t xml:space="preserve">uzavřená podle § 1724 a násl., zákona č. 89/2012 Sb., občanský zákoník, v platném znění a ve smyslu zákona č. </w:t>
      </w:r>
      <w:r>
        <w:rPr>
          <w:b/>
          <w:sz w:val="24"/>
          <w:lang w:val="en-US"/>
        </w:rPr>
        <w:t>93</w:t>
      </w:r>
      <w:r>
        <w:rPr>
          <w:b/>
          <w:sz w:val="24"/>
        </w:rPr>
        <w:t xml:space="preserve">/2009 Sb., o auditorech, </w:t>
      </w:r>
      <w:r>
        <w:rPr>
          <w:b/>
          <w:sz w:val="24"/>
          <w:lang w:val="en-US"/>
        </w:rPr>
        <w:t>v plat</w:t>
      </w:r>
      <w:proofErr w:type="spellStart"/>
      <w:r>
        <w:rPr>
          <w:b/>
          <w:sz w:val="24"/>
        </w:rPr>
        <w:t>ném</w:t>
      </w:r>
      <w:proofErr w:type="spellEnd"/>
      <w:r>
        <w:rPr>
          <w:b/>
          <w:sz w:val="24"/>
        </w:rPr>
        <w:t xml:space="preserve"> znění</w:t>
      </w:r>
    </w:p>
    <w:p w:rsidR="00101610" w:rsidRDefault="00E21F1C">
      <w:pPr>
        <w:jc w:val="center"/>
      </w:pPr>
      <w:r>
        <w:rPr>
          <w:b/>
          <w:sz w:val="24"/>
        </w:rPr>
        <w:t>mezi následujícími smluvními stranami:</w:t>
      </w:r>
    </w:p>
    <w:p w:rsidR="00101610" w:rsidRDefault="00E21F1C">
      <w:pPr>
        <w:spacing w:before="283" w:after="170"/>
        <w:jc w:val="center"/>
      </w:pPr>
      <w:r>
        <w:rPr>
          <w:b/>
          <w:sz w:val="24"/>
        </w:rPr>
        <w:t>I.</w:t>
      </w:r>
      <w:r>
        <w:rPr>
          <w:b/>
          <w:sz w:val="24"/>
        </w:rPr>
        <w:br/>
        <w:t>Smluvní strany</w:t>
      </w:r>
    </w:p>
    <w:tbl>
      <w:tblPr>
        <w:tblW w:w="9638" w:type="dxa"/>
        <w:tblCellMar>
          <w:left w:w="0" w:type="dxa"/>
          <w:right w:w="0" w:type="dxa"/>
        </w:tblCellMar>
        <w:tblLook w:val="0000" w:firstRow="0" w:lastRow="0" w:firstColumn="0" w:lastColumn="0" w:noHBand="0" w:noVBand="0"/>
      </w:tblPr>
      <w:tblGrid>
        <w:gridCol w:w="230"/>
        <w:gridCol w:w="1978"/>
        <w:gridCol w:w="7430"/>
      </w:tblGrid>
      <w:tr w:rsidR="00101610">
        <w:tc>
          <w:tcPr>
            <w:tcW w:w="230" w:type="dxa"/>
            <w:shd w:val="clear" w:color="auto" w:fill="auto"/>
          </w:tcPr>
          <w:p w:rsidR="00101610" w:rsidRDefault="00E21F1C">
            <w:pPr>
              <w:pStyle w:val="Obsahtabulky"/>
              <w:snapToGrid w:val="0"/>
            </w:pPr>
            <w:r>
              <w:rPr>
                <w:sz w:val="24"/>
                <w:szCs w:val="24"/>
              </w:rPr>
              <w:t>1.</w:t>
            </w:r>
          </w:p>
        </w:tc>
        <w:tc>
          <w:tcPr>
            <w:tcW w:w="1978" w:type="dxa"/>
            <w:shd w:val="clear" w:color="auto" w:fill="auto"/>
          </w:tcPr>
          <w:p w:rsidR="00101610" w:rsidRDefault="00E21F1C">
            <w:pPr>
              <w:pStyle w:val="Zkladntext"/>
            </w:pPr>
            <w:r>
              <w:rPr>
                <w:szCs w:val="24"/>
              </w:rPr>
              <w:t>Odběratel:</w:t>
            </w:r>
          </w:p>
        </w:tc>
        <w:tc>
          <w:tcPr>
            <w:tcW w:w="7430" w:type="dxa"/>
            <w:shd w:val="clear" w:color="auto" w:fill="auto"/>
          </w:tcPr>
          <w:p w:rsidR="00101610" w:rsidRDefault="00E21F1C">
            <w:pPr>
              <w:pStyle w:val="Zkladntext"/>
            </w:pPr>
            <w:r>
              <w:rPr>
                <w:b/>
                <w:bCs/>
                <w:szCs w:val="24"/>
              </w:rPr>
              <w:t>Česká filharmonie</w:t>
            </w:r>
          </w:p>
        </w:tc>
      </w:tr>
      <w:tr w:rsidR="00101610">
        <w:tc>
          <w:tcPr>
            <w:tcW w:w="230" w:type="dxa"/>
            <w:shd w:val="clear" w:color="auto" w:fill="auto"/>
          </w:tcPr>
          <w:p w:rsidR="00101610" w:rsidRDefault="00101610">
            <w:pPr>
              <w:pStyle w:val="Obsahtabulky"/>
              <w:snapToGrid w:val="0"/>
              <w:rPr>
                <w:b/>
                <w:bCs/>
                <w:color w:val="000000"/>
                <w:sz w:val="24"/>
                <w:szCs w:val="24"/>
              </w:rPr>
            </w:pPr>
          </w:p>
        </w:tc>
        <w:tc>
          <w:tcPr>
            <w:tcW w:w="1978" w:type="dxa"/>
            <w:shd w:val="clear" w:color="auto" w:fill="auto"/>
          </w:tcPr>
          <w:p w:rsidR="00101610" w:rsidRDefault="00E21F1C">
            <w:pPr>
              <w:pStyle w:val="Zkladntext"/>
            </w:pPr>
            <w:r>
              <w:rPr>
                <w:szCs w:val="24"/>
              </w:rPr>
              <w:t>Sídlo:</w:t>
            </w:r>
          </w:p>
        </w:tc>
        <w:tc>
          <w:tcPr>
            <w:tcW w:w="7430" w:type="dxa"/>
            <w:shd w:val="clear" w:color="auto" w:fill="auto"/>
          </w:tcPr>
          <w:p w:rsidR="00101610" w:rsidRDefault="00E21F1C">
            <w:pPr>
              <w:pStyle w:val="Zkladntext"/>
            </w:pPr>
            <w:r>
              <w:rPr>
                <w:szCs w:val="24"/>
              </w:rPr>
              <w:t>Alšovo nábřeží 79/12, 11000 Praha - Staré Město</w:t>
            </w:r>
          </w:p>
        </w:tc>
      </w:tr>
      <w:tr w:rsidR="00101610">
        <w:tc>
          <w:tcPr>
            <w:tcW w:w="230" w:type="dxa"/>
            <w:shd w:val="clear" w:color="auto" w:fill="auto"/>
          </w:tcPr>
          <w:p w:rsidR="00101610" w:rsidRDefault="00101610">
            <w:pPr>
              <w:pStyle w:val="Obsahtabulky"/>
              <w:snapToGrid w:val="0"/>
              <w:rPr>
                <w:sz w:val="24"/>
                <w:szCs w:val="24"/>
              </w:rPr>
            </w:pPr>
          </w:p>
        </w:tc>
        <w:tc>
          <w:tcPr>
            <w:tcW w:w="1978" w:type="dxa"/>
            <w:shd w:val="clear" w:color="auto" w:fill="auto"/>
          </w:tcPr>
          <w:p w:rsidR="00101610" w:rsidRDefault="00E21F1C">
            <w:pPr>
              <w:pStyle w:val="Zkladntext"/>
            </w:pPr>
            <w:r>
              <w:rPr>
                <w:szCs w:val="24"/>
              </w:rPr>
              <w:t>Doručovací adresa:</w:t>
            </w:r>
          </w:p>
        </w:tc>
        <w:tc>
          <w:tcPr>
            <w:tcW w:w="7430" w:type="dxa"/>
            <w:shd w:val="clear" w:color="auto" w:fill="auto"/>
          </w:tcPr>
          <w:p w:rsidR="00101610" w:rsidRDefault="00E21F1C">
            <w:pPr>
              <w:pStyle w:val="Zkladntext"/>
            </w:pPr>
            <w:r>
              <w:rPr>
                <w:szCs w:val="24"/>
              </w:rPr>
              <w:t>Alšovo nábřeží 79/12, 11000 Praha - Staré Město</w:t>
            </w:r>
          </w:p>
        </w:tc>
      </w:tr>
      <w:tr w:rsidR="00101610">
        <w:tc>
          <w:tcPr>
            <w:tcW w:w="230" w:type="dxa"/>
            <w:shd w:val="clear" w:color="auto" w:fill="auto"/>
          </w:tcPr>
          <w:p w:rsidR="00101610" w:rsidRDefault="00101610">
            <w:pPr>
              <w:pStyle w:val="Obsahtabulky"/>
              <w:snapToGrid w:val="0"/>
              <w:rPr>
                <w:sz w:val="24"/>
                <w:szCs w:val="24"/>
              </w:rPr>
            </w:pPr>
          </w:p>
        </w:tc>
        <w:tc>
          <w:tcPr>
            <w:tcW w:w="1978" w:type="dxa"/>
            <w:shd w:val="clear" w:color="auto" w:fill="auto"/>
          </w:tcPr>
          <w:p w:rsidR="00101610" w:rsidRDefault="00E21F1C">
            <w:pPr>
              <w:pStyle w:val="Zkladntext"/>
            </w:pPr>
            <w:r>
              <w:rPr>
                <w:szCs w:val="24"/>
              </w:rPr>
              <w:t>IČ:</w:t>
            </w:r>
          </w:p>
        </w:tc>
        <w:tc>
          <w:tcPr>
            <w:tcW w:w="7430" w:type="dxa"/>
            <w:shd w:val="clear" w:color="auto" w:fill="auto"/>
          </w:tcPr>
          <w:p w:rsidR="00101610" w:rsidRDefault="00E21F1C">
            <w:pPr>
              <w:pStyle w:val="Zkladntext"/>
            </w:pPr>
            <w:r>
              <w:rPr>
                <w:szCs w:val="24"/>
              </w:rPr>
              <w:t>00023264</w:t>
            </w:r>
          </w:p>
        </w:tc>
      </w:tr>
      <w:tr w:rsidR="00101610">
        <w:trPr>
          <w:trHeight w:val="270"/>
        </w:trPr>
        <w:tc>
          <w:tcPr>
            <w:tcW w:w="230" w:type="dxa"/>
            <w:shd w:val="clear" w:color="auto" w:fill="auto"/>
          </w:tcPr>
          <w:p w:rsidR="00101610" w:rsidRDefault="00101610">
            <w:pPr>
              <w:pStyle w:val="Obsahtabulky"/>
              <w:snapToGrid w:val="0"/>
              <w:rPr>
                <w:sz w:val="24"/>
                <w:szCs w:val="24"/>
              </w:rPr>
            </w:pPr>
          </w:p>
        </w:tc>
        <w:tc>
          <w:tcPr>
            <w:tcW w:w="1978" w:type="dxa"/>
            <w:shd w:val="clear" w:color="auto" w:fill="auto"/>
          </w:tcPr>
          <w:p w:rsidR="00101610" w:rsidRDefault="00E21F1C">
            <w:pPr>
              <w:pStyle w:val="Zkladntext"/>
            </w:pPr>
            <w:r>
              <w:rPr>
                <w:szCs w:val="24"/>
              </w:rPr>
              <w:t>DIČ:</w:t>
            </w:r>
          </w:p>
        </w:tc>
        <w:tc>
          <w:tcPr>
            <w:tcW w:w="7430" w:type="dxa"/>
            <w:shd w:val="clear" w:color="auto" w:fill="auto"/>
          </w:tcPr>
          <w:p w:rsidR="00101610" w:rsidRDefault="00E21F1C">
            <w:pPr>
              <w:pStyle w:val="Zkladntext"/>
            </w:pPr>
            <w:r>
              <w:rPr>
                <w:szCs w:val="24"/>
              </w:rPr>
              <w:t xml:space="preserve">CZ00023264 </w:t>
            </w:r>
          </w:p>
        </w:tc>
      </w:tr>
      <w:tr w:rsidR="00101610">
        <w:trPr>
          <w:trHeight w:val="270"/>
        </w:trPr>
        <w:tc>
          <w:tcPr>
            <w:tcW w:w="230" w:type="dxa"/>
            <w:shd w:val="clear" w:color="auto" w:fill="auto"/>
          </w:tcPr>
          <w:p w:rsidR="00101610" w:rsidRDefault="00101610">
            <w:pPr>
              <w:pStyle w:val="Obsahtabulky"/>
              <w:snapToGrid w:val="0"/>
              <w:rPr>
                <w:sz w:val="24"/>
                <w:szCs w:val="24"/>
              </w:rPr>
            </w:pPr>
          </w:p>
        </w:tc>
        <w:tc>
          <w:tcPr>
            <w:tcW w:w="1978" w:type="dxa"/>
            <w:shd w:val="clear" w:color="auto" w:fill="auto"/>
          </w:tcPr>
          <w:p w:rsidR="00101610" w:rsidRDefault="00E21F1C">
            <w:pPr>
              <w:pStyle w:val="Zkladntext"/>
            </w:pPr>
            <w:r>
              <w:rPr>
                <w:szCs w:val="24"/>
              </w:rPr>
              <w:t>Zastoupený:</w:t>
            </w:r>
          </w:p>
        </w:tc>
        <w:tc>
          <w:tcPr>
            <w:tcW w:w="7430" w:type="dxa"/>
            <w:shd w:val="clear" w:color="auto" w:fill="auto"/>
          </w:tcPr>
          <w:p w:rsidR="00101610" w:rsidRDefault="00E21F1C">
            <w:pPr>
              <w:pStyle w:val="Zkladntext"/>
            </w:pPr>
            <w:r>
              <w:rPr>
                <w:szCs w:val="24"/>
              </w:rPr>
              <w:t>Davidem Marečkem, generálním ředitelem</w:t>
            </w:r>
          </w:p>
        </w:tc>
      </w:tr>
    </w:tbl>
    <w:p w:rsidR="00101610" w:rsidRDefault="00E21F1C">
      <w:pPr>
        <w:spacing w:before="198" w:after="170"/>
      </w:pPr>
      <w:r>
        <w:rPr>
          <w:rFonts w:eastAsia="NSimSun" w:cs="Arial"/>
          <w:kern w:val="2"/>
          <w:sz w:val="24"/>
          <w:szCs w:val="24"/>
          <w:lang w:bidi="hi-IN"/>
        </w:rPr>
        <w:t>(dále jen „odběratel</w:t>
      </w:r>
      <w:r>
        <w:rPr>
          <w:sz w:val="24"/>
          <w:szCs w:val="24"/>
        </w:rPr>
        <w:t>“)</w:t>
      </w:r>
    </w:p>
    <w:p w:rsidR="00101610" w:rsidRDefault="00E21F1C">
      <w:pPr>
        <w:spacing w:before="113" w:after="198"/>
      </w:pPr>
      <w:r>
        <w:rPr>
          <w:sz w:val="24"/>
          <w:szCs w:val="24"/>
        </w:rPr>
        <w:t>a</w:t>
      </w:r>
    </w:p>
    <w:tbl>
      <w:tblPr>
        <w:tblW w:w="9638" w:type="dxa"/>
        <w:tblCellMar>
          <w:left w:w="0" w:type="dxa"/>
          <w:right w:w="0" w:type="dxa"/>
        </w:tblCellMar>
        <w:tblLook w:val="0000" w:firstRow="0" w:lastRow="0" w:firstColumn="0" w:lastColumn="0" w:noHBand="0" w:noVBand="0"/>
      </w:tblPr>
      <w:tblGrid>
        <w:gridCol w:w="230"/>
        <w:gridCol w:w="1978"/>
        <w:gridCol w:w="7430"/>
      </w:tblGrid>
      <w:tr w:rsidR="00101610">
        <w:tc>
          <w:tcPr>
            <w:tcW w:w="230" w:type="dxa"/>
            <w:shd w:val="clear" w:color="auto" w:fill="auto"/>
          </w:tcPr>
          <w:p w:rsidR="00101610" w:rsidRDefault="00E21F1C">
            <w:pPr>
              <w:pStyle w:val="Zkladntext"/>
            </w:pPr>
            <w:r>
              <w:t>2.</w:t>
            </w:r>
          </w:p>
        </w:tc>
        <w:tc>
          <w:tcPr>
            <w:tcW w:w="1978" w:type="dxa"/>
            <w:shd w:val="clear" w:color="auto" w:fill="auto"/>
          </w:tcPr>
          <w:p w:rsidR="00101610" w:rsidRDefault="00E21F1C">
            <w:pPr>
              <w:pStyle w:val="Zkladntext"/>
            </w:pPr>
            <w:r>
              <w:t>Dodavatel:</w:t>
            </w:r>
          </w:p>
        </w:tc>
        <w:tc>
          <w:tcPr>
            <w:tcW w:w="7430" w:type="dxa"/>
            <w:shd w:val="clear" w:color="auto" w:fill="auto"/>
          </w:tcPr>
          <w:p w:rsidR="00101610" w:rsidRDefault="00E21F1C">
            <w:pPr>
              <w:pStyle w:val="Zkladntext"/>
            </w:pPr>
            <w:r>
              <w:rPr>
                <w:b/>
                <w:bCs/>
              </w:rPr>
              <w:t>22HLAV s.r.o.</w:t>
            </w:r>
          </w:p>
        </w:tc>
      </w:tr>
      <w:tr w:rsidR="00101610">
        <w:tc>
          <w:tcPr>
            <w:tcW w:w="230" w:type="dxa"/>
            <w:shd w:val="clear" w:color="auto" w:fill="auto"/>
          </w:tcPr>
          <w:p w:rsidR="00101610" w:rsidRDefault="00101610">
            <w:pPr>
              <w:pStyle w:val="Zkladntext"/>
              <w:snapToGrid w:val="0"/>
            </w:pPr>
          </w:p>
        </w:tc>
        <w:tc>
          <w:tcPr>
            <w:tcW w:w="1978" w:type="dxa"/>
            <w:shd w:val="clear" w:color="auto" w:fill="auto"/>
          </w:tcPr>
          <w:p w:rsidR="00101610" w:rsidRDefault="00E21F1C">
            <w:pPr>
              <w:pStyle w:val="Zkladntext"/>
            </w:pPr>
            <w:r>
              <w:t>Sídlo:</w:t>
            </w:r>
          </w:p>
        </w:tc>
        <w:tc>
          <w:tcPr>
            <w:tcW w:w="7430" w:type="dxa"/>
            <w:shd w:val="clear" w:color="auto" w:fill="auto"/>
          </w:tcPr>
          <w:p w:rsidR="00101610" w:rsidRDefault="00E21F1C">
            <w:pPr>
              <w:pStyle w:val="Zkladntext"/>
            </w:pPr>
            <w:r>
              <w:t>Všebořická 82/2, 400 01 Ústí nad Labem</w:t>
            </w:r>
          </w:p>
        </w:tc>
      </w:tr>
      <w:tr w:rsidR="00101610">
        <w:tc>
          <w:tcPr>
            <w:tcW w:w="230" w:type="dxa"/>
            <w:shd w:val="clear" w:color="auto" w:fill="auto"/>
          </w:tcPr>
          <w:p w:rsidR="00101610" w:rsidRDefault="00101610">
            <w:pPr>
              <w:pStyle w:val="Zkladntext"/>
              <w:snapToGrid w:val="0"/>
            </w:pPr>
          </w:p>
        </w:tc>
        <w:tc>
          <w:tcPr>
            <w:tcW w:w="1978" w:type="dxa"/>
            <w:shd w:val="clear" w:color="auto" w:fill="auto"/>
          </w:tcPr>
          <w:p w:rsidR="00101610" w:rsidRDefault="00E21F1C">
            <w:pPr>
              <w:pStyle w:val="Zkladntext"/>
            </w:pPr>
            <w:r>
              <w:t>Doručovací adresa:</w:t>
            </w:r>
          </w:p>
        </w:tc>
        <w:tc>
          <w:tcPr>
            <w:tcW w:w="7430" w:type="dxa"/>
            <w:shd w:val="clear" w:color="auto" w:fill="auto"/>
          </w:tcPr>
          <w:p w:rsidR="00101610" w:rsidRDefault="00E21F1C">
            <w:pPr>
              <w:pStyle w:val="Zkladntext"/>
            </w:pPr>
            <w:r>
              <w:t>Všebořická 82/2, 400 01 Ústí nad Labem</w:t>
            </w:r>
          </w:p>
        </w:tc>
      </w:tr>
      <w:tr w:rsidR="00101610">
        <w:tc>
          <w:tcPr>
            <w:tcW w:w="230" w:type="dxa"/>
            <w:shd w:val="clear" w:color="auto" w:fill="auto"/>
          </w:tcPr>
          <w:p w:rsidR="00101610" w:rsidRDefault="00101610">
            <w:pPr>
              <w:pStyle w:val="Zkladntext"/>
              <w:snapToGrid w:val="0"/>
            </w:pPr>
          </w:p>
        </w:tc>
        <w:tc>
          <w:tcPr>
            <w:tcW w:w="1978" w:type="dxa"/>
            <w:shd w:val="clear" w:color="auto" w:fill="auto"/>
          </w:tcPr>
          <w:p w:rsidR="00101610" w:rsidRDefault="00E21F1C">
            <w:pPr>
              <w:pStyle w:val="Zkladntext"/>
            </w:pPr>
            <w:r>
              <w:t>IČ:</w:t>
            </w:r>
          </w:p>
        </w:tc>
        <w:tc>
          <w:tcPr>
            <w:tcW w:w="7430" w:type="dxa"/>
            <w:shd w:val="clear" w:color="auto" w:fill="auto"/>
          </w:tcPr>
          <w:p w:rsidR="00101610" w:rsidRDefault="00E21F1C">
            <w:pPr>
              <w:pStyle w:val="Zkladntext"/>
            </w:pPr>
            <w:r>
              <w:t>64052907</w:t>
            </w:r>
          </w:p>
        </w:tc>
      </w:tr>
      <w:tr w:rsidR="00101610">
        <w:tc>
          <w:tcPr>
            <w:tcW w:w="230" w:type="dxa"/>
            <w:shd w:val="clear" w:color="auto" w:fill="auto"/>
          </w:tcPr>
          <w:p w:rsidR="00101610" w:rsidRDefault="00101610">
            <w:pPr>
              <w:pStyle w:val="Zkladntext"/>
              <w:snapToGrid w:val="0"/>
            </w:pPr>
          </w:p>
        </w:tc>
        <w:tc>
          <w:tcPr>
            <w:tcW w:w="1978" w:type="dxa"/>
            <w:shd w:val="clear" w:color="auto" w:fill="auto"/>
          </w:tcPr>
          <w:p w:rsidR="00101610" w:rsidRDefault="00E21F1C">
            <w:pPr>
              <w:pStyle w:val="Zkladntext"/>
            </w:pPr>
            <w:bookmarkStart w:id="0" w:name="__DdeLink__10808_898180489"/>
            <w:r>
              <w:t>DIČ:</w:t>
            </w:r>
            <w:bookmarkEnd w:id="0"/>
          </w:p>
        </w:tc>
        <w:tc>
          <w:tcPr>
            <w:tcW w:w="7430" w:type="dxa"/>
            <w:shd w:val="clear" w:color="auto" w:fill="auto"/>
          </w:tcPr>
          <w:p w:rsidR="00101610" w:rsidRDefault="00E21F1C">
            <w:pPr>
              <w:pStyle w:val="Zkladntext"/>
            </w:pPr>
            <w:r>
              <w:t>CZ64052907</w:t>
            </w:r>
          </w:p>
        </w:tc>
      </w:tr>
      <w:tr w:rsidR="00101610">
        <w:trPr>
          <w:trHeight w:val="292"/>
        </w:trPr>
        <w:tc>
          <w:tcPr>
            <w:tcW w:w="230" w:type="dxa"/>
            <w:shd w:val="clear" w:color="auto" w:fill="auto"/>
          </w:tcPr>
          <w:p w:rsidR="00101610" w:rsidRDefault="00101610">
            <w:pPr>
              <w:pStyle w:val="Zkladntext"/>
              <w:snapToGrid w:val="0"/>
            </w:pPr>
          </w:p>
        </w:tc>
        <w:tc>
          <w:tcPr>
            <w:tcW w:w="1978" w:type="dxa"/>
            <w:shd w:val="clear" w:color="auto" w:fill="auto"/>
          </w:tcPr>
          <w:p w:rsidR="00101610" w:rsidRDefault="00E21F1C">
            <w:pPr>
              <w:pStyle w:val="Zkladntext"/>
            </w:pPr>
            <w:r>
              <w:t>Spisová zn.:</w:t>
            </w:r>
          </w:p>
        </w:tc>
        <w:tc>
          <w:tcPr>
            <w:tcW w:w="7430" w:type="dxa"/>
            <w:shd w:val="clear" w:color="auto" w:fill="auto"/>
          </w:tcPr>
          <w:p w:rsidR="00101610" w:rsidRDefault="00E21F1C">
            <w:pPr>
              <w:pStyle w:val="Zkladntext"/>
            </w:pPr>
            <w:r>
              <w:t>C 10016 vedená u Krajského soudu v Ústí nad Labem</w:t>
            </w:r>
          </w:p>
        </w:tc>
      </w:tr>
      <w:tr w:rsidR="00101610">
        <w:trPr>
          <w:trHeight w:val="292"/>
        </w:trPr>
        <w:tc>
          <w:tcPr>
            <w:tcW w:w="230" w:type="dxa"/>
            <w:shd w:val="clear" w:color="auto" w:fill="auto"/>
          </w:tcPr>
          <w:p w:rsidR="00101610" w:rsidRDefault="00101610">
            <w:pPr>
              <w:pStyle w:val="Zkladntext"/>
              <w:snapToGrid w:val="0"/>
            </w:pPr>
          </w:p>
        </w:tc>
        <w:tc>
          <w:tcPr>
            <w:tcW w:w="1978" w:type="dxa"/>
            <w:shd w:val="clear" w:color="auto" w:fill="auto"/>
          </w:tcPr>
          <w:p w:rsidR="00101610" w:rsidRDefault="00E21F1C">
            <w:pPr>
              <w:pStyle w:val="Zkladntext"/>
            </w:pPr>
            <w:r>
              <w:t>Zastoupený:</w:t>
            </w:r>
          </w:p>
        </w:tc>
        <w:tc>
          <w:tcPr>
            <w:tcW w:w="7430" w:type="dxa"/>
            <w:shd w:val="clear" w:color="auto" w:fill="auto"/>
          </w:tcPr>
          <w:p w:rsidR="00101610" w:rsidRDefault="00E21F1C">
            <w:pPr>
              <w:pStyle w:val="Zkladntext"/>
            </w:pPr>
            <w:r>
              <w:t xml:space="preserve">Miroslavou </w:t>
            </w:r>
            <w:proofErr w:type="spellStart"/>
            <w:r>
              <w:t>Nebuželskou</w:t>
            </w:r>
            <w:proofErr w:type="spellEnd"/>
            <w:r>
              <w:t>, jednatelkou společnosti</w:t>
            </w:r>
          </w:p>
        </w:tc>
      </w:tr>
    </w:tbl>
    <w:p w:rsidR="00101610" w:rsidRDefault="00E21F1C">
      <w:pPr>
        <w:spacing w:before="198" w:after="113"/>
      </w:pPr>
      <w:r>
        <w:rPr>
          <w:sz w:val="24"/>
          <w:szCs w:val="24"/>
        </w:rPr>
        <w:t>auditorská společnost (evidenční č. KAČR 277),</w:t>
      </w:r>
    </w:p>
    <w:p w:rsidR="00101610" w:rsidRDefault="00E21F1C">
      <w:pPr>
        <w:spacing w:before="198" w:after="113"/>
      </w:pPr>
      <w:r>
        <w:rPr>
          <w:sz w:val="24"/>
          <w:szCs w:val="24"/>
        </w:rPr>
        <w:t>(dále jen „dodavatel“).</w:t>
      </w:r>
    </w:p>
    <w:p w:rsidR="00101610" w:rsidRDefault="00E21F1C">
      <w:pPr>
        <w:spacing w:before="198" w:after="113"/>
        <w:jc w:val="both"/>
      </w:pPr>
      <w:r>
        <w:rPr>
          <w:sz w:val="24"/>
          <w:szCs w:val="24"/>
        </w:rPr>
        <w:t>(dodavatel a odběratel jsou dále označovány jako „strany“)</w:t>
      </w:r>
    </w:p>
    <w:p w:rsidR="00101610" w:rsidRDefault="00E21F1C">
      <w:pPr>
        <w:spacing w:before="283"/>
        <w:jc w:val="center"/>
      </w:pPr>
      <w:r>
        <w:rPr>
          <w:b/>
          <w:sz w:val="24"/>
        </w:rPr>
        <w:t>II.</w:t>
      </w:r>
      <w:r>
        <w:rPr>
          <w:b/>
          <w:sz w:val="24"/>
        </w:rPr>
        <w:br/>
        <w:t>Předmět smlouvy</w:t>
      </w:r>
    </w:p>
    <w:p w:rsidR="00101610" w:rsidRDefault="00E21F1C">
      <w:pPr>
        <w:numPr>
          <w:ilvl w:val="0"/>
          <w:numId w:val="9"/>
        </w:numPr>
        <w:suppressLineNumbers/>
        <w:spacing w:before="113"/>
        <w:jc w:val="both"/>
        <w:rPr>
          <w:sz w:val="24"/>
          <w:szCs w:val="24"/>
        </w:rPr>
      </w:pPr>
      <w:r>
        <w:rPr>
          <w:sz w:val="24"/>
          <w:szCs w:val="24"/>
        </w:rPr>
        <w:t>Dodavatel se zavazuje provést pro odběratele audit projektů financovaných Nadací ČEZ za rok 2023. Ve Zprávě auditora se dodavatel vyjádří k účtování a použití dotace v souladu s příslušnými rozhodnutími o přidělení dotace a dalšími dotačními podmínkami.</w:t>
      </w:r>
    </w:p>
    <w:p w:rsidR="00101610" w:rsidRDefault="00E21F1C">
      <w:pPr>
        <w:numPr>
          <w:ilvl w:val="0"/>
          <w:numId w:val="9"/>
        </w:numPr>
        <w:suppressLineNumbers/>
        <w:spacing w:before="113"/>
        <w:jc w:val="both"/>
      </w:pPr>
      <w:r>
        <w:rPr>
          <w:sz w:val="24"/>
          <w:szCs w:val="24"/>
        </w:rPr>
        <w:t xml:space="preserve">Zpráva bude zpracována v souladu se zákonem č. 93/2009 Sb., o auditorech a o změně některých zákonů (zákon o auditorech), ve znění pozdějších předpisů a Mezinárodními standardy, zejména standardem pro ověřovací zakázky ISAE 3000 a v souladu s požadavky uvedenými v podmínkách pro poskytnutí finančních prostředků vztahujících se k projektu. </w:t>
      </w:r>
    </w:p>
    <w:p w:rsidR="00101610" w:rsidRDefault="00E21F1C">
      <w:pPr>
        <w:spacing w:before="283"/>
        <w:jc w:val="center"/>
      </w:pPr>
      <w:r>
        <w:rPr>
          <w:b/>
          <w:sz w:val="24"/>
          <w:szCs w:val="24"/>
        </w:rPr>
        <w:t>I</w:t>
      </w:r>
      <w:r>
        <w:rPr>
          <w:b/>
          <w:sz w:val="24"/>
        </w:rPr>
        <w:t>II.</w:t>
      </w:r>
      <w:r>
        <w:rPr>
          <w:b/>
          <w:sz w:val="24"/>
        </w:rPr>
        <w:br/>
        <w:t>Termín plnění</w:t>
      </w:r>
    </w:p>
    <w:p w:rsidR="00101610" w:rsidRDefault="00E21F1C">
      <w:pPr>
        <w:numPr>
          <w:ilvl w:val="0"/>
          <w:numId w:val="4"/>
        </w:numPr>
        <w:spacing w:before="113"/>
        <w:jc w:val="both"/>
      </w:pPr>
      <w:r>
        <w:rPr>
          <w:sz w:val="24"/>
          <w:szCs w:val="24"/>
        </w:rPr>
        <w:t>Dodavatel provede ověření a předloží Zprávu o ověření účtování a použití dotace do 30 kalendářních dnů ode dne provedení auditu, případně v termínu dle vzájemné dohody.</w:t>
      </w:r>
    </w:p>
    <w:p w:rsidR="00101610" w:rsidRDefault="00E21F1C">
      <w:pPr>
        <w:keepNext/>
        <w:numPr>
          <w:ilvl w:val="0"/>
          <w:numId w:val="4"/>
        </w:numPr>
        <w:spacing w:before="113"/>
        <w:jc w:val="both"/>
      </w:pPr>
      <w:r>
        <w:rPr>
          <w:color w:val="00000A"/>
          <w:sz w:val="24"/>
        </w:rPr>
        <w:lastRenderedPageBreak/>
        <w:t>Zpráva o ověření bude vyhotovena a předána odběrateli v elektronické podobě opatřená zaručeným podpisem auditora. Zpráva o auditu bude zpracována v českém, popř. dle potřeb klienta anglickém jazyce dle vzoru daného poskytovatelem dotace včetně všech příloh.</w:t>
      </w:r>
    </w:p>
    <w:p w:rsidR="00101610" w:rsidRDefault="00E21F1C">
      <w:pPr>
        <w:jc w:val="center"/>
      </w:pPr>
      <w:r>
        <w:rPr>
          <w:b/>
          <w:sz w:val="24"/>
        </w:rPr>
        <w:t xml:space="preserve">IV. </w:t>
      </w:r>
      <w:r>
        <w:rPr>
          <w:b/>
          <w:sz w:val="24"/>
        </w:rPr>
        <w:br/>
        <w:t>Cena a platební podmínky</w:t>
      </w:r>
    </w:p>
    <w:p w:rsidR="00101610" w:rsidRDefault="00E21F1C">
      <w:pPr>
        <w:numPr>
          <w:ilvl w:val="0"/>
          <w:numId w:val="5"/>
        </w:numPr>
        <w:spacing w:before="113"/>
        <w:jc w:val="both"/>
      </w:pPr>
      <w:r>
        <w:rPr>
          <w:sz w:val="24"/>
        </w:rPr>
        <w:t xml:space="preserve">Dodavateli náleží za činnost vymezenou touto smlouvou finanční odměna v celkové výši </w:t>
      </w:r>
      <w:r>
        <w:rPr>
          <w:b/>
          <w:bCs/>
          <w:sz w:val="24"/>
        </w:rPr>
        <w:t xml:space="preserve">100 000 Kč, </w:t>
      </w:r>
      <w:r>
        <w:rPr>
          <w:sz w:val="24"/>
        </w:rPr>
        <w:t>tj. 25 000 Kč za audit jednoho projektu. Cena je sjednána jako konečná, tj. včetně DPH.</w:t>
      </w:r>
    </w:p>
    <w:p w:rsidR="00101610" w:rsidRDefault="00E21F1C">
      <w:pPr>
        <w:numPr>
          <w:ilvl w:val="0"/>
          <w:numId w:val="5"/>
        </w:numPr>
        <w:spacing w:before="113"/>
        <w:jc w:val="both"/>
      </w:pPr>
      <w:r>
        <w:rPr>
          <w:sz w:val="24"/>
        </w:rPr>
        <w:t xml:space="preserve">Výše odměny byla stanovena na základě časového rozsahu práce a její odborné úrovně a odpovědnosti a s přihlédnutím k veřejné prospěšnosti odběratele. </w:t>
      </w:r>
    </w:p>
    <w:p w:rsidR="00101610" w:rsidRDefault="00E21F1C">
      <w:pPr>
        <w:numPr>
          <w:ilvl w:val="0"/>
          <w:numId w:val="5"/>
        </w:numPr>
        <w:spacing w:before="113"/>
        <w:jc w:val="both"/>
      </w:pPr>
      <w:r>
        <w:rPr>
          <w:sz w:val="24"/>
          <w:szCs w:val="24"/>
        </w:rPr>
        <w:t>Odměna je stanovena jako konečná a zahrnuje veškeré práce, které dodavatel musí provést, aby mohl odpovědně vydat zprávu auditora. Cestovné se řídí aktuálním platným ceníkem.</w:t>
      </w:r>
    </w:p>
    <w:p w:rsidR="00101610" w:rsidRDefault="00E21F1C">
      <w:pPr>
        <w:numPr>
          <w:ilvl w:val="0"/>
          <w:numId w:val="5"/>
        </w:numPr>
        <w:spacing w:before="113"/>
        <w:jc w:val="both"/>
      </w:pPr>
      <w:r>
        <w:rPr>
          <w:sz w:val="24"/>
        </w:rPr>
        <w:t xml:space="preserve">Odměna je splatná na základě daňového dokladu (faktury) vystaveného dodavatelem po splnění předmětu smlouvy. Faktura musí mít náležitosti daňového dokladu a obchodní listiny dle příslušných právních předpisů. V opačném případě je odběratel oprávněn fakturu vrátit dodavateli k opravě či doplnění, přičemž vrácením faktury se běh lhůty splatnosti přerušuje. Splatnost faktury činí 14 dnů od data doručení odběrateli. </w:t>
      </w:r>
    </w:p>
    <w:p w:rsidR="00101610" w:rsidRDefault="00E21F1C">
      <w:pPr>
        <w:numPr>
          <w:ilvl w:val="0"/>
          <w:numId w:val="5"/>
        </w:numPr>
        <w:spacing w:before="113"/>
        <w:jc w:val="both"/>
      </w:pPr>
      <w:r>
        <w:rPr>
          <w:sz w:val="24"/>
        </w:rPr>
        <w:t>Pro účely této smlouvy se sjednává úrok z prodlení mezi dodavatelem a odběratelem ve výši 0,02 % z dlužné částky za každý den prodlení v placení řádně vystavené a doručené faktury</w:t>
      </w:r>
    </w:p>
    <w:p w:rsidR="00101610" w:rsidRDefault="00E21F1C">
      <w:pPr>
        <w:spacing w:before="283"/>
        <w:jc w:val="center"/>
      </w:pPr>
      <w:r>
        <w:rPr>
          <w:b/>
          <w:sz w:val="24"/>
        </w:rPr>
        <w:t>V.</w:t>
      </w:r>
      <w:r>
        <w:rPr>
          <w:b/>
          <w:sz w:val="24"/>
        </w:rPr>
        <w:br/>
        <w:t>Práva a povinnosti smluvních stran</w:t>
      </w:r>
    </w:p>
    <w:p w:rsidR="00101610" w:rsidRDefault="00E21F1C">
      <w:pPr>
        <w:numPr>
          <w:ilvl w:val="0"/>
          <w:numId w:val="6"/>
        </w:numPr>
        <w:spacing w:before="113" w:after="170"/>
        <w:ind w:left="363" w:hanging="363"/>
        <w:jc w:val="both"/>
      </w:pPr>
      <w:r>
        <w:rPr>
          <w:sz w:val="24"/>
        </w:rPr>
        <w:t>Dodavatel je povinen:</w:t>
      </w:r>
    </w:p>
    <w:p w:rsidR="00101610" w:rsidRDefault="00E21F1C">
      <w:pPr>
        <w:numPr>
          <w:ilvl w:val="0"/>
          <w:numId w:val="1"/>
        </w:numPr>
        <w:tabs>
          <w:tab w:val="left" w:pos="566"/>
          <w:tab w:val="left" w:pos="849"/>
        </w:tabs>
        <w:spacing w:after="113"/>
        <w:jc w:val="both"/>
      </w:pPr>
      <w:r>
        <w:rPr>
          <w:sz w:val="24"/>
        </w:rPr>
        <w:t>Provést ověření účtování a použití dotace na rok 2023 s odbornou péčí a nestranným způsobem a zjištěný stav popsat ve Zprávě o auditu.</w:t>
      </w:r>
    </w:p>
    <w:p w:rsidR="00101610" w:rsidRDefault="00E21F1C">
      <w:pPr>
        <w:numPr>
          <w:ilvl w:val="0"/>
          <w:numId w:val="1"/>
        </w:numPr>
        <w:tabs>
          <w:tab w:val="left" w:pos="566"/>
          <w:tab w:val="left" w:pos="849"/>
        </w:tabs>
        <w:spacing w:after="113"/>
        <w:jc w:val="both"/>
      </w:pPr>
      <w:r>
        <w:rPr>
          <w:sz w:val="24"/>
        </w:rPr>
        <w:t>Provést audit v souladu se zákonem č. 93/2009 Sb., o auditorech, Mezinárodními auditorskými standardy a profesními předpisy Komory auditorů ČR.</w:t>
      </w:r>
    </w:p>
    <w:p w:rsidR="00101610" w:rsidRDefault="00E21F1C">
      <w:pPr>
        <w:numPr>
          <w:ilvl w:val="0"/>
          <w:numId w:val="1"/>
        </w:numPr>
        <w:tabs>
          <w:tab w:val="left" w:pos="566"/>
          <w:tab w:val="left" w:pos="849"/>
        </w:tabs>
        <w:spacing w:after="113"/>
        <w:jc w:val="both"/>
      </w:pPr>
      <w:r>
        <w:rPr>
          <w:sz w:val="24"/>
        </w:rPr>
        <w:t>Prověřit takové podklady, které uzná za dostačující k tomu, aby mohl činit příslušné závěry.</w:t>
      </w:r>
    </w:p>
    <w:p w:rsidR="00101610" w:rsidRDefault="00E21F1C">
      <w:pPr>
        <w:numPr>
          <w:ilvl w:val="0"/>
          <w:numId w:val="6"/>
        </w:numPr>
        <w:spacing w:before="170" w:after="170"/>
        <w:ind w:left="363" w:hanging="363"/>
        <w:jc w:val="both"/>
      </w:pPr>
      <w:r>
        <w:rPr>
          <w:sz w:val="24"/>
        </w:rPr>
        <w:t>Odběratel je povinen:</w:t>
      </w:r>
    </w:p>
    <w:p w:rsidR="00101610" w:rsidRDefault="00E21F1C">
      <w:pPr>
        <w:numPr>
          <w:ilvl w:val="0"/>
          <w:numId w:val="2"/>
        </w:numPr>
        <w:tabs>
          <w:tab w:val="left" w:pos="566"/>
          <w:tab w:val="left" w:pos="849"/>
        </w:tabs>
        <w:spacing w:after="113"/>
        <w:jc w:val="both"/>
      </w:pPr>
      <w:r>
        <w:rPr>
          <w:sz w:val="24"/>
        </w:rPr>
        <w:t>Poskytovat dodavateli součinnost k provedení auditu.</w:t>
      </w:r>
    </w:p>
    <w:p w:rsidR="00101610" w:rsidRDefault="00E21F1C">
      <w:pPr>
        <w:numPr>
          <w:ilvl w:val="0"/>
          <w:numId w:val="2"/>
        </w:numPr>
        <w:tabs>
          <w:tab w:val="left" w:pos="566"/>
          <w:tab w:val="left" w:pos="849"/>
        </w:tabs>
        <w:spacing w:after="113"/>
        <w:jc w:val="both"/>
      </w:pPr>
      <w:r>
        <w:rPr>
          <w:sz w:val="24"/>
        </w:rPr>
        <w:t>Předložit dodavateli závěrečné dokumenty k projektu vyžádané auditorem pro přiložení k auditorské zprávě (zejména finanční část).</w:t>
      </w:r>
    </w:p>
    <w:p w:rsidR="00101610" w:rsidRDefault="00E21F1C">
      <w:pPr>
        <w:numPr>
          <w:ilvl w:val="0"/>
          <w:numId w:val="2"/>
        </w:numPr>
        <w:tabs>
          <w:tab w:val="left" w:pos="566"/>
          <w:tab w:val="left" w:pos="849"/>
        </w:tabs>
        <w:spacing w:after="113"/>
        <w:jc w:val="both"/>
      </w:pPr>
      <w:r>
        <w:rPr>
          <w:sz w:val="24"/>
        </w:rPr>
        <w:t>Poskytnout dodavateli všechny podklady, doklady a informace, které budou auditorem vyžádány.</w:t>
      </w:r>
    </w:p>
    <w:p w:rsidR="00101610" w:rsidRDefault="00E21F1C">
      <w:pPr>
        <w:numPr>
          <w:ilvl w:val="0"/>
          <w:numId w:val="2"/>
        </w:numPr>
        <w:tabs>
          <w:tab w:val="left" w:pos="566"/>
        </w:tabs>
        <w:spacing w:after="113"/>
        <w:jc w:val="both"/>
      </w:pPr>
      <w:r>
        <w:rPr>
          <w:sz w:val="24"/>
        </w:rPr>
        <w:t>Jmenovat kontaktní osobu, se kterou budou řešeny problémy v průběhu provádění auditu.</w:t>
      </w:r>
    </w:p>
    <w:p w:rsidR="00101610" w:rsidRDefault="00E21F1C">
      <w:pPr>
        <w:keepNext/>
        <w:tabs>
          <w:tab w:val="left" w:pos="283"/>
        </w:tabs>
        <w:spacing w:before="283" w:after="113"/>
        <w:ind w:left="283"/>
        <w:jc w:val="center"/>
      </w:pPr>
      <w:r>
        <w:rPr>
          <w:b/>
          <w:sz w:val="24"/>
        </w:rPr>
        <w:t>VI.</w:t>
      </w:r>
      <w:r>
        <w:rPr>
          <w:b/>
          <w:sz w:val="24"/>
        </w:rPr>
        <w:br/>
        <w:t>Ochrana osobních údajů</w:t>
      </w:r>
    </w:p>
    <w:p w:rsidR="00101610" w:rsidRDefault="00E21F1C">
      <w:pPr>
        <w:keepNext/>
        <w:numPr>
          <w:ilvl w:val="0"/>
          <w:numId w:val="7"/>
        </w:numPr>
        <w:spacing w:before="113"/>
        <w:jc w:val="both"/>
      </w:pPr>
      <w:r>
        <w:rPr>
          <w:sz w:val="24"/>
          <w:szCs w:val="24"/>
        </w:rPr>
        <w:t xml:space="preserve">Přijde-li dodavatel při plnění svých povinností podle této smlouvy do styku s osobními údaji, zavazuje se tento při zpracování osobních údajů dodržovat veškeré platné a účinné právní předpisy, zejména </w:t>
      </w:r>
      <w:r>
        <w:rPr>
          <w:color w:val="222222"/>
          <w:sz w:val="24"/>
          <w:szCs w:val="24"/>
        </w:rPr>
        <w:t xml:space="preserve">nařízení Evropského parlamentu a Rady (EU) č. 2016/679 </w:t>
      </w:r>
      <w:r>
        <w:rPr>
          <w:color w:val="222222"/>
          <w:sz w:val="24"/>
          <w:szCs w:val="24"/>
        </w:rPr>
        <w:lastRenderedPageBreak/>
        <w:t>o ochraně fyzických osob v souvislosti se zpracováním osobních údajů a o volném pohybu těchto údajů a o zrušení směrnice 95/46/ES (dále jen „Obecné nařízení“)</w:t>
      </w:r>
      <w:r>
        <w:rPr>
          <w:sz w:val="24"/>
          <w:szCs w:val="24"/>
        </w:rPr>
        <w:t>.</w:t>
      </w:r>
    </w:p>
    <w:p w:rsidR="00101610" w:rsidRDefault="00E21F1C">
      <w:pPr>
        <w:numPr>
          <w:ilvl w:val="0"/>
          <w:numId w:val="7"/>
        </w:numPr>
        <w:spacing w:before="113"/>
        <w:jc w:val="both"/>
      </w:pPr>
      <w:r>
        <w:rPr>
          <w:sz w:val="24"/>
          <w:szCs w:val="24"/>
        </w:rPr>
        <w:t>Dodavatel získává osobní údaje na vyžádání od odběratele. Od jejich předání jsou osobní údaje součástí spisu auditora, jehož je dodavatel správcem.</w:t>
      </w:r>
    </w:p>
    <w:p w:rsidR="00101610" w:rsidRDefault="00E21F1C">
      <w:pPr>
        <w:numPr>
          <w:ilvl w:val="0"/>
          <w:numId w:val="7"/>
        </w:numPr>
        <w:spacing w:before="113"/>
        <w:jc w:val="both"/>
      </w:pPr>
      <w:r>
        <w:rPr>
          <w:sz w:val="24"/>
          <w:szCs w:val="24"/>
        </w:rPr>
        <w:t xml:space="preserve">Dodavatel se zavazuje technicky a organizačně zabezpečit osobní údaje získané od odběratele a nakládat s nimi v souladu s Obecným nařízením. Osobní údaje budou zpracovávány prostřednictvím výpočetní techniky a přístup k nim musí být dostatečným způsobem zabezpečen, aby nemohlo dojít k neoprávněnému nebo nahodilému přístupu k osobním údajům, k jejich neoprávněné změně, zničení či jinému zneužití. </w:t>
      </w:r>
    </w:p>
    <w:p w:rsidR="00101610" w:rsidRDefault="00E21F1C">
      <w:pPr>
        <w:numPr>
          <w:ilvl w:val="0"/>
          <w:numId w:val="7"/>
        </w:numPr>
        <w:spacing w:before="113"/>
        <w:jc w:val="both"/>
      </w:pPr>
      <w:r>
        <w:rPr>
          <w:sz w:val="24"/>
          <w:szCs w:val="24"/>
        </w:rPr>
        <w:t>Dodavatel se dále zavazuje udržovat veškeré informace zjištěné při plnění této smlouvy v tajnosti, nezveřejňovat je ve vztahu k třetím osobám. Povinnost mlčenlivosti trvá i po skončení účinnosti této smlouvy.</w:t>
      </w:r>
      <w:r>
        <w:rPr>
          <w:b/>
          <w:sz w:val="24"/>
          <w:szCs w:val="24"/>
        </w:rPr>
        <w:t xml:space="preserve"> </w:t>
      </w:r>
    </w:p>
    <w:p w:rsidR="00101610" w:rsidRDefault="00E21F1C">
      <w:pPr>
        <w:spacing w:before="283"/>
        <w:ind w:left="363"/>
        <w:jc w:val="center"/>
      </w:pPr>
      <w:r>
        <w:rPr>
          <w:b/>
          <w:sz w:val="24"/>
          <w:szCs w:val="24"/>
        </w:rPr>
        <w:t>VII.</w:t>
      </w:r>
      <w:r>
        <w:rPr>
          <w:b/>
          <w:sz w:val="24"/>
          <w:szCs w:val="24"/>
        </w:rPr>
        <w:br/>
        <w:t>Ostatní ujednání</w:t>
      </w:r>
    </w:p>
    <w:p w:rsidR="00101610" w:rsidRDefault="00E21F1C">
      <w:pPr>
        <w:pStyle w:val="Zkladntext"/>
        <w:numPr>
          <w:ilvl w:val="0"/>
          <w:numId w:val="8"/>
        </w:numPr>
        <w:tabs>
          <w:tab w:val="left" w:pos="2904"/>
          <w:tab w:val="left" w:pos="5082"/>
        </w:tabs>
        <w:spacing w:before="113"/>
      </w:pPr>
      <w:r>
        <w:rPr>
          <w:color w:val="00000A"/>
        </w:rPr>
        <w:t>Smlouva se uzavírá na dobu určitou do splnění předmětu smlouvy.</w:t>
      </w:r>
    </w:p>
    <w:p w:rsidR="00101610" w:rsidRDefault="00E21F1C">
      <w:pPr>
        <w:pStyle w:val="Obsah1"/>
        <w:numPr>
          <w:ilvl w:val="0"/>
          <w:numId w:val="8"/>
        </w:numPr>
        <w:tabs>
          <w:tab w:val="clear" w:pos="9638"/>
          <w:tab w:val="left" w:pos="2520"/>
          <w:tab w:val="center" w:pos="9216"/>
          <w:tab w:val="right" w:pos="13752"/>
        </w:tabs>
        <w:spacing w:before="113" w:after="0"/>
      </w:pPr>
      <w:r>
        <w:rPr>
          <w:color w:val="00000A"/>
          <w:sz w:val="24"/>
          <w:szCs w:val="24"/>
        </w:rPr>
        <w:t>Smlouva nabývá platnosti dnem podpisu a účinnosti dnem jejího uveřejnění v registru smluv v souladu se zákonem č. 340/2015 Sb., o zvláštních podmínkách účinnosti některých smluv, uveřejňování těchto smluv a o registru smluv (zákon o registru smluv), ve znění pozdějších předpisů, podle toho, který den nastane později. Smluvní strany se dohodly, že plnění poskytnutá vzájemně mezi smluvními stranami dle předmětu této Smlouvy před její účinností se započítají na plnění dle této Smlouvy dnem její účinnosti.</w:t>
      </w:r>
    </w:p>
    <w:p w:rsidR="00101610" w:rsidRDefault="00E21F1C">
      <w:pPr>
        <w:spacing w:before="283"/>
        <w:jc w:val="center"/>
      </w:pPr>
      <w:r>
        <w:rPr>
          <w:b/>
          <w:sz w:val="24"/>
        </w:rPr>
        <w:t>VIII.</w:t>
      </w:r>
      <w:r>
        <w:rPr>
          <w:b/>
          <w:sz w:val="24"/>
        </w:rPr>
        <w:br/>
        <w:t>Závěrečná ujednání</w:t>
      </w:r>
    </w:p>
    <w:p w:rsidR="00101610" w:rsidRDefault="00E21F1C">
      <w:pPr>
        <w:pStyle w:val="Zkladntext"/>
        <w:numPr>
          <w:ilvl w:val="0"/>
          <w:numId w:val="3"/>
        </w:numPr>
        <w:tabs>
          <w:tab w:val="left" w:pos="2904"/>
          <w:tab w:val="left" w:pos="5082"/>
        </w:tabs>
        <w:spacing w:before="113"/>
      </w:pPr>
      <w:r>
        <w:rPr>
          <w:color w:val="00000A"/>
          <w:szCs w:val="24"/>
        </w:rPr>
        <w:t>Vztahy mezi smluvními stranami se řídí českým právním řádem. Ve věcech Smlouvou výslovně neupravených se právní vztahy z ní vznikající a vyplývající řídí příslušnými ustanoveními občanského zákoníku a ostatními obecně závaznými právními předpisy.</w:t>
      </w:r>
    </w:p>
    <w:p w:rsidR="00101610" w:rsidRDefault="00E21F1C">
      <w:pPr>
        <w:pStyle w:val="Zkladntext"/>
        <w:numPr>
          <w:ilvl w:val="0"/>
          <w:numId w:val="3"/>
        </w:numPr>
        <w:tabs>
          <w:tab w:val="left" w:pos="2904"/>
          <w:tab w:val="left" w:pos="5082"/>
        </w:tabs>
        <w:spacing w:before="113"/>
      </w:pPr>
      <w:r>
        <w:rPr>
          <w:color w:val="00000A"/>
          <w:szCs w:val="24"/>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či emailem, k rukám a na doručovací adresy oprávněných osob dle této Smlouvy.</w:t>
      </w:r>
    </w:p>
    <w:p w:rsidR="00101610" w:rsidRDefault="00E21F1C">
      <w:pPr>
        <w:pStyle w:val="Zkladntext"/>
        <w:numPr>
          <w:ilvl w:val="0"/>
          <w:numId w:val="3"/>
        </w:numPr>
        <w:tabs>
          <w:tab w:val="left" w:pos="2904"/>
          <w:tab w:val="left" w:pos="5082"/>
        </w:tabs>
        <w:spacing w:before="113"/>
      </w:pPr>
      <w:r>
        <w:rPr>
          <w:color w:val="00000A"/>
          <w:szCs w:val="24"/>
        </w:rPr>
        <w:t>Veškeré změny či doplnění Smlouvy lze učinit pouze na základě písemné dohody smluvních stran. Takové dohody musí mít podobu datovaných, číslovaných a oběma smluvními stranami podepsaných dodatků Smlouvy.</w:t>
      </w:r>
    </w:p>
    <w:p w:rsidR="00101610" w:rsidRDefault="00E21F1C">
      <w:pPr>
        <w:pStyle w:val="Zkladntext"/>
        <w:numPr>
          <w:ilvl w:val="0"/>
          <w:numId w:val="3"/>
        </w:numPr>
        <w:tabs>
          <w:tab w:val="left" w:pos="2904"/>
          <w:tab w:val="left" w:pos="5082"/>
        </w:tabs>
        <w:spacing w:before="113"/>
      </w:pPr>
      <w:r>
        <w:rPr>
          <w:color w:val="00000A"/>
          <w:szCs w:val="24"/>
        </w:rPr>
        <w:t>Vztahuje-li se důvod neplatnosti jen na některé ustanovení Smlouvy, je neplatným pouze toto ustanovení, pokud z jeho povahy, obsahu anebo z okolností, za nichž bylo sjednáno, nevyplývá, že jej nelze oddělit od ostatního obsahu Smlouvy.</w:t>
      </w:r>
    </w:p>
    <w:p w:rsidR="00101610" w:rsidRDefault="00E21F1C">
      <w:pPr>
        <w:pStyle w:val="Zkladntext"/>
        <w:keepNext/>
        <w:numPr>
          <w:ilvl w:val="0"/>
          <w:numId w:val="3"/>
        </w:numPr>
        <w:tabs>
          <w:tab w:val="left" w:pos="2904"/>
          <w:tab w:val="left" w:pos="5082"/>
        </w:tabs>
        <w:spacing w:before="113"/>
        <w:ind w:left="363" w:hanging="363"/>
      </w:pPr>
      <w:r>
        <w:rPr>
          <w:color w:val="00000A"/>
          <w:szCs w:val="24"/>
        </w:rPr>
        <w:t>Smluvní strany budou vždy usilovat o přátelské urovnání případných sporů vzniklých ze Smlouvy. Pokud nebylo dosaženo přátelského urovnání sporu ani do 30 pracovních dnů po jeho prvním oznámení druhé smluvní straně, je kterákoliv ze smluvních stran oprávněna obrátit se svým nárokem k  příslušnému soudu.</w:t>
      </w:r>
    </w:p>
    <w:p w:rsidR="00101610" w:rsidRDefault="00E21F1C">
      <w:pPr>
        <w:pStyle w:val="Zkladntext"/>
        <w:numPr>
          <w:ilvl w:val="0"/>
          <w:numId w:val="3"/>
        </w:numPr>
        <w:tabs>
          <w:tab w:val="left" w:pos="2904"/>
          <w:tab w:val="left" w:pos="5082"/>
        </w:tabs>
        <w:spacing w:before="113"/>
      </w:pPr>
      <w:r>
        <w:rPr>
          <w:color w:val="00000A"/>
          <w:szCs w:val="24"/>
        </w:rPr>
        <w:t xml:space="preserve">Dodavatel bezvýhradně souhlasí se zveřejněním plného znění Smlouvy tak, aby tato Smlouva mohla být předmětem poskytnuté informace ve smyslu zákona č. 106/1999 Sb., o svobodném přístupu k informacím, ve znění pozdějších předpisů. Dodavatel rovněž souhlasí s uveřejněním plného znění Smlouvy dle zákona č. 340/2015 Sb., o zvláštních </w:t>
      </w:r>
      <w:r>
        <w:rPr>
          <w:color w:val="00000A"/>
          <w:szCs w:val="24"/>
        </w:rPr>
        <w:lastRenderedPageBreak/>
        <w:t>podmínkách účinnosti některých smluv, uveřejňování těchto smluv a o registru smluv (zákon o registru smluv), ve znění pozdějších předpisů.</w:t>
      </w:r>
    </w:p>
    <w:p w:rsidR="00101610" w:rsidRDefault="00E21F1C">
      <w:pPr>
        <w:pStyle w:val="Zkladntext"/>
        <w:keepNext/>
        <w:numPr>
          <w:ilvl w:val="0"/>
          <w:numId w:val="3"/>
        </w:numPr>
        <w:tabs>
          <w:tab w:val="left" w:pos="2904"/>
          <w:tab w:val="left" w:pos="5082"/>
        </w:tabs>
        <w:spacing w:before="113"/>
      </w:pPr>
      <w:r>
        <w:rPr>
          <w:color w:val="00000A"/>
          <w:szCs w:val="24"/>
        </w:rPr>
        <w:t xml:space="preserve">Tato smlouva je vyhotovena v elektronické podobě v českém jazyce, přičemž obě smluvní strany obdrží její elektronický originál opatřený elektronickými podpisy. V případě, že tato smlouva z jakéhokoli důvodu nebude vyhotovena v elektronické, ale v papírové podobě, obdrží po jednom vyhotovení každá smluvní strana, přičemž obě vyhotovení mají platnost originálu. </w:t>
      </w:r>
    </w:p>
    <w:p w:rsidR="00101610" w:rsidRDefault="00E21F1C">
      <w:pPr>
        <w:pStyle w:val="Zkladntext"/>
        <w:numPr>
          <w:ilvl w:val="0"/>
          <w:numId w:val="3"/>
        </w:numPr>
        <w:tabs>
          <w:tab w:val="left" w:pos="2904"/>
          <w:tab w:val="left" w:pos="5082"/>
        </w:tabs>
        <w:spacing w:before="113" w:after="850"/>
        <w:ind w:left="363" w:hanging="363"/>
      </w:pPr>
      <w:r>
        <w:rPr>
          <w:color w:val="00000A"/>
          <w:szCs w:val="24"/>
        </w:rPr>
        <w:t>Smluvní strany uzavírají tuto smlouvu na základě svobodné a vážné vůle a prohlašují, že smlouva nebyla uzavřena v tísni nebo za nápadně nevýhodných podmínek</w:t>
      </w:r>
    </w:p>
    <w:tbl>
      <w:tblPr>
        <w:tblW w:w="9637" w:type="dxa"/>
        <w:tblInd w:w="-55" w:type="dxa"/>
        <w:tblCellMar>
          <w:top w:w="55" w:type="dxa"/>
          <w:left w:w="55" w:type="dxa"/>
          <w:bottom w:w="55" w:type="dxa"/>
          <w:right w:w="55" w:type="dxa"/>
        </w:tblCellMar>
        <w:tblLook w:val="0000" w:firstRow="0" w:lastRow="0" w:firstColumn="0" w:lastColumn="0" w:noHBand="0" w:noVBand="0"/>
      </w:tblPr>
      <w:tblGrid>
        <w:gridCol w:w="4820"/>
        <w:gridCol w:w="4817"/>
      </w:tblGrid>
      <w:tr w:rsidR="00101610">
        <w:tc>
          <w:tcPr>
            <w:tcW w:w="4819" w:type="dxa"/>
            <w:shd w:val="clear" w:color="auto" w:fill="FFFFFF"/>
          </w:tcPr>
          <w:p w:rsidR="00101610" w:rsidRDefault="00E21F1C">
            <w:pPr>
              <w:widowControl w:val="0"/>
              <w:snapToGrid w:val="0"/>
            </w:pPr>
            <w:r>
              <w:rPr>
                <w:sz w:val="24"/>
                <w:szCs w:val="24"/>
                <w:highlight w:val="white"/>
              </w:rPr>
              <w:t>Dne</w:t>
            </w:r>
            <w:r w:rsidR="00C957C7">
              <w:rPr>
                <w:sz w:val="24"/>
                <w:szCs w:val="24"/>
              </w:rPr>
              <w:t xml:space="preserve"> 21. 9. 2023</w:t>
            </w:r>
            <w:bookmarkStart w:id="1" w:name="_GoBack"/>
            <w:bookmarkEnd w:id="1"/>
          </w:p>
        </w:tc>
        <w:tc>
          <w:tcPr>
            <w:tcW w:w="4817" w:type="dxa"/>
            <w:shd w:val="clear" w:color="auto" w:fill="FFFFFF"/>
          </w:tcPr>
          <w:p w:rsidR="00101610" w:rsidRDefault="00E21F1C">
            <w:pPr>
              <w:widowControl w:val="0"/>
              <w:snapToGrid w:val="0"/>
            </w:pPr>
            <w:r>
              <w:rPr>
                <w:sz w:val="24"/>
                <w:szCs w:val="24"/>
                <w:highlight w:val="white"/>
              </w:rPr>
              <w:t>Dne</w:t>
            </w:r>
            <w:r w:rsidR="00C957C7">
              <w:rPr>
                <w:sz w:val="24"/>
                <w:szCs w:val="24"/>
              </w:rPr>
              <w:t xml:space="preserve"> 18. 9. 2023</w:t>
            </w:r>
          </w:p>
        </w:tc>
      </w:tr>
      <w:tr w:rsidR="00101610">
        <w:tc>
          <w:tcPr>
            <w:tcW w:w="4819" w:type="dxa"/>
            <w:shd w:val="clear" w:color="auto" w:fill="FFFFFF"/>
          </w:tcPr>
          <w:p w:rsidR="00101610" w:rsidRDefault="00E21F1C">
            <w:pPr>
              <w:widowControl w:val="0"/>
              <w:snapToGrid w:val="0"/>
              <w:spacing w:before="850"/>
              <w:jc w:val="center"/>
            </w:pPr>
            <w:r>
              <w:rPr>
                <w:sz w:val="24"/>
                <w:szCs w:val="24"/>
                <w:highlight w:val="white"/>
              </w:rPr>
              <w:t>____________________________</w:t>
            </w:r>
          </w:p>
        </w:tc>
        <w:tc>
          <w:tcPr>
            <w:tcW w:w="4817" w:type="dxa"/>
            <w:shd w:val="clear" w:color="auto" w:fill="FFFFFF"/>
          </w:tcPr>
          <w:p w:rsidR="00101610" w:rsidRDefault="00E21F1C">
            <w:pPr>
              <w:widowControl w:val="0"/>
              <w:snapToGrid w:val="0"/>
              <w:spacing w:before="850"/>
              <w:jc w:val="center"/>
            </w:pPr>
            <w:r>
              <w:rPr>
                <w:sz w:val="24"/>
                <w:szCs w:val="24"/>
                <w:highlight w:val="white"/>
              </w:rPr>
              <w:t>____________________________</w:t>
            </w:r>
          </w:p>
        </w:tc>
      </w:tr>
      <w:tr w:rsidR="00101610">
        <w:tc>
          <w:tcPr>
            <w:tcW w:w="4819" w:type="dxa"/>
            <w:shd w:val="clear" w:color="auto" w:fill="FFFFFF"/>
          </w:tcPr>
          <w:p w:rsidR="00101610" w:rsidRDefault="00E21F1C">
            <w:pPr>
              <w:widowControl w:val="0"/>
              <w:tabs>
                <w:tab w:val="left" w:pos="360"/>
                <w:tab w:val="left" w:pos="1704"/>
                <w:tab w:val="center" w:pos="6696"/>
                <w:tab w:val="right" w:pos="11232"/>
              </w:tabs>
              <w:ind w:left="360" w:hanging="360"/>
              <w:jc w:val="center"/>
            </w:pPr>
            <w:r>
              <w:rPr>
                <w:sz w:val="24"/>
                <w:szCs w:val="24"/>
                <w:highlight w:val="white"/>
              </w:rPr>
              <w:t>Dodavatel</w:t>
            </w:r>
          </w:p>
          <w:p w:rsidR="00101610" w:rsidRDefault="00E21F1C">
            <w:pPr>
              <w:widowControl w:val="0"/>
              <w:tabs>
                <w:tab w:val="left" w:pos="360"/>
                <w:tab w:val="left" w:pos="1704"/>
                <w:tab w:val="center" w:pos="6696"/>
                <w:tab w:val="right" w:pos="11232"/>
              </w:tabs>
              <w:ind w:left="360" w:hanging="360"/>
              <w:jc w:val="center"/>
            </w:pPr>
            <w:r>
              <w:rPr>
                <w:color w:val="00000A"/>
                <w:sz w:val="24"/>
                <w:szCs w:val="24"/>
                <w:highlight w:val="white"/>
              </w:rPr>
              <w:t xml:space="preserve"> Miroslava </w:t>
            </w:r>
            <w:proofErr w:type="spellStart"/>
            <w:r>
              <w:rPr>
                <w:color w:val="00000A"/>
                <w:sz w:val="24"/>
                <w:szCs w:val="24"/>
                <w:highlight w:val="white"/>
              </w:rPr>
              <w:t>Nebuželská</w:t>
            </w:r>
            <w:proofErr w:type="spellEnd"/>
            <w:r>
              <w:rPr>
                <w:color w:val="00000A"/>
                <w:sz w:val="24"/>
                <w:szCs w:val="24"/>
                <w:highlight w:val="white"/>
              </w:rPr>
              <w:t xml:space="preserve">, jednatelka </w:t>
            </w:r>
          </w:p>
        </w:tc>
        <w:tc>
          <w:tcPr>
            <w:tcW w:w="4817" w:type="dxa"/>
            <w:shd w:val="clear" w:color="auto" w:fill="FFFFFF"/>
          </w:tcPr>
          <w:p w:rsidR="00101610" w:rsidRDefault="00E21F1C">
            <w:pPr>
              <w:widowControl w:val="0"/>
              <w:tabs>
                <w:tab w:val="left" w:pos="360"/>
                <w:tab w:val="left" w:pos="1704"/>
                <w:tab w:val="center" w:pos="6696"/>
                <w:tab w:val="right" w:pos="11232"/>
              </w:tabs>
              <w:snapToGrid w:val="0"/>
              <w:ind w:left="360" w:hanging="360"/>
              <w:jc w:val="center"/>
            </w:pPr>
            <w:r>
              <w:rPr>
                <w:sz w:val="24"/>
                <w:szCs w:val="24"/>
                <w:highlight w:val="white"/>
              </w:rPr>
              <w:t>Odběratel</w:t>
            </w:r>
          </w:p>
          <w:p w:rsidR="00101610" w:rsidRDefault="00E21F1C">
            <w:pPr>
              <w:pStyle w:val="Zkladntext"/>
              <w:widowControl w:val="0"/>
              <w:tabs>
                <w:tab w:val="left" w:pos="360"/>
                <w:tab w:val="left" w:pos="1704"/>
                <w:tab w:val="center" w:pos="6696"/>
                <w:tab w:val="right" w:pos="11232"/>
              </w:tabs>
              <w:snapToGrid w:val="0"/>
              <w:ind w:left="360" w:hanging="360"/>
              <w:jc w:val="center"/>
            </w:pPr>
            <w:r>
              <w:rPr>
                <w:szCs w:val="24"/>
                <w:highlight w:val="white"/>
              </w:rPr>
              <w:t>David Mareček, generální ředitel</w:t>
            </w:r>
          </w:p>
        </w:tc>
      </w:tr>
    </w:tbl>
    <w:p w:rsidR="00101610" w:rsidRDefault="00101610"/>
    <w:sectPr w:rsidR="00101610">
      <w:footerReference w:type="default" r:id="rId7"/>
      <w:pgSz w:w="11906" w:h="16838"/>
      <w:pgMar w:top="1417" w:right="1417" w:bottom="1417" w:left="1417" w:header="0" w:footer="720" w:gutter="0"/>
      <w:cols w:space="708"/>
      <w:formProt w:val="0"/>
      <w:docGrid w:linePitch="600" w:charSpace="491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142" w:rsidRDefault="00FF4142">
      <w:r>
        <w:separator/>
      </w:r>
    </w:p>
  </w:endnote>
  <w:endnote w:type="continuationSeparator" w:id="0">
    <w:p w:rsidR="00FF4142" w:rsidRDefault="00FF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swiss"/>
    <w:pitch w:val="variable"/>
  </w:font>
  <w:font w:name="NSimSun">
    <w:panose1 w:val="02010609030101010101"/>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OpenSymbol">
    <w:altName w:val="Arial Unicode MS"/>
    <w:charset w:val="EE"/>
    <w:family w:val="roman"/>
    <w:pitch w:val="variable"/>
  </w:font>
  <w:font w:name="Liberation Sans">
    <w:altName w:val="Arial"/>
    <w:charset w:val="EE"/>
    <w:family w:val="roman"/>
    <w:pitch w:val="variable"/>
  </w:font>
  <w:font w:name="PingFang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610" w:rsidRDefault="00E21F1C">
    <w:pPr>
      <w:pStyle w:val="Zpat"/>
      <w:ind w:right="30"/>
      <w:jc w:val="right"/>
    </w:pPr>
    <w:r>
      <w:t xml:space="preserve">Strana </w:t>
    </w:r>
    <w:r>
      <w:fldChar w:fldCharType="begin"/>
    </w:r>
    <w:r>
      <w:instrText>PAGE</w:instrText>
    </w:r>
    <w:r>
      <w:fldChar w:fldCharType="separate"/>
    </w:r>
    <w:r w:rsidR="00C957C7">
      <w:rPr>
        <w:noProof/>
      </w:rPr>
      <w:t>4</w:t>
    </w:r>
    <w:r>
      <w:fldChar w:fldCharType="end"/>
    </w:r>
    <w:r>
      <w:rPr>
        <w:lang w:val="en-US"/>
      </w:rPr>
      <w:t>/</w:t>
    </w:r>
    <w:r>
      <w:rPr>
        <w:lang w:val="en-US"/>
      </w:rPr>
      <w:fldChar w:fldCharType="begin"/>
    </w:r>
    <w:r>
      <w:instrText>NUMPAGES</w:instrText>
    </w:r>
    <w:r>
      <w:fldChar w:fldCharType="separate"/>
    </w:r>
    <w:r w:rsidR="00C957C7">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142" w:rsidRDefault="00FF4142">
      <w:r>
        <w:separator/>
      </w:r>
    </w:p>
  </w:footnote>
  <w:footnote w:type="continuationSeparator" w:id="0">
    <w:p w:rsidR="00FF4142" w:rsidRDefault="00FF41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F5D1D"/>
    <w:multiLevelType w:val="multilevel"/>
    <w:tmpl w:val="CFF816E0"/>
    <w:lvl w:ilvl="0">
      <w:start w:val="1"/>
      <w:numFmt w:val="decimal"/>
      <w:lvlText w:val="%1."/>
      <w:lvlJc w:val="left"/>
      <w:pPr>
        <w:tabs>
          <w:tab w:val="num" w:pos="363"/>
        </w:tabs>
        <w:ind w:left="363" w:hanging="363"/>
      </w:pPr>
      <w:rPr>
        <w:rFonts w:eastAsia="Times New Roman" w:cs="Times New Roman"/>
        <w:b w:val="0"/>
        <w:bCs w:val="0"/>
        <w:sz w:val="24"/>
        <w:szCs w:val="24"/>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65D1898"/>
    <w:multiLevelType w:val="multilevel"/>
    <w:tmpl w:val="597EB4F4"/>
    <w:lvl w:ilvl="0">
      <w:start w:val="1"/>
      <w:numFmt w:val="decimal"/>
      <w:lvlText w:val="%1."/>
      <w:lvlJc w:val="left"/>
      <w:pPr>
        <w:tabs>
          <w:tab w:val="num" w:pos="360"/>
        </w:tabs>
        <w:ind w:left="360" w:hanging="360"/>
      </w:pPr>
      <w:rPr>
        <w:sz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494B0C78"/>
    <w:multiLevelType w:val="multilevel"/>
    <w:tmpl w:val="15A23D16"/>
    <w:lvl w:ilvl="0">
      <w:start w:val="1"/>
      <w:numFmt w:val="decimal"/>
      <w:lvlText w:val="%1."/>
      <w:lvlJc w:val="left"/>
      <w:pPr>
        <w:tabs>
          <w:tab w:val="num" w:pos="360"/>
        </w:tabs>
        <w:ind w:left="360" w:hanging="360"/>
      </w:pPr>
      <w:rPr>
        <w:rFonts w:eastAsia="Times New Roman" w:cs="Times New Roman"/>
        <w:b w:val="0"/>
        <w:bCs w:val="0"/>
        <w:color w:val="00000A"/>
        <w:sz w:val="24"/>
        <w:szCs w:val="24"/>
        <w:lang w:val="cs-CZ"/>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539F3A9A"/>
    <w:multiLevelType w:val="multilevel"/>
    <w:tmpl w:val="EC0AC28A"/>
    <w:lvl w:ilvl="0">
      <w:start w:val="1"/>
      <w:numFmt w:val="lowerLetter"/>
      <w:lvlText w:val="%1)"/>
      <w:lvlJc w:val="left"/>
      <w:pPr>
        <w:tabs>
          <w:tab w:val="num" w:pos="283"/>
        </w:tabs>
        <w:ind w:left="283" w:hanging="283"/>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5D87D16"/>
    <w:multiLevelType w:val="multilevel"/>
    <w:tmpl w:val="EFDEC94C"/>
    <w:lvl w:ilvl="0">
      <w:start w:val="1"/>
      <w:numFmt w:val="lowerLetter"/>
      <w:lvlText w:val="%1)"/>
      <w:lvlJc w:val="left"/>
      <w:pPr>
        <w:tabs>
          <w:tab w:val="num" w:pos="283"/>
        </w:tabs>
        <w:ind w:left="283" w:hanging="283"/>
      </w:pPr>
      <w:rPr>
        <w:rFonts w:eastAsia="Times New Roman" w:cs="Times New Roman"/>
        <w:sz w:val="24"/>
        <w:szCs w:val="20"/>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4AC4E9A"/>
    <w:multiLevelType w:val="multilevel"/>
    <w:tmpl w:val="3C525E30"/>
    <w:lvl w:ilvl="0">
      <w:start w:val="1"/>
      <w:numFmt w:val="decimal"/>
      <w:lvlText w:val="%1."/>
      <w:lvlJc w:val="left"/>
      <w:pPr>
        <w:tabs>
          <w:tab w:val="num" w:pos="363"/>
        </w:tabs>
        <w:ind w:left="363" w:hanging="363"/>
      </w:pPr>
      <w:rPr>
        <w:rFonts w:eastAsia="Times New Roman" w:cs="Times New Roman"/>
        <w:b w:val="0"/>
        <w:bCs w:val="0"/>
        <w:sz w:val="24"/>
        <w:szCs w:val="24"/>
        <w:lang w:val="cs-CZ"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A24113F"/>
    <w:multiLevelType w:val="multilevel"/>
    <w:tmpl w:val="BB6A8A1C"/>
    <w:lvl w:ilvl="0">
      <w:start w:val="1"/>
      <w:numFmt w:val="decimal"/>
      <w:lvlText w:val="%1."/>
      <w:lvlJc w:val="left"/>
      <w:pPr>
        <w:tabs>
          <w:tab w:val="num" w:pos="363"/>
        </w:tabs>
        <w:ind w:left="363" w:hanging="363"/>
      </w:pPr>
      <w:rPr>
        <w:rFonts w:eastAsia="Times New Roman" w:cs="Times New Roman"/>
        <w:b w:val="0"/>
        <w:bCs w:val="0"/>
        <w:color w:val="00000A"/>
        <w:sz w:val="24"/>
        <w:szCs w:val="24"/>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A3177AD"/>
    <w:multiLevelType w:val="multilevel"/>
    <w:tmpl w:val="DAC692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E235441"/>
    <w:multiLevelType w:val="multilevel"/>
    <w:tmpl w:val="049E8526"/>
    <w:lvl w:ilvl="0">
      <w:start w:val="1"/>
      <w:numFmt w:val="decimal"/>
      <w:lvlText w:val="%1."/>
      <w:lvlJc w:val="left"/>
      <w:pPr>
        <w:tabs>
          <w:tab w:val="num" w:pos="360"/>
        </w:tabs>
        <w:ind w:left="360" w:hanging="360"/>
      </w:pPr>
      <w:rPr>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7EE901CC"/>
    <w:multiLevelType w:val="multilevel"/>
    <w:tmpl w:val="603696E0"/>
    <w:lvl w:ilvl="0">
      <w:start w:val="1"/>
      <w:numFmt w:val="decimal"/>
      <w:lvlText w:val="%1."/>
      <w:lvlJc w:val="left"/>
      <w:pPr>
        <w:tabs>
          <w:tab w:val="num" w:pos="360"/>
        </w:tabs>
        <w:ind w:left="360" w:hanging="360"/>
      </w:pPr>
      <w:rPr>
        <w:rFonts w:eastAsia="Times New Roman" w:cs="Times New Roman"/>
        <w:sz w:val="24"/>
        <w:szCs w:val="24"/>
        <w:lang w:val="cs-CZ"/>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3"/>
  </w:num>
  <w:num w:numId="2">
    <w:abstractNumId w:val="4"/>
  </w:num>
  <w:num w:numId="3">
    <w:abstractNumId w:val="8"/>
  </w:num>
  <w:num w:numId="4">
    <w:abstractNumId w:val="2"/>
  </w:num>
  <w:num w:numId="5">
    <w:abstractNumId w:val="9"/>
  </w:num>
  <w:num w:numId="6">
    <w:abstractNumId w:val="1"/>
  </w:num>
  <w:num w:numId="7">
    <w:abstractNumId w:val="0"/>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10"/>
    <w:rsid w:val="00101610"/>
    <w:rsid w:val="005453E3"/>
    <w:rsid w:val="00C957C7"/>
    <w:rsid w:val="00E21F1C"/>
    <w:rsid w:val="00FF414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EBD9"/>
  <w15:docId w15:val="{10741F86-21EE-4230-B484-122FF44C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lang w:eastAsia="zh-CN"/>
    </w:rPr>
  </w:style>
  <w:style w:type="paragraph" w:styleId="Nadpis2">
    <w:name w:val="heading 2"/>
    <w:basedOn w:val="Nadpis"/>
    <w:next w:val="Zkladntext"/>
    <w:qFormat/>
    <w:pPr>
      <w:spacing w:before="200"/>
      <w:outlineLvl w:val="1"/>
    </w:pPr>
    <w:rPr>
      <w:rFonts w:ascii="Liberation Serif" w:eastAsia="NSimSun" w:hAnsi="Liberation Serif" w:cs="Arial"/>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 w:val="24"/>
    </w:rPr>
  </w:style>
  <w:style w:type="character" w:customStyle="1" w:styleId="WW8Num3z0">
    <w:name w:val="WW8Num3z0"/>
    <w:qFormat/>
    <w:rPr>
      <w:rFonts w:eastAsia="Times New Roman" w:cs="Times New Roman"/>
      <w:color w:val="auto"/>
      <w:sz w:val="24"/>
      <w:szCs w:val="20"/>
      <w:lang w:val="cs-CZ"/>
    </w:rPr>
  </w:style>
  <w:style w:type="character" w:customStyle="1" w:styleId="WW8Num4z0">
    <w:name w:val="WW8Num4z0"/>
    <w:qFormat/>
    <w:rPr>
      <w:szCs w:val="24"/>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eastAsia="Times New Roman" w:cs="Times New Roman"/>
      <w:b w:val="0"/>
      <w:bCs w:val="0"/>
      <w:color w:val="00000A"/>
      <w:sz w:val="24"/>
      <w:szCs w:val="24"/>
      <w:lang w:val="cs-CZ"/>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eastAsia="Times New Roman" w:cs="Times New Roman"/>
      <w:color w:val="auto"/>
      <w:sz w:val="24"/>
      <w:szCs w:val="24"/>
      <w:lang w:val="cs-CZ"/>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sz w:val="24"/>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eastAsia="Times New Roman" w:cs="Times New Roman"/>
      <w:b w:val="0"/>
      <w:bCs w:val="0"/>
      <w:color w:val="auto"/>
      <w:sz w:val="24"/>
      <w:szCs w:val="24"/>
      <w:lang w:val="cs-CZ"/>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eastAsia="Times New Roman" w:cs="Times New Roman"/>
      <w:b w:val="0"/>
      <w:bCs w:val="0"/>
      <w:sz w:val="24"/>
      <w:szCs w:val="24"/>
      <w:lang w:val="cs-CZ" w:bidi="ar-SA"/>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eastAsia="Times New Roman" w:cs="Times New Roman"/>
      <w:b w:val="0"/>
      <w:bCs w:val="0"/>
      <w:color w:val="00000A"/>
      <w:sz w:val="24"/>
      <w:szCs w:val="24"/>
      <w:lang w:val="cs-CZ"/>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Standardnpsmoodstavce2">
    <w:name w:val="Standardní písmo odstavce2"/>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Absatz-Standardschriftart">
    <w:name w:val="Absatz-Standardschriftart"/>
    <w:qFormat/>
  </w:style>
  <w:style w:type="character" w:customStyle="1" w:styleId="Standardnpsmoodstavce1">
    <w:name w:val="Standardní písmo odstavce1"/>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Standardnpsmoodstavce">
    <w:name w:val="WW-Standardní písmo odstavce"/>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Standardnpsmoodstavce1">
    <w:name w:val="WW-Standardní písmo odstavce1"/>
    <w:qFormat/>
  </w:style>
  <w:style w:type="character" w:styleId="slostrnky">
    <w:name w:val="page number"/>
    <w:basedOn w:val="WW-Standardnpsmoodstavce1"/>
    <w:qFormat/>
  </w:style>
  <w:style w:type="character" w:customStyle="1" w:styleId="Symbolyproslovn">
    <w:name w:val="Symboly pro číslování"/>
    <w:qFormat/>
    <w:rPr>
      <w:sz w:val="24"/>
      <w:szCs w:val="24"/>
    </w:rPr>
  </w:style>
  <w:style w:type="character" w:customStyle="1" w:styleId="Odrky">
    <w:name w:val="Odrážky"/>
    <w:qFormat/>
    <w:rPr>
      <w:rFonts w:ascii="OpenSymbol" w:eastAsia="OpenSymbol" w:hAnsi="OpenSymbol" w:cs="OpenSymbol"/>
    </w:rPr>
  </w:style>
  <w:style w:type="character" w:customStyle="1" w:styleId="ListLabel62">
    <w:name w:val="ListLabel 62"/>
    <w:qFormat/>
    <w:rPr>
      <w:rFonts w:eastAsia="Times New Roman" w:cs="Times New Roman"/>
      <w:b w:val="0"/>
      <w:bCs w:val="0"/>
      <w:sz w:val="24"/>
      <w:szCs w:val="24"/>
      <w:lang w:val="cs-CZ"/>
    </w:rPr>
  </w:style>
  <w:style w:type="character" w:customStyle="1" w:styleId="ListLabel37">
    <w:name w:val="ListLabel 37"/>
    <w:qFormat/>
  </w:style>
  <w:style w:type="character" w:customStyle="1" w:styleId="ListLabel38">
    <w:name w:val="ListLabel 38"/>
    <w:qFormat/>
  </w:style>
  <w:style w:type="character" w:customStyle="1" w:styleId="ListLabel39">
    <w:name w:val="ListLabel 39"/>
    <w:qFormat/>
  </w:style>
  <w:style w:type="character" w:customStyle="1" w:styleId="ListLabel40">
    <w:name w:val="ListLabel 40"/>
    <w:qFormat/>
  </w:style>
  <w:style w:type="character" w:customStyle="1" w:styleId="ListLabel41">
    <w:name w:val="ListLabel 41"/>
    <w:qFormat/>
  </w:style>
  <w:style w:type="character" w:customStyle="1" w:styleId="ListLabel42">
    <w:name w:val="ListLabel 42"/>
    <w:qFormat/>
  </w:style>
  <w:style w:type="character" w:customStyle="1" w:styleId="ListLabel43">
    <w:name w:val="ListLabel 43"/>
    <w:qFormat/>
  </w:style>
  <w:style w:type="character" w:customStyle="1" w:styleId="ListLabel44">
    <w:name w:val="ListLabel 44"/>
    <w:qFormat/>
  </w:style>
  <w:style w:type="character" w:customStyle="1" w:styleId="ListLabel45">
    <w:name w:val="ListLabel 45"/>
    <w:qFormat/>
  </w:style>
  <w:style w:type="character" w:customStyle="1" w:styleId="ListLabel28">
    <w:name w:val="ListLabel 28"/>
    <w:qFormat/>
    <w:rPr>
      <w:rFonts w:eastAsia="Times New Roman" w:cs="Times New Roman"/>
      <w:b w:val="0"/>
      <w:bCs w:val="0"/>
      <w:sz w:val="24"/>
      <w:szCs w:val="20"/>
      <w:lang w:val="cs-CZ" w:bidi="ar-SA"/>
    </w:rPr>
  </w:style>
  <w:style w:type="character" w:customStyle="1" w:styleId="ListLabel29">
    <w:name w:val="ListLabel 29"/>
    <w:qFormat/>
  </w:style>
  <w:style w:type="character" w:customStyle="1" w:styleId="ListLabel30">
    <w:name w:val="ListLabel 30"/>
    <w:qFormat/>
  </w:style>
  <w:style w:type="character" w:customStyle="1" w:styleId="ListLabel31">
    <w:name w:val="ListLabel 31"/>
    <w:qFormat/>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style>
  <w:style w:type="character" w:customStyle="1" w:styleId="ListLabel63">
    <w:name w:val="ListLabel 63"/>
    <w:qFormat/>
    <w:rPr>
      <w:sz w:val="24"/>
    </w:rPr>
  </w:style>
  <w:style w:type="character" w:customStyle="1" w:styleId="ListLabel64">
    <w:name w:val="ListLabel 64"/>
    <w:qFormat/>
    <w:rPr>
      <w:rFonts w:eastAsia="Times New Roman" w:cs="Times New Roman"/>
      <w:sz w:val="24"/>
      <w:szCs w:val="20"/>
      <w:lang w:val="cs-CZ"/>
    </w:rPr>
  </w:style>
  <w:style w:type="character" w:customStyle="1" w:styleId="ListLabel65">
    <w:name w:val="ListLabel 65"/>
    <w:qFormat/>
    <w:rPr>
      <w:szCs w:val="24"/>
    </w:rPr>
  </w:style>
  <w:style w:type="character" w:customStyle="1" w:styleId="ListLabel66">
    <w:name w:val="ListLabel 66"/>
    <w:qFormat/>
    <w:rPr>
      <w:rFonts w:eastAsia="Times New Roman" w:cs="Times New Roman"/>
      <w:b w:val="0"/>
      <w:bCs w:val="0"/>
      <w:color w:val="00000A"/>
      <w:sz w:val="24"/>
      <w:szCs w:val="24"/>
      <w:lang w:val="cs-CZ"/>
    </w:rPr>
  </w:style>
  <w:style w:type="character" w:customStyle="1" w:styleId="ListLabel67">
    <w:name w:val="ListLabel 67"/>
    <w:qFormat/>
    <w:rPr>
      <w:rFonts w:eastAsia="Times New Roman" w:cs="Times New Roman"/>
      <w:sz w:val="24"/>
      <w:szCs w:val="24"/>
      <w:lang w:val="cs-CZ"/>
    </w:rPr>
  </w:style>
  <w:style w:type="character" w:customStyle="1" w:styleId="ListLabel68">
    <w:name w:val="ListLabel 68"/>
    <w:qFormat/>
    <w:rPr>
      <w:sz w:val="24"/>
    </w:rPr>
  </w:style>
  <w:style w:type="character" w:customStyle="1" w:styleId="ListLabel69">
    <w:name w:val="ListLabel 69"/>
    <w:qFormat/>
    <w:rPr>
      <w:rFonts w:eastAsia="Times New Roman" w:cs="Times New Roman"/>
      <w:b w:val="0"/>
      <w:bCs w:val="0"/>
      <w:sz w:val="24"/>
      <w:szCs w:val="24"/>
      <w:lang w:val="cs-CZ"/>
    </w:rPr>
  </w:style>
  <w:style w:type="character" w:customStyle="1" w:styleId="ListLabel70">
    <w:name w:val="ListLabel 70"/>
    <w:qFormat/>
    <w:rPr>
      <w:rFonts w:eastAsia="Times New Roman" w:cs="Times New Roman"/>
      <w:b w:val="0"/>
      <w:bCs w:val="0"/>
      <w:sz w:val="24"/>
      <w:szCs w:val="24"/>
      <w:lang w:val="cs-CZ" w:bidi="ar-SA"/>
    </w:rPr>
  </w:style>
  <w:style w:type="character" w:customStyle="1" w:styleId="ListLabel71">
    <w:name w:val="ListLabel 71"/>
    <w:qFormat/>
    <w:rPr>
      <w:rFonts w:eastAsia="Times New Roman" w:cs="Times New Roman"/>
      <w:b w:val="0"/>
      <w:bCs w:val="0"/>
      <w:color w:val="00000A"/>
      <w:sz w:val="24"/>
      <w:szCs w:val="24"/>
      <w:lang w:val="cs-CZ"/>
    </w:rPr>
  </w:style>
  <w:style w:type="paragraph" w:customStyle="1" w:styleId="Nadpis">
    <w:name w:val="Nadpis"/>
    <w:basedOn w:val="Normln"/>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
    <w:pPr>
      <w:jc w:val="both"/>
    </w:pPr>
    <w:rPr>
      <w:sz w:val="24"/>
    </w:r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rPr>
  </w:style>
  <w:style w:type="paragraph" w:customStyle="1" w:styleId="Rejstk">
    <w:name w:val="Rejstřík"/>
    <w:basedOn w:val="Normln"/>
    <w:qFormat/>
    <w:pPr>
      <w:suppressLineNumbers/>
    </w:pPr>
    <w:rPr>
      <w:rFonts w:cs="Arial Unicode MS"/>
    </w:rPr>
  </w:style>
  <w:style w:type="paragraph" w:customStyle="1" w:styleId="Titulek1">
    <w:name w:val="Titulek1"/>
    <w:basedOn w:val="Normln"/>
    <w:qFormat/>
    <w:pPr>
      <w:suppressLineNumbers/>
      <w:spacing w:before="120" w:after="120"/>
    </w:pPr>
    <w:rPr>
      <w:rFonts w:cs="Arial Unicode MS"/>
      <w:i/>
      <w:iCs/>
      <w:sz w:val="24"/>
      <w:szCs w:val="24"/>
    </w:rPr>
  </w:style>
  <w:style w:type="paragraph" w:customStyle="1" w:styleId="HeaderandFooter">
    <w:name w:val="Header and Footer"/>
    <w:basedOn w:val="Normln"/>
    <w:qFormat/>
    <w:pPr>
      <w:suppressLineNumbers/>
      <w:tabs>
        <w:tab w:val="center" w:pos="4819"/>
        <w:tab w:val="right" w:pos="9638"/>
      </w:tabs>
    </w:pPr>
  </w:style>
  <w:style w:type="paragraph" w:styleId="Zpat">
    <w:name w:val="footer"/>
    <w:basedOn w:val="Normln"/>
    <w:pPr>
      <w:tabs>
        <w:tab w:val="center" w:pos="4536"/>
        <w:tab w:val="right" w:pos="9072"/>
      </w:tabs>
    </w:pPr>
  </w:style>
  <w:style w:type="paragraph" w:customStyle="1" w:styleId="WW-Zkladntext2">
    <w:name w:val="WW-Základní text 2"/>
    <w:basedOn w:val="Normln"/>
    <w:qFormat/>
    <w:rPr>
      <w:sz w:val="24"/>
    </w:rPr>
  </w:style>
  <w:style w:type="paragraph" w:customStyle="1" w:styleId="Obsahrmce">
    <w:name w:val="Obsah rámce"/>
    <w:basedOn w:val="Zkladntext"/>
    <w:qFormat/>
  </w:style>
  <w:style w:type="paragraph" w:styleId="Zhlav">
    <w:name w:val="header"/>
    <w:basedOn w:val="Normln"/>
    <w:pPr>
      <w:suppressLineNumbers/>
      <w:tabs>
        <w:tab w:val="center" w:pos="4819"/>
        <w:tab w:val="right" w:pos="9638"/>
      </w:tabs>
    </w:p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paragraph" w:styleId="Obsah1">
    <w:name w:val="toc 1"/>
    <w:basedOn w:val="Rejstk"/>
    <w:pPr>
      <w:tabs>
        <w:tab w:val="right" w:leader="dot" w:pos="9638"/>
      </w:tabs>
      <w:spacing w:after="170"/>
      <w:ind w:left="363" w:hanging="363"/>
      <w:jc w:val="both"/>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7080</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SMLOUVA O POSKYTOVÁNÍ AUDITORSKÝCH SLUŽEB</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AUDITORSKÝCH SLUŽEB</dc:title>
  <dc:subject/>
  <dc:creator>Petra Půlpytlová</dc:creator>
  <dc:description/>
  <cp:lastModifiedBy>Šrůmová Hana</cp:lastModifiedBy>
  <cp:revision>3</cp:revision>
  <dcterms:created xsi:type="dcterms:W3CDTF">2023-09-25T07:12:00Z</dcterms:created>
  <dcterms:modified xsi:type="dcterms:W3CDTF">2023-09-25T07:29:00Z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