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F3" w:rsidRDefault="000076E5">
      <w:pPr>
        <w:spacing w:after="0" w:line="233" w:lineRule="auto"/>
        <w:ind w:left="6773" w:right="658" w:hanging="6822"/>
        <w:jc w:val="left"/>
      </w:pPr>
      <w:r>
        <w:rPr>
          <w:noProof/>
        </w:rPr>
        <w:drawing>
          <wp:inline distT="0" distB="0" distL="0" distR="0">
            <wp:extent cx="1188840" cy="426811"/>
            <wp:effectExtent l="0" t="0" r="0" b="0"/>
            <wp:docPr id="2950" name="Picture 2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" name="Picture 29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8840" cy="42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Žižkova 1058, 580 01 Havlíčkův Brod tel. 569 425 645, 602 355 700</w:t>
      </w:r>
    </w:p>
    <w:p w:rsidR="00BA6FF3" w:rsidRDefault="000076E5">
      <w:pPr>
        <w:spacing w:after="542" w:line="259" w:lineRule="auto"/>
        <w:ind w:left="52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49107" cy="6097"/>
                <wp:effectExtent l="0" t="0" r="0" b="0"/>
                <wp:docPr id="16837" name="Group 16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107" cy="6097"/>
                          <a:chOff x="0" y="0"/>
                          <a:chExt cx="5749107" cy="6097"/>
                        </a:xfrm>
                      </wpg:grpSpPr>
                      <wps:wsp>
                        <wps:cNvPr id="16836" name="Shape 16836"/>
                        <wps:cNvSpPr/>
                        <wps:spPr>
                          <a:xfrm>
                            <a:off x="0" y="0"/>
                            <a:ext cx="574910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107" h="6097">
                                <a:moveTo>
                                  <a:pt x="0" y="3049"/>
                                </a:moveTo>
                                <a:lnTo>
                                  <a:pt x="5749107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37" style="width:452.686pt;height:0.480103pt;mso-position-horizontal-relative:char;mso-position-vertical-relative:line" coordsize="57491,60">
                <v:shape id="Shape 16836" style="position:absolute;width:57491;height:60;left:0;top:0;" coordsize="5749107,6097" path="m0,3049l5749107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A6FF3" w:rsidRDefault="000076E5">
      <w:pPr>
        <w:pStyle w:val="Nadpis1"/>
      </w:pPr>
      <w:r>
        <w:t>Smlouva o dílo</w:t>
      </w:r>
    </w:p>
    <w:p w:rsidR="00BA6FF3" w:rsidRDefault="000076E5">
      <w:pPr>
        <w:tabs>
          <w:tab w:val="center" w:pos="5065"/>
          <w:tab w:val="center" w:pos="9109"/>
        </w:tabs>
        <w:spacing w:after="0" w:line="259" w:lineRule="auto"/>
        <w:ind w:left="0"/>
        <w:jc w:val="left"/>
      </w:pPr>
      <w:r>
        <w:rPr>
          <w:sz w:val="26"/>
        </w:rPr>
        <w:tab/>
        <w:t>uzavřená ve smyslu S 2586 a násl. zákona č. 89/2012 Sb., občanský zákoník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21339" cy="24389"/>
            <wp:effectExtent l="0" t="0" r="0" b="0"/>
            <wp:docPr id="2710" name="Picture 2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" name="Picture 27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2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FF3" w:rsidRDefault="000076E5">
      <w:pPr>
        <w:spacing w:after="403" w:line="259" w:lineRule="auto"/>
        <w:ind w:left="-1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21673" cy="18292"/>
                <wp:effectExtent l="0" t="0" r="0" b="0"/>
                <wp:docPr id="16839" name="Group 16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673" cy="18292"/>
                          <a:chOff x="0" y="0"/>
                          <a:chExt cx="5721673" cy="18292"/>
                        </a:xfrm>
                      </wpg:grpSpPr>
                      <wps:wsp>
                        <wps:cNvPr id="16838" name="Shape 16838"/>
                        <wps:cNvSpPr/>
                        <wps:spPr>
                          <a:xfrm>
                            <a:off x="0" y="0"/>
                            <a:ext cx="5721673" cy="18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673" h="18292">
                                <a:moveTo>
                                  <a:pt x="0" y="9146"/>
                                </a:moveTo>
                                <a:lnTo>
                                  <a:pt x="5721673" y="9146"/>
                                </a:lnTo>
                              </a:path>
                            </a:pathLst>
                          </a:custGeom>
                          <a:ln w="182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39" style="width:450.525pt;height:1.44029pt;mso-position-horizontal-relative:char;mso-position-vertical-relative:line" coordsize="57216,182">
                <v:shape id="Shape 16838" style="position:absolute;width:57216;height:182;left:0;top:0;" coordsize="5721673,18292" path="m0,9146l5721673,9146">
                  <v:stroke weight="1.4402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A6FF3" w:rsidRDefault="000076E5">
      <w:pPr>
        <w:pStyle w:val="Nadpis2"/>
        <w:ind w:left="5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7008059</wp:posOffset>
            </wp:positionH>
            <wp:positionV relativeFrom="page">
              <wp:posOffset>6155228</wp:posOffset>
            </wp:positionV>
            <wp:extent cx="3049" cy="9146"/>
            <wp:effectExtent l="0" t="0" r="0" b="0"/>
            <wp:wrapSquare wrapText="bothSides"/>
            <wp:docPr id="2745" name="Picture 2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" name="Picture 27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 Smluvní strany</w:t>
      </w:r>
    </w:p>
    <w:tbl>
      <w:tblPr>
        <w:tblStyle w:val="TableGrid"/>
        <w:tblW w:w="8175" w:type="dxa"/>
        <w:tblInd w:w="-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5957"/>
      </w:tblGrid>
      <w:tr w:rsidR="00BA6FF3">
        <w:trPr>
          <w:trHeight w:val="2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tabs>
                <w:tab w:val="right" w:pos="2218"/>
              </w:tabs>
              <w:spacing w:after="0" w:line="259" w:lineRule="auto"/>
              <w:ind w:left="0"/>
              <w:jc w:val="left"/>
            </w:pPr>
            <w:r>
              <w:rPr>
                <w:sz w:val="22"/>
              </w:rPr>
              <w:t>Objednatel</w:t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2" cy="15243"/>
                  <wp:effectExtent l="0" t="0" r="0" b="0"/>
                  <wp:docPr id="2712" name="Picture 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Picture 27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2" cy="18292"/>
                  <wp:effectExtent l="0" t="0" r="0" b="0"/>
                  <wp:docPr id="2711" name="Picture 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Picture 27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0"/>
            </w:pPr>
            <w:r>
              <w:t>Základní škola a Mateřská škola Havlíčkův Brod, Konečná 1884</w:t>
            </w:r>
          </w:p>
        </w:tc>
      </w:tr>
      <w:tr w:rsidR="00BA6FF3">
        <w:trPr>
          <w:trHeight w:val="25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tabs>
                <w:tab w:val="right" w:pos="2218"/>
              </w:tabs>
              <w:spacing w:after="0" w:line="259" w:lineRule="auto"/>
              <w:ind w:left="0"/>
              <w:jc w:val="left"/>
            </w:pPr>
            <w:r>
              <w:t>adresa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1" cy="15243"/>
                  <wp:effectExtent l="0" t="0" r="0" b="0"/>
                  <wp:docPr id="2713" name="Picture 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Picture 2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1" cy="15243"/>
                  <wp:effectExtent l="0" t="0" r="0" b="0"/>
                  <wp:docPr id="2714" name="Picture 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Picture 27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19"/>
              <w:jc w:val="left"/>
            </w:pPr>
            <w:r>
              <w:rPr>
                <w:sz w:val="22"/>
              </w:rPr>
              <w:t>Konečná 1884, 580 01 Havlíčkův Brod</w:t>
            </w:r>
          </w:p>
        </w:tc>
      </w:tr>
      <w:tr w:rsidR="00BA6FF3">
        <w:trPr>
          <w:trHeight w:val="499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5" w:hanging="5"/>
              <w:jc w:val="left"/>
            </w:pPr>
            <w:r>
              <w:rPr>
                <w:sz w:val="22"/>
              </w:rPr>
              <w:t>zastoupená</w:t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3" cy="18292"/>
                  <wp:effectExtent l="0" t="0" r="0" b="0"/>
                  <wp:docPr id="2715" name="Picture 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Picture 27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2" cy="15243"/>
                  <wp:effectExtent l="0" t="0" r="0" b="0"/>
                  <wp:docPr id="2716" name="Picture 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Picture 27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ve věcech smluvních </w:t>
            </w:r>
            <w:r>
              <w:rPr>
                <w:noProof/>
              </w:rPr>
              <w:drawing>
                <wp:inline distT="0" distB="0" distL="0" distR="0">
                  <wp:extent cx="12193" cy="15243"/>
                  <wp:effectExtent l="0" t="0" r="0" b="0"/>
                  <wp:docPr id="2717" name="Picture 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Picture 27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3" cy="18292"/>
                  <wp:effectExtent l="0" t="0" r="0" b="0"/>
                  <wp:docPr id="2718" name="Picture 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Picture 27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19"/>
              <w:jc w:val="left"/>
            </w:pPr>
            <w:r>
              <w:rPr>
                <w:sz w:val="22"/>
              </w:rPr>
              <w:t>Mgr. Janou Beránkovou, ředitelkou školy</w:t>
            </w:r>
          </w:p>
        </w:tc>
      </w:tr>
      <w:tr w:rsidR="00BA6FF3">
        <w:trPr>
          <w:trHeight w:val="466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19" w:hanging="14"/>
            </w:pPr>
            <w:r>
              <w:rPr>
                <w:sz w:val="22"/>
              </w:rPr>
              <w:t xml:space="preserve">techn. záležitosti </w:t>
            </w:r>
            <w:r>
              <w:rPr>
                <w:noProof/>
              </w:rPr>
              <w:drawing>
                <wp:inline distT="0" distB="0" distL="0" distR="0">
                  <wp:extent cx="15242" cy="15243"/>
                  <wp:effectExtent l="0" t="0" r="0" b="0"/>
                  <wp:docPr id="2719" name="Picture 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" name="Picture 27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2" cy="18292"/>
                  <wp:effectExtent l="0" t="0" r="0" b="0"/>
                  <wp:docPr id="2720" name="Picture 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Picture 27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bankovní spojení </w:t>
            </w:r>
            <w:r>
              <w:rPr>
                <w:noProof/>
              </w:rPr>
              <w:drawing>
                <wp:inline distT="0" distB="0" distL="0" distR="0">
                  <wp:extent cx="15242" cy="15243"/>
                  <wp:effectExtent l="0" t="0" r="0" b="0"/>
                  <wp:docPr id="2721" name="Picture 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Picture 272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2" cy="15243"/>
                  <wp:effectExtent l="0" t="0" r="0" b="0"/>
                  <wp:docPr id="2722" name="Picture 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Picture 27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19"/>
              <w:jc w:val="left"/>
            </w:pPr>
            <w:r>
              <w:t>Jiří Kovařík</w:t>
            </w:r>
          </w:p>
        </w:tc>
      </w:tr>
      <w:tr w:rsidR="00BA6FF3">
        <w:trPr>
          <w:trHeight w:val="493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24" w:hanging="5"/>
              <w:jc w:val="left"/>
            </w:pPr>
            <w:r>
              <w:rPr>
                <w:sz w:val="26"/>
              </w:rPr>
              <w:t>IČO</w:t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2" cy="15243"/>
                  <wp:effectExtent l="0" t="0" r="0" b="0"/>
                  <wp:docPr id="2723" name="Picture 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Picture 272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2" cy="15243"/>
                  <wp:effectExtent l="0" t="0" r="0" b="0"/>
                  <wp:docPr id="2724" name="Picture 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Picture 27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6"/>
              </w:rPr>
              <w:t>Dič</w:t>
            </w:r>
            <w:proofErr w:type="spellEnd"/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19"/>
              <w:jc w:val="left"/>
            </w:pPr>
            <w:r>
              <w:rPr>
                <w:sz w:val="22"/>
              </w:rPr>
              <w:t>70910995</w:t>
            </w:r>
          </w:p>
        </w:tc>
      </w:tr>
      <w:tr w:rsidR="00BA6FF3">
        <w:trPr>
          <w:trHeight w:val="37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tabs>
                <w:tab w:val="right" w:pos="2218"/>
              </w:tabs>
              <w:spacing w:after="0" w:line="259" w:lineRule="auto"/>
              <w:ind w:left="0"/>
              <w:jc w:val="left"/>
            </w:pPr>
            <w:r>
              <w:rPr>
                <w:sz w:val="22"/>
              </w:rPr>
              <w:t>Obchodní rejstřík</w:t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1" cy="18292"/>
                  <wp:effectExtent l="0" t="0" r="0" b="0"/>
                  <wp:docPr id="2725" name="Picture 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Picture 272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3" cy="15243"/>
                  <wp:effectExtent l="0" t="0" r="0" b="0"/>
                  <wp:docPr id="2726" name="Picture 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Picture 27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 xml:space="preserve">OR — KS Hradec Králové, oddíl </w:t>
            </w:r>
            <w:proofErr w:type="spellStart"/>
            <w:r>
              <w:rPr>
                <w:sz w:val="22"/>
              </w:rPr>
              <w:t>Pr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vl</w:t>
            </w:r>
            <w:proofErr w:type="spellEnd"/>
            <w:r>
              <w:rPr>
                <w:sz w:val="22"/>
              </w:rPr>
              <w:t>. 111</w:t>
            </w:r>
          </w:p>
        </w:tc>
      </w:tr>
      <w:tr w:rsidR="00BA6FF3">
        <w:trPr>
          <w:trHeight w:val="35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FF3" w:rsidRDefault="000076E5">
            <w:pPr>
              <w:tabs>
                <w:tab w:val="right" w:pos="2218"/>
              </w:tabs>
              <w:spacing w:after="0" w:line="259" w:lineRule="auto"/>
              <w:ind w:left="0"/>
              <w:jc w:val="left"/>
            </w:pPr>
            <w:r>
              <w:rPr>
                <w:sz w:val="20"/>
              </w:rPr>
              <w:t>Zhotovitel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3" cy="15243"/>
                  <wp:effectExtent l="0" t="0" r="0" b="0"/>
                  <wp:docPr id="2727" name="Picture 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Picture 272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3" cy="18292"/>
                  <wp:effectExtent l="0" t="0" r="0" b="0"/>
                  <wp:docPr id="2728" name="Picture 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Picture 272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FF3" w:rsidRDefault="000076E5">
            <w:pPr>
              <w:spacing w:after="0" w:line="259" w:lineRule="auto"/>
              <w:ind w:left="34"/>
              <w:jc w:val="left"/>
            </w:pPr>
            <w:proofErr w:type="spellStart"/>
            <w:r>
              <w:rPr>
                <w:sz w:val="26"/>
              </w:rPr>
              <w:t>Kelcom</w:t>
            </w:r>
            <w:proofErr w:type="spellEnd"/>
            <w:r>
              <w:rPr>
                <w:sz w:val="26"/>
              </w:rPr>
              <w:t xml:space="preserve"> Havlíčkův Brod, spol. s r.o.</w:t>
            </w:r>
          </w:p>
        </w:tc>
      </w:tr>
      <w:tr w:rsidR="00BA6FF3">
        <w:trPr>
          <w:trHeight w:val="234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tabs>
                <w:tab w:val="right" w:pos="2218"/>
              </w:tabs>
              <w:spacing w:after="0" w:line="259" w:lineRule="auto"/>
              <w:ind w:left="0"/>
              <w:jc w:val="left"/>
            </w:pPr>
            <w:r>
              <w:t>Adresa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2" cy="18292"/>
                  <wp:effectExtent l="0" t="0" r="0" b="0"/>
                  <wp:docPr id="2729" name="Picture 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Picture 272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2" cy="18292"/>
                  <wp:effectExtent l="0" t="0" r="0" b="0"/>
                  <wp:docPr id="2730" name="Picture 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Picture 273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34"/>
              <w:jc w:val="left"/>
            </w:pPr>
            <w:r>
              <w:rPr>
                <w:sz w:val="22"/>
              </w:rPr>
              <w:t>Žižkova 1058, 580 01 Havlíčkův Brod</w:t>
            </w:r>
          </w:p>
        </w:tc>
      </w:tr>
      <w:tr w:rsidR="00BA6FF3">
        <w:trPr>
          <w:trHeight w:val="233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 xml:space="preserve">odpovědný zástupce </w:t>
            </w:r>
            <w:r>
              <w:rPr>
                <w:noProof/>
              </w:rPr>
              <w:drawing>
                <wp:inline distT="0" distB="0" distL="0" distR="0">
                  <wp:extent cx="12193" cy="18292"/>
                  <wp:effectExtent l="0" t="0" r="0" b="0"/>
                  <wp:docPr id="2731" name="Picture 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Picture 273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3" cy="18292"/>
                  <wp:effectExtent l="0" t="0" r="0" b="0"/>
                  <wp:docPr id="2732" name="Picture 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Picture 273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38"/>
              <w:jc w:val="left"/>
            </w:pPr>
            <w:r>
              <w:rPr>
                <w:sz w:val="22"/>
              </w:rPr>
              <w:t>Martin Sedlák — zastupuje při výkonu funkce jednatele</w:t>
            </w:r>
          </w:p>
        </w:tc>
      </w:tr>
      <w:tr w:rsidR="00BA6FF3">
        <w:trPr>
          <w:trHeight w:val="464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33" w:hanging="14"/>
            </w:pPr>
            <w:r>
              <w:rPr>
                <w:sz w:val="22"/>
              </w:rPr>
              <w:t xml:space="preserve">technické záležitosti </w:t>
            </w:r>
            <w:r>
              <w:rPr>
                <w:noProof/>
              </w:rPr>
              <w:drawing>
                <wp:inline distT="0" distB="0" distL="0" distR="0">
                  <wp:extent cx="12193" cy="15243"/>
                  <wp:effectExtent l="0" t="0" r="0" b="0"/>
                  <wp:docPr id="2733" name="Picture 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Picture 273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3" cy="18292"/>
                  <wp:effectExtent l="0" t="0" r="0" b="0"/>
                  <wp:docPr id="2734" name="Picture 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Picture 273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bankovní spojení </w:t>
            </w:r>
            <w:r>
              <w:rPr>
                <w:noProof/>
              </w:rPr>
              <w:drawing>
                <wp:inline distT="0" distB="0" distL="0" distR="0">
                  <wp:extent cx="12193" cy="15244"/>
                  <wp:effectExtent l="0" t="0" r="0" b="0"/>
                  <wp:docPr id="2735" name="Picture 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Picture 273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3" cy="15243"/>
                  <wp:effectExtent l="0" t="0" r="0" b="0"/>
                  <wp:docPr id="2736" name="Picture 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Picture 273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43"/>
              <w:jc w:val="left"/>
            </w:pPr>
            <w:r>
              <w:rPr>
                <w:sz w:val="20"/>
              </w:rPr>
              <w:t xml:space="preserve">Milou </w:t>
            </w:r>
            <w:proofErr w:type="spellStart"/>
            <w:r>
              <w:rPr>
                <w:sz w:val="20"/>
              </w:rPr>
              <w:t>Ryzler</w:t>
            </w:r>
            <w:proofErr w:type="spellEnd"/>
          </w:p>
        </w:tc>
      </w:tr>
      <w:tr w:rsidR="00BA6FF3">
        <w:trPr>
          <w:trHeight w:val="204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tabs>
                <w:tab w:val="right" w:pos="2218"/>
              </w:tabs>
              <w:spacing w:after="0" w:line="259" w:lineRule="auto"/>
              <w:ind w:left="0"/>
              <w:jc w:val="left"/>
            </w:pPr>
            <w:r>
              <w:rPr>
                <w:sz w:val="26"/>
              </w:rPr>
              <w:t>IČO</w:t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3" cy="18292"/>
                  <wp:effectExtent l="0" t="0" r="0" b="0"/>
                  <wp:docPr id="2737" name="Picture 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Picture 273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3" cy="18292"/>
                  <wp:effectExtent l="0" t="0" r="0" b="0"/>
                  <wp:docPr id="2738" name="Picture 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Picture 273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34"/>
              <w:jc w:val="left"/>
            </w:pPr>
            <w:r>
              <w:rPr>
                <w:sz w:val="22"/>
              </w:rPr>
              <w:t>49812700</w:t>
            </w:r>
          </w:p>
        </w:tc>
      </w:tr>
      <w:tr w:rsidR="00BA6FF3">
        <w:trPr>
          <w:trHeight w:val="24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tabs>
                <w:tab w:val="right" w:pos="2218"/>
              </w:tabs>
              <w:spacing w:after="0" w:line="259" w:lineRule="auto"/>
              <w:ind w:left="0"/>
              <w:jc w:val="left"/>
            </w:pPr>
            <w:proofErr w:type="spellStart"/>
            <w:r>
              <w:rPr>
                <w:sz w:val="30"/>
              </w:rPr>
              <w:t>Dičo</w:t>
            </w:r>
            <w:proofErr w:type="spellEnd"/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2" cy="15243"/>
                  <wp:effectExtent l="0" t="0" r="0" b="0"/>
                  <wp:docPr id="2739" name="Picture 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Picture 273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2" cy="18292"/>
                  <wp:effectExtent l="0" t="0" r="0" b="0"/>
                  <wp:docPr id="2740" name="Picture 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Picture 274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38"/>
              <w:jc w:val="left"/>
            </w:pPr>
            <w:r>
              <w:rPr>
                <w:sz w:val="22"/>
              </w:rPr>
              <w:t>CZ 49812700</w:t>
            </w:r>
          </w:p>
        </w:tc>
      </w:tr>
      <w:tr w:rsidR="00BA6FF3">
        <w:trPr>
          <w:trHeight w:val="227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tabs>
                <w:tab w:val="right" w:pos="2218"/>
              </w:tabs>
              <w:spacing w:after="0" w:line="259" w:lineRule="auto"/>
              <w:ind w:left="0"/>
              <w:jc w:val="left"/>
            </w:pPr>
            <w:r>
              <w:rPr>
                <w:sz w:val="22"/>
              </w:rPr>
              <w:t>Obchodní rejstřík</w:t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2" cy="15243"/>
                  <wp:effectExtent l="0" t="0" r="0" b="0"/>
                  <wp:docPr id="2741" name="Picture 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Picture 274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2" cy="18292"/>
                  <wp:effectExtent l="0" t="0" r="0" b="0"/>
                  <wp:docPr id="2742" name="Picture 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Picture 274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BA6FF3" w:rsidRDefault="000076E5">
            <w:pPr>
              <w:spacing w:after="0" w:line="259" w:lineRule="auto"/>
              <w:ind w:left="43"/>
              <w:jc w:val="left"/>
            </w:pPr>
            <w:r>
              <w:rPr>
                <w:sz w:val="22"/>
              </w:rPr>
              <w:t xml:space="preserve">OR - KS Hradec Králové, odd. C, </w:t>
            </w:r>
            <w:proofErr w:type="gramStart"/>
            <w:r>
              <w:rPr>
                <w:sz w:val="22"/>
              </w:rPr>
              <w:t>vl.4923</w:t>
            </w:r>
            <w:proofErr w:type="gramEnd"/>
          </w:p>
        </w:tc>
      </w:tr>
    </w:tbl>
    <w:p w:rsidR="00BA6FF3" w:rsidRDefault="000076E5">
      <w:pPr>
        <w:spacing w:after="0" w:line="259" w:lineRule="auto"/>
        <w:ind w:left="-14"/>
        <w:jc w:val="left"/>
      </w:pPr>
      <w:r>
        <w:rPr>
          <w:noProof/>
        </w:rPr>
        <w:drawing>
          <wp:inline distT="0" distB="0" distL="0" distR="0">
            <wp:extent cx="67063" cy="42681"/>
            <wp:effectExtent l="0" t="0" r="0" b="0"/>
            <wp:docPr id="16832" name="Picture 16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" name="Picture 1683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7063" cy="4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FF3" w:rsidRDefault="000076E5">
      <w:pPr>
        <w:spacing w:after="0"/>
      </w:pPr>
      <w:r>
        <w:t>(Objednatel a Zhotovitel dále také společně jako „Smluvní strany” a každý samostatně jako „Smluvní strana”) uzavírají níže uvedeného dne, měsíce a roku v souladu s ustanovením S 2586 a násl. zákona</w:t>
      </w:r>
    </w:p>
    <w:p w:rsidR="00BA6FF3" w:rsidRDefault="000076E5">
      <w:pPr>
        <w:pStyle w:val="Nadpis2"/>
        <w:spacing w:after="157"/>
        <w:ind w:left="53"/>
      </w:pPr>
      <w:r>
        <w:t>č. 89/2012 Sb., občanský zákoník, ve znění pozdějších před</w:t>
      </w:r>
      <w:r>
        <w:t>pisů, tuto</w:t>
      </w:r>
    </w:p>
    <w:p w:rsidR="00BA6FF3" w:rsidRDefault="000076E5">
      <w:pPr>
        <w:spacing w:after="0" w:line="259" w:lineRule="auto"/>
        <w:ind w:left="279" w:right="298" w:hanging="10"/>
        <w:jc w:val="center"/>
      </w:pPr>
      <w:r>
        <w:rPr>
          <w:sz w:val="26"/>
        </w:rPr>
        <w:t>smlouvu o dílo</w:t>
      </w:r>
    </w:p>
    <w:p w:rsidR="00BA6FF3" w:rsidRDefault="000076E5">
      <w:pPr>
        <w:spacing w:after="219" w:line="259" w:lineRule="auto"/>
        <w:ind w:left="0" w:right="34"/>
        <w:jc w:val="center"/>
      </w:pPr>
      <w:r>
        <w:t>(dále jen „Smlouva”)</w:t>
      </w:r>
    </w:p>
    <w:p w:rsidR="00BA6FF3" w:rsidRDefault="000076E5">
      <w:pPr>
        <w:spacing w:after="0" w:line="259" w:lineRule="auto"/>
        <w:ind w:left="48"/>
        <w:jc w:val="left"/>
      </w:pPr>
      <w:r>
        <w:rPr>
          <w:sz w:val="34"/>
        </w:rPr>
        <w:t>l.</w:t>
      </w:r>
    </w:p>
    <w:p w:rsidR="00BA6FF3" w:rsidRDefault="000076E5">
      <w:pPr>
        <w:pStyle w:val="Nadpis2"/>
        <w:ind w:left="53"/>
      </w:pPr>
      <w:r>
        <w:t>Předmět Smlouvy</w:t>
      </w:r>
    </w:p>
    <w:p w:rsidR="00BA6FF3" w:rsidRDefault="000076E5">
      <w:pPr>
        <w:spacing w:after="233"/>
        <w:ind w:left="806" w:hanging="355"/>
      </w:pPr>
      <w:r>
        <w:t>1. Zhotovitel se touto smlouvou zavazuje provést na svůj náklad a nebezpečí pro objednatele za podmínek níže uvedených dílo:</w:t>
      </w:r>
    </w:p>
    <w:p w:rsidR="00BA6FF3" w:rsidRDefault="000076E5">
      <w:pPr>
        <w:pStyle w:val="Nadpis2"/>
        <w:spacing w:after="176"/>
        <w:ind w:left="2401"/>
      </w:pPr>
      <w:r>
        <w:rPr>
          <w:noProof/>
        </w:rPr>
        <w:drawing>
          <wp:inline distT="0" distB="0" distL="0" distR="0">
            <wp:extent cx="48773" cy="24389"/>
            <wp:effectExtent l="0" t="0" r="0" b="0"/>
            <wp:docPr id="16834" name="Picture 16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4" name="Picture 1683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8773" cy="2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reinstalace elektronického zabezpečovacího systému</w:t>
      </w:r>
    </w:p>
    <w:p w:rsidR="00BA6FF3" w:rsidRDefault="000076E5">
      <w:pPr>
        <w:spacing w:after="442"/>
        <w:ind w:left="451"/>
      </w:pPr>
      <w:r>
        <w:t xml:space="preserve">(dále jen „dílo”) a objednatel se zavazuje dílo převzít a zaplatit za něj zhotoviteli cenu, která je sjednána v čl. </w:t>
      </w:r>
      <w:proofErr w:type="spellStart"/>
      <w:r>
        <w:t>Il</w:t>
      </w:r>
      <w:proofErr w:type="spellEnd"/>
      <w:r>
        <w:t xml:space="preserve"> této Smlouvy.</w:t>
      </w:r>
    </w:p>
    <w:p w:rsidR="00BA6FF3" w:rsidRDefault="000076E5">
      <w:pPr>
        <w:pStyle w:val="Nadpis2"/>
        <w:spacing w:after="0" w:line="260" w:lineRule="auto"/>
        <w:ind w:left="67"/>
      </w:pPr>
      <w:r>
        <w:rPr>
          <w:sz w:val="28"/>
        </w:rPr>
        <w:lastRenderedPageBreak/>
        <w:t>Cena Díla a způsob úhrady</w:t>
      </w:r>
    </w:p>
    <w:p w:rsidR="000076E5" w:rsidRDefault="000076E5">
      <w:pPr>
        <w:pStyle w:val="Nadpis3"/>
        <w:ind w:left="447"/>
      </w:pPr>
      <w:r>
        <w:t>1. Smluvní strany se dohodly, že celková cena díla činí částku ve výši (viz příloha č. 1)</w:t>
      </w:r>
    </w:p>
    <w:p w:rsidR="000076E5" w:rsidRDefault="000076E5" w:rsidP="000076E5">
      <w:pPr>
        <w:pStyle w:val="Nadpis3"/>
        <w:ind w:left="447"/>
      </w:pPr>
      <w:r>
        <w:t xml:space="preserve"> Cena be</w:t>
      </w:r>
      <w:r>
        <w:t>z DPH</w:t>
      </w:r>
      <w:r>
        <w:tab/>
        <w:t xml:space="preserve">     </w:t>
      </w:r>
      <w:r>
        <w:t>70 029 Kč</w:t>
      </w:r>
    </w:p>
    <w:p w:rsidR="000076E5" w:rsidRDefault="000076E5" w:rsidP="000076E5">
      <w:pPr>
        <w:pStyle w:val="Nadpis3"/>
        <w:ind w:left="447"/>
      </w:pPr>
      <w:r>
        <w:t xml:space="preserve">             </w:t>
      </w:r>
      <w:r>
        <w:t>DPH 21</w:t>
      </w:r>
      <w:r>
        <w:rPr>
          <w:vertAlign w:val="subscript"/>
        </w:rPr>
        <w:t>%</w:t>
      </w:r>
      <w:r>
        <w:tab/>
        <w:t xml:space="preserve">     </w:t>
      </w:r>
      <w:r>
        <w:t xml:space="preserve">14 706 Kč </w:t>
      </w:r>
    </w:p>
    <w:p w:rsidR="00BA6FF3" w:rsidRDefault="000076E5">
      <w:pPr>
        <w:spacing w:after="345" w:line="216" w:lineRule="auto"/>
        <w:ind w:left="787" w:right="269" w:firstLine="5"/>
        <w:jc w:val="left"/>
      </w:pPr>
      <w:r>
        <w:t xml:space="preserve">        Celkem         </w:t>
      </w:r>
      <w:r>
        <w:t xml:space="preserve">84 736 Kč                                                                                                                         </w:t>
      </w:r>
      <w:bookmarkStart w:id="0" w:name="_GoBack"/>
      <w:bookmarkEnd w:id="0"/>
      <w:r>
        <w:t>a bude uhrazena na účet zhotovitele uvedený v záhlaví této smlouvy při předání a převzetí díla.</w:t>
      </w:r>
    </w:p>
    <w:p w:rsidR="00BA6FF3" w:rsidRDefault="000076E5">
      <w:pPr>
        <w:spacing w:after="0" w:line="259" w:lineRule="auto"/>
        <w:ind w:left="58"/>
        <w:jc w:val="center"/>
      </w:pPr>
      <w:r>
        <w:rPr>
          <w:sz w:val="22"/>
        </w:rPr>
        <w:t>1</w:t>
      </w:r>
    </w:p>
    <w:p w:rsidR="00BA6FF3" w:rsidRDefault="000076E5">
      <w:pPr>
        <w:pStyle w:val="Nadpis3"/>
        <w:ind w:left="144"/>
      </w:pPr>
      <w:r>
        <w:t>Doba trvání Smlouvy</w:t>
      </w:r>
    </w:p>
    <w:p w:rsidR="00BA6FF3" w:rsidRDefault="000076E5">
      <w:pPr>
        <w:spacing w:after="658"/>
        <w:ind w:left="797" w:hanging="346"/>
      </w:pPr>
      <w:r>
        <w:t xml:space="preserve">1. Smluvní strany se dohodly, že dílo bude zhotovitelem provedeno do </w:t>
      </w:r>
      <w:proofErr w:type="gramStart"/>
      <w:r>
        <w:t>20.10.2023</w:t>
      </w:r>
      <w:proofErr w:type="gramEnd"/>
      <w:r>
        <w:t>. Prodlení je možné z důvodu stavební nepřipravenosti a musí být odsouhlaseno oběma stranami.</w:t>
      </w:r>
    </w:p>
    <w:p w:rsidR="00BA6FF3" w:rsidRDefault="000076E5">
      <w:pPr>
        <w:pStyle w:val="Nadpis3"/>
        <w:ind w:left="135"/>
      </w:pPr>
      <w:r>
        <w:t>Práva a povinnosti smluvních stran</w:t>
      </w:r>
    </w:p>
    <w:p w:rsidR="00BA6FF3" w:rsidRDefault="000076E5">
      <w:pPr>
        <w:ind w:left="797" w:hanging="346"/>
      </w:pPr>
      <w:r>
        <w:t xml:space="preserve">1 </w:t>
      </w:r>
      <w:r>
        <w:t>Objednatel je oprávněn kontrolovat dílo kdykol</w:t>
      </w:r>
      <w:r>
        <w:t>iv v jeho průběhu kontrolovat, zda je prováděno v souladu s touto Smlouvou.</w:t>
      </w:r>
    </w:p>
    <w:p w:rsidR="00BA6FF3" w:rsidRDefault="000076E5">
      <w:pPr>
        <w:numPr>
          <w:ilvl w:val="0"/>
          <w:numId w:val="1"/>
        </w:numPr>
        <w:ind w:hanging="355"/>
      </w:pPr>
      <w:r>
        <w:t>Objednatel se zavazuje poskytovat zhotoviteli součinnost k provedení díla, a to ve lhůtě, jíž mu zhotovitel určí.</w:t>
      </w:r>
    </w:p>
    <w:p w:rsidR="00BA6FF3" w:rsidRDefault="000076E5">
      <w:pPr>
        <w:numPr>
          <w:ilvl w:val="0"/>
          <w:numId w:val="1"/>
        </w:numPr>
        <w:ind w:hanging="355"/>
      </w:pPr>
      <w:r>
        <w:t>Zhotovitel postupuje při provádění díla samostatně.</w:t>
      </w:r>
    </w:p>
    <w:p w:rsidR="00BA6FF3" w:rsidRDefault="000076E5">
      <w:pPr>
        <w:spacing w:after="80"/>
        <w:ind w:left="873" w:hanging="422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5328" name="Picture 5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8" name="Picture 532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4. </w:t>
      </w:r>
      <w:r>
        <w:t>Zhotovite</w:t>
      </w:r>
      <w:r>
        <w:t>l je povinen dodržet při provádění díla všechny právní předpisy, týkající se předmětné činnosti.</w:t>
      </w:r>
    </w:p>
    <w:p w:rsidR="00BA6FF3" w:rsidRDefault="000076E5">
      <w:pPr>
        <w:numPr>
          <w:ilvl w:val="0"/>
          <w:numId w:val="2"/>
        </w:numPr>
        <w:ind w:left="816" w:hanging="365"/>
      </w:pPr>
      <w:r>
        <w:t>Záruka na dílo je stanovena takto: na materiál i montáž 24 měsíců od data předání</w:t>
      </w:r>
    </w:p>
    <w:p w:rsidR="00BA6FF3" w:rsidRDefault="000076E5">
      <w:pPr>
        <w:numPr>
          <w:ilvl w:val="0"/>
          <w:numId w:val="2"/>
        </w:numPr>
        <w:spacing w:after="750"/>
        <w:ind w:left="816" w:hanging="365"/>
      </w:pPr>
      <w:r>
        <w:t>Servisní zásah je do 24 hodin od prokazatelného nahlášení poruchy.</w:t>
      </w:r>
    </w:p>
    <w:p w:rsidR="00BA6FF3" w:rsidRDefault="000076E5">
      <w:pPr>
        <w:pStyle w:val="Nadpis3"/>
        <w:ind w:left="53"/>
      </w:pPr>
      <w:r>
        <w:t xml:space="preserve">Předání a </w:t>
      </w:r>
      <w:r>
        <w:t>převzetí díla</w:t>
      </w:r>
    </w:p>
    <w:p w:rsidR="00BA6FF3" w:rsidRDefault="000076E5">
      <w:pPr>
        <w:numPr>
          <w:ilvl w:val="0"/>
          <w:numId w:val="3"/>
        </w:numPr>
        <w:ind w:hanging="360"/>
      </w:pPr>
      <w:r>
        <w:t>K předání a převzetí díla dojde do dvou dnů od jeho zhotovení. Předání a převzetí díla bude Smluvními stranami písemně potvrzeno.</w:t>
      </w:r>
    </w:p>
    <w:p w:rsidR="00BA6FF3" w:rsidRDefault="000076E5">
      <w:pPr>
        <w:numPr>
          <w:ilvl w:val="0"/>
          <w:numId w:val="3"/>
        </w:numPr>
        <w:ind w:hanging="360"/>
      </w:pPr>
      <w:r>
        <w:t>Zhotovitel se zavazuje předat dílo bez vad a nedodělků.</w:t>
      </w:r>
    </w:p>
    <w:p w:rsidR="00BA6FF3" w:rsidRDefault="000076E5">
      <w:pPr>
        <w:numPr>
          <w:ilvl w:val="0"/>
          <w:numId w:val="3"/>
        </w:numPr>
        <w:spacing w:after="324"/>
        <w:ind w:hanging="360"/>
      </w:pPr>
      <w:r>
        <w:t>Smluvní strany se dále dohodly, že budou-li v době předá</w:t>
      </w:r>
      <w:r>
        <w:t>ní na díle viditelné vady či nedodělky, k předání a převzetí díla dojde až po jejich odstranění. O této skutečnosti bude smluvními stranami sepsán záznam. Náklady na odstranění vad nese zhotovitel.</w:t>
      </w:r>
    </w:p>
    <w:p w:rsidR="00BA6FF3" w:rsidRDefault="000076E5">
      <w:pPr>
        <w:spacing w:after="0" w:line="260" w:lineRule="auto"/>
        <w:ind w:left="67" w:hanging="10"/>
        <w:jc w:val="left"/>
      </w:pP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:rsidR="00BA6FF3" w:rsidRDefault="000076E5">
      <w:pPr>
        <w:pStyle w:val="Nadpis2"/>
        <w:spacing w:after="0" w:line="260" w:lineRule="auto"/>
        <w:ind w:left="67"/>
      </w:pPr>
      <w:r>
        <w:rPr>
          <w:sz w:val="28"/>
        </w:rPr>
        <w:t>Smluvní sankce</w:t>
      </w:r>
    </w:p>
    <w:p w:rsidR="00BA6FF3" w:rsidRDefault="000076E5">
      <w:pPr>
        <w:spacing w:after="224"/>
        <w:ind w:left="801" w:right="1253" w:hanging="806"/>
      </w:pPr>
      <w:r>
        <w:rPr>
          <w:noProof/>
        </w:rPr>
        <w:drawing>
          <wp:inline distT="0" distB="0" distL="0" distR="0">
            <wp:extent cx="57918" cy="42681"/>
            <wp:effectExtent l="0" t="0" r="0" b="0"/>
            <wp:docPr id="16841" name="Picture 16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" name="Picture 1684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918" cy="4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 Pro případ prodlení objednatele se zaplacením ceny díla nebo zhotovitele s předáním díla sjednávají smluvní strany smluvní pokutu ve výši 0,05% denně z ceny díla za každý další den prodlení.</w:t>
      </w:r>
    </w:p>
    <w:p w:rsidR="00BA6FF3" w:rsidRDefault="000076E5">
      <w:pPr>
        <w:spacing w:after="2" w:line="259" w:lineRule="auto"/>
        <w:ind w:left="53" w:hanging="10"/>
        <w:jc w:val="left"/>
      </w:pPr>
      <w:r>
        <w:rPr>
          <w:sz w:val="26"/>
        </w:rPr>
        <w:t>VII.</w:t>
      </w:r>
    </w:p>
    <w:p w:rsidR="00BA6FF3" w:rsidRDefault="000076E5">
      <w:pPr>
        <w:pStyle w:val="Nadpis3"/>
        <w:ind w:left="53"/>
      </w:pPr>
      <w:r>
        <w:t>Závěrečná ustanovení</w:t>
      </w:r>
    </w:p>
    <w:p w:rsidR="00BA6FF3" w:rsidRDefault="000076E5">
      <w:pPr>
        <w:numPr>
          <w:ilvl w:val="0"/>
          <w:numId w:val="4"/>
        </w:numPr>
        <w:ind w:hanging="360"/>
      </w:pPr>
      <w:r>
        <w:t>Tato Smlouva nabývá platnosti a účin</w:t>
      </w:r>
      <w:r>
        <w:t>nosti dnem jejího podpisu oběma smluvními stranami.</w:t>
      </w:r>
    </w:p>
    <w:p w:rsidR="00BA6FF3" w:rsidRDefault="000076E5">
      <w:pPr>
        <w:numPr>
          <w:ilvl w:val="0"/>
          <w:numId w:val="4"/>
        </w:numPr>
        <w:spacing w:after="2"/>
        <w:ind w:hanging="360"/>
      </w:pPr>
      <w:r>
        <w:t>Tato Smlouva a vztahy z ní vyplývající se řídí právním řádem české republiky, zejména příslušnými ustanoveními zák. č. 89/2012 Sb., občanský zákoník, ve znění pozdějších předpisů.</w:t>
      </w:r>
    </w:p>
    <w:p w:rsidR="00BA6FF3" w:rsidRDefault="000076E5">
      <w:pPr>
        <w:numPr>
          <w:ilvl w:val="0"/>
          <w:numId w:val="4"/>
        </w:numPr>
        <w:ind w:hanging="360"/>
      </w:pPr>
      <w:r>
        <w:t>Smlouva byla vyhotovena ve dvou stejnopisech, z nichž každá Smluvní strana obdrží po jednom vyhotovení.</w:t>
      </w:r>
    </w:p>
    <w:p w:rsidR="00BA6FF3" w:rsidRDefault="000076E5">
      <w:pPr>
        <w:numPr>
          <w:ilvl w:val="0"/>
          <w:numId w:val="4"/>
        </w:numPr>
        <w:spacing w:after="430"/>
        <w:ind w:hanging="360"/>
      </w:pPr>
      <w:r>
        <w:lastRenderedPageBreak/>
        <w:t xml:space="preserve">Smluvní strany níže svým podpisem stvrzují, že si Smlouvu před jejím podpisem přečetly, s jejím </w:t>
      </w:r>
      <w:r>
        <w:rPr>
          <w:noProof/>
        </w:rPr>
        <w:drawing>
          <wp:inline distT="0" distB="0" distL="0" distR="0">
            <wp:extent cx="24386" cy="27438"/>
            <wp:effectExtent l="0" t="0" r="0" b="0"/>
            <wp:docPr id="5331" name="Picture 5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" name="Picture 533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obsahem souhlasí, a tato je sepsána podle jejich pravé</w:t>
      </w:r>
      <w:r>
        <w:t xml:space="preserve"> a skutečné vůle, srozumitelně a určitě, nikoli v tísni za nápadně nevýhodných podmínek.</w:t>
      </w:r>
    </w:p>
    <w:p w:rsidR="00BA6FF3" w:rsidRDefault="000076E5">
      <w:pPr>
        <w:spacing w:after="2325"/>
        <w:ind w:left="38"/>
      </w:pPr>
      <w:r>
        <w:t xml:space="preserve">V Havlíčkově Brodě dne </w:t>
      </w:r>
      <w:proofErr w:type="gramStart"/>
      <w:r>
        <w:t>22.9.2023</w:t>
      </w:r>
      <w:proofErr w:type="gramEnd"/>
    </w:p>
    <w:p w:rsidR="00BA6FF3" w:rsidRDefault="000076E5">
      <w:pPr>
        <w:spacing w:after="0" w:line="259" w:lineRule="auto"/>
        <w:ind w:left="0" w:right="58"/>
        <w:jc w:val="center"/>
      </w:pPr>
      <w:r>
        <w:rPr>
          <w:sz w:val="20"/>
        </w:rPr>
        <w:t>2</w:t>
      </w:r>
    </w:p>
    <w:p w:rsidR="00BA6FF3" w:rsidRDefault="000076E5">
      <w:pPr>
        <w:pStyle w:val="Nadpis2"/>
        <w:spacing w:after="361" w:line="260" w:lineRule="auto"/>
        <w:ind w:left="245"/>
      </w:pPr>
      <w:r>
        <w:rPr>
          <w:sz w:val="28"/>
        </w:rPr>
        <w:t xml:space="preserve">Příloha </w:t>
      </w:r>
      <w:proofErr w:type="spellStart"/>
      <w:r>
        <w:rPr>
          <w:sz w:val="28"/>
        </w:rPr>
        <w:t>č.l</w:t>
      </w:r>
      <w:proofErr w:type="spellEnd"/>
      <w:r>
        <w:rPr>
          <w:sz w:val="28"/>
        </w:rPr>
        <w:t xml:space="preserve"> k </w:t>
      </w:r>
      <w:proofErr w:type="gramStart"/>
      <w:r>
        <w:rPr>
          <w:sz w:val="28"/>
        </w:rPr>
        <w:t>SOD</w:t>
      </w:r>
      <w:proofErr w:type="gramEnd"/>
    </w:p>
    <w:p w:rsidR="00BA6FF3" w:rsidRDefault="000076E5">
      <w:pPr>
        <w:pStyle w:val="Nadpis3"/>
        <w:tabs>
          <w:tab w:val="center" w:pos="974"/>
          <w:tab w:val="center" w:pos="2715"/>
        </w:tabs>
        <w:ind w:left="0" w:firstLine="0"/>
      </w:pPr>
      <w:r>
        <w:tab/>
        <w:t>Místo určení:</w:t>
      </w:r>
      <w:r>
        <w:tab/>
        <w:t>Havlíčkův Brod</w:t>
      </w:r>
    </w:p>
    <w:p w:rsidR="00BA6FF3" w:rsidRDefault="000076E5">
      <w:pPr>
        <w:tabs>
          <w:tab w:val="center" w:pos="965"/>
          <w:tab w:val="center" w:pos="5931"/>
        </w:tabs>
        <w:spacing w:after="0" w:line="233" w:lineRule="auto"/>
        <w:ind w:left="0"/>
        <w:jc w:val="left"/>
      </w:pPr>
      <w:r>
        <w:rPr>
          <w:sz w:val="22"/>
        </w:rPr>
        <w:tab/>
        <w:t>Předmět plnění: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5118109" cy="222552"/>
            <wp:effectExtent l="0" t="0" r="0" b="0"/>
            <wp:docPr id="8720" name="Picture 8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" name="Picture 872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118109" cy="22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FF3" w:rsidRDefault="000076E5">
      <w:pPr>
        <w:spacing w:after="4" w:line="259" w:lineRule="auto"/>
        <w:ind w:left="226"/>
        <w:jc w:val="left"/>
      </w:pPr>
      <w:r>
        <w:rPr>
          <w:noProof/>
        </w:rPr>
        <w:drawing>
          <wp:inline distT="0" distB="0" distL="0" distR="0">
            <wp:extent cx="6163678" cy="185968"/>
            <wp:effectExtent l="0" t="0" r="0" b="0"/>
            <wp:docPr id="8721" name="Picture 8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" name="Picture 872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163678" cy="18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FF3" w:rsidRDefault="000076E5">
      <w:pPr>
        <w:spacing w:after="0" w:line="259" w:lineRule="auto"/>
        <w:ind w:left="2141" w:right="427" w:hanging="1843"/>
      </w:pPr>
      <w:r>
        <w:rPr>
          <w:sz w:val="20"/>
        </w:rPr>
        <w:t xml:space="preserve">JA-103KRY Ústředna s radiovým modulem JA-11 IR, GSM / GPRS </w:t>
      </w:r>
      <w:r>
        <w:rPr>
          <w:sz w:val="20"/>
        </w:rPr>
        <w:t xml:space="preserve">1 11 588 11 588 </w:t>
      </w:r>
      <w:r>
        <w:rPr>
          <w:sz w:val="20"/>
        </w:rPr>
        <w:t xml:space="preserve">komunikátorem JA-192Y s mini anténou a LAN komunikátorem, max. 50 bezdrátových nebo sběrnicových periférií - max. počet periférií 50, 8 podsystémů, 50 uživatelských </w:t>
      </w:r>
      <w:proofErr w:type="spellStart"/>
      <w:r>
        <w:rPr>
          <w:sz w:val="20"/>
        </w:rPr>
        <w:t>kodů</w:t>
      </w:r>
      <w:proofErr w:type="spellEnd"/>
      <w:r>
        <w:rPr>
          <w:sz w:val="20"/>
        </w:rPr>
        <w:t>, až 32 PG výstupů, obsahuje napájecí zdroj, max. trvalý odběr z ústřed</w:t>
      </w:r>
      <w:r>
        <w:rPr>
          <w:sz w:val="20"/>
        </w:rPr>
        <w:t>ny 1000mA, doporučený Aku 12V/2,6Ah, napájení 230Vst / 50Hz, rozměr 268 x 225 x 83 mm.</w:t>
      </w:r>
    </w:p>
    <w:tbl>
      <w:tblPr>
        <w:tblStyle w:val="TableGrid"/>
        <w:tblW w:w="9745" w:type="dxa"/>
        <w:tblInd w:w="216" w:type="dxa"/>
        <w:tblCellMar>
          <w:top w:w="20" w:type="dxa"/>
          <w:left w:w="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1921"/>
        <w:gridCol w:w="5493"/>
        <w:gridCol w:w="795"/>
        <w:gridCol w:w="754"/>
        <w:gridCol w:w="782"/>
      </w:tblGrid>
      <w:tr w:rsidR="00BA6FF3">
        <w:trPr>
          <w:trHeight w:val="1037"/>
        </w:trPr>
        <w:tc>
          <w:tcPr>
            <w:tcW w:w="19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86"/>
              <w:jc w:val="left"/>
            </w:pPr>
            <w:r>
              <w:rPr>
                <w:sz w:val="26"/>
              </w:rPr>
              <w:t>JA-150P PET</w:t>
            </w:r>
          </w:p>
        </w:tc>
        <w:tc>
          <w:tcPr>
            <w:tcW w:w="5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5" w:right="245" w:firstLine="10"/>
            </w:pPr>
            <w:r>
              <w:rPr>
                <w:sz w:val="20"/>
              </w:rPr>
              <w:t>Bezdrátový (868MHz) detektor pohybu PIR s PET imunitou do 25kg a max. 40cm výšky, dosah 12m / 90</w:t>
            </w:r>
            <w:r>
              <w:rPr>
                <w:sz w:val="20"/>
                <w:vertAlign w:val="superscript"/>
              </w:rPr>
              <w:t xml:space="preserve">0 </w:t>
            </w:r>
            <w:r>
              <w:rPr>
                <w:sz w:val="20"/>
              </w:rPr>
              <w:t xml:space="preserve">- 7m / 90 </w:t>
            </w:r>
            <w:r>
              <w:rPr>
                <w:sz w:val="20"/>
                <w:vertAlign w:val="superscript"/>
              </w:rPr>
              <w:t xml:space="preserve">0 </w:t>
            </w:r>
            <w:r>
              <w:rPr>
                <w:sz w:val="20"/>
              </w:rPr>
              <w:t>s PET imunitou, instalační výška 2m, použití čo</w:t>
            </w:r>
            <w:r>
              <w:rPr>
                <w:sz w:val="20"/>
              </w:rPr>
              <w:t xml:space="preserve">čky JS-7910 je pouze pro standardní úroveň imunity, napájení 2 ks alkalické baterie AA (LR6) 1 V, rozměry 95 x 60 x 55 mm, -10 až +40 </w:t>
            </w:r>
            <w:r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>c.</w:t>
            </w:r>
          </w:p>
        </w:tc>
        <w:tc>
          <w:tcPr>
            <w:tcW w:w="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0"/>
              <w:jc w:val="left"/>
            </w:pPr>
            <w:r>
              <w:rPr>
                <w:sz w:val="26"/>
              </w:rPr>
              <w:t>16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48"/>
              <w:jc w:val="left"/>
            </w:pPr>
            <w:r>
              <w:t>1 737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0"/>
            </w:pPr>
            <w:r>
              <w:t>27 792</w:t>
            </w:r>
          </w:p>
        </w:tc>
      </w:tr>
      <w:tr w:rsidR="00BA6FF3">
        <w:trPr>
          <w:trHeight w:val="829"/>
        </w:trPr>
        <w:tc>
          <w:tcPr>
            <w:tcW w:w="19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86"/>
              <w:jc w:val="left"/>
            </w:pPr>
            <w:r>
              <w:rPr>
                <w:sz w:val="26"/>
              </w:rPr>
              <w:t>JA-192E</w:t>
            </w:r>
          </w:p>
        </w:tc>
        <w:tc>
          <w:tcPr>
            <w:tcW w:w="5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14"/>
              <w:jc w:val="left"/>
            </w:pPr>
            <w:r>
              <w:rPr>
                <w:sz w:val="20"/>
              </w:rPr>
              <w:t>Ovládací segment přístupových modulů pro JA-112E, JA-113E,</w:t>
            </w:r>
          </w:p>
          <w:p w:rsidR="00BA6FF3" w:rsidRDefault="000076E5">
            <w:pPr>
              <w:spacing w:after="0" w:line="259" w:lineRule="auto"/>
              <w:ind w:left="10" w:right="235"/>
            </w:pPr>
            <w:r>
              <w:rPr>
                <w:sz w:val="20"/>
              </w:rPr>
              <w:t>JA-114E, JA-152E, JA-153E a JA-154E. Napájení z přístupového modulu 9 - 14Vss, odběr 10mA, rozměry 102 x 15 x 33 mm.</w:t>
            </w:r>
          </w:p>
        </w:tc>
        <w:tc>
          <w:tcPr>
            <w:tcW w:w="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72"/>
              <w:jc w:val="left"/>
            </w:pPr>
            <w:r>
              <w:t>1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139"/>
              <w:jc w:val="center"/>
            </w:pPr>
            <w:r>
              <w:rPr>
                <w:sz w:val="26"/>
              </w:rPr>
              <w:t>167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331"/>
              <w:jc w:val="left"/>
            </w:pPr>
            <w:r>
              <w:t>167</w:t>
            </w:r>
          </w:p>
        </w:tc>
      </w:tr>
      <w:tr w:rsidR="00BA6FF3">
        <w:trPr>
          <w:trHeight w:val="1029"/>
        </w:trPr>
        <w:tc>
          <w:tcPr>
            <w:tcW w:w="19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86"/>
              <w:jc w:val="left"/>
            </w:pPr>
            <w:r>
              <w:t>JA-114E</w:t>
            </w:r>
          </w:p>
        </w:tc>
        <w:tc>
          <w:tcPr>
            <w:tcW w:w="5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14"/>
              <w:jc w:val="left"/>
            </w:pPr>
            <w:r>
              <w:rPr>
                <w:sz w:val="20"/>
              </w:rPr>
              <w:t>Sběrnicový přístupový modul s klávesnicí, LCD displejem a s</w:t>
            </w:r>
          </w:p>
          <w:p w:rsidR="00BA6FF3" w:rsidRDefault="000076E5">
            <w:pPr>
              <w:spacing w:after="0" w:line="259" w:lineRule="auto"/>
              <w:ind w:left="10" w:right="710" w:firstLine="10"/>
            </w:pPr>
            <w:r>
              <w:rPr>
                <w:sz w:val="20"/>
              </w:rPr>
              <w:t xml:space="preserve">RFID čtečkou (125kHz) pro ovládání ústředen řady JA-I OO. Obsahuje 1x ovládací segment - max. 20ks ovládacích segmentů JA-192E. Napájení ze sběrnice ústředny 9Vss 15Vss, odběr 15mA / 50mA, -10 </w:t>
            </w:r>
            <w:r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 xml:space="preserve">c až +40 </w:t>
            </w:r>
            <w:r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>c.</w:t>
            </w:r>
          </w:p>
        </w:tc>
        <w:tc>
          <w:tcPr>
            <w:tcW w:w="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72"/>
              <w:jc w:val="left"/>
            </w:pPr>
            <w:r>
              <w:t>1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38"/>
              <w:jc w:val="left"/>
            </w:pPr>
            <w:r>
              <w:t>2 401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130"/>
              <w:jc w:val="left"/>
            </w:pPr>
            <w:r>
              <w:t>2 401</w:t>
            </w:r>
          </w:p>
        </w:tc>
      </w:tr>
      <w:tr w:rsidR="00BA6FF3">
        <w:trPr>
          <w:trHeight w:val="663"/>
        </w:trPr>
        <w:tc>
          <w:tcPr>
            <w:tcW w:w="19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86"/>
              <w:jc w:val="left"/>
            </w:pPr>
            <w:r>
              <w:rPr>
                <w:sz w:val="30"/>
              </w:rPr>
              <w:t>JA-IIOA</w:t>
            </w:r>
          </w:p>
        </w:tc>
        <w:tc>
          <w:tcPr>
            <w:tcW w:w="5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0" w:right="346" w:firstLine="14"/>
            </w:pPr>
            <w:r>
              <w:rPr>
                <w:sz w:val="20"/>
              </w:rPr>
              <w:t xml:space="preserve">Sběrnicová vnitřní siréna </w:t>
            </w:r>
            <w:proofErr w:type="spellStart"/>
            <w:r>
              <w:rPr>
                <w:sz w:val="20"/>
              </w:rPr>
              <w:t>piezo</w:t>
            </w:r>
            <w:proofErr w:type="spellEnd"/>
            <w:r>
              <w:rPr>
                <w:sz w:val="20"/>
              </w:rPr>
              <w:t xml:space="preserve"> elektrická, 85 dB / 1 m, napájení ze sběrnice ústředny 12Vss (9 - 15Vss), odběr 5mA / 30mA (při záloze / </w:t>
            </w:r>
            <w:proofErr w:type="gramStart"/>
            <w:r>
              <w:rPr>
                <w:sz w:val="20"/>
              </w:rPr>
              <w:t>max.) , rozměry</w:t>
            </w:r>
            <w:proofErr w:type="gramEnd"/>
            <w:r>
              <w:rPr>
                <w:sz w:val="20"/>
              </w:rPr>
              <w:t xml:space="preserve"> 90 x 90 x 35mm, -10 až +40 </w:t>
            </w:r>
            <w:r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>c.</w:t>
            </w:r>
          </w:p>
        </w:tc>
        <w:tc>
          <w:tcPr>
            <w:tcW w:w="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72"/>
              <w:jc w:val="left"/>
            </w:pPr>
            <w:r>
              <w:t>1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110"/>
              <w:jc w:val="center"/>
            </w:pPr>
            <w:r>
              <w:t>581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322"/>
              <w:jc w:val="left"/>
            </w:pPr>
            <w:r>
              <w:t>581</w:t>
            </w:r>
          </w:p>
        </w:tc>
      </w:tr>
      <w:tr w:rsidR="00BA6FF3">
        <w:trPr>
          <w:trHeight w:val="613"/>
        </w:trPr>
        <w:tc>
          <w:tcPr>
            <w:tcW w:w="19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86" w:firstLine="5"/>
              <w:jc w:val="left"/>
            </w:pPr>
            <w:r>
              <w:rPr>
                <w:sz w:val="26"/>
              </w:rPr>
              <w:t>pomocný materiál</w:t>
            </w:r>
          </w:p>
        </w:tc>
        <w:tc>
          <w:tcPr>
            <w:tcW w:w="5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pomocný montážní materiál, baterie do bezdrátových periferií</w:t>
            </w:r>
          </w:p>
        </w:tc>
        <w:tc>
          <w:tcPr>
            <w:tcW w:w="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72"/>
              <w:jc w:val="left"/>
            </w:pPr>
            <w:r>
              <w:t>1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120"/>
              <w:jc w:val="left"/>
            </w:pPr>
            <w:r>
              <w:t>1000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0"/>
              <w:jc w:val="right"/>
            </w:pPr>
            <w:r>
              <w:t>1000</w:t>
            </w:r>
          </w:p>
        </w:tc>
      </w:tr>
      <w:tr w:rsidR="00BA6FF3">
        <w:trPr>
          <w:trHeight w:val="305"/>
        </w:trPr>
        <w:tc>
          <w:tcPr>
            <w:tcW w:w="19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91"/>
              <w:jc w:val="left"/>
            </w:pPr>
            <w:r>
              <w:rPr>
                <w:sz w:val="28"/>
              </w:rPr>
              <w:t>kabeláž</w:t>
            </w:r>
          </w:p>
        </w:tc>
        <w:tc>
          <w:tcPr>
            <w:tcW w:w="5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kabelová trasa 200m</w:t>
            </w:r>
          </w:p>
        </w:tc>
        <w:tc>
          <w:tcPr>
            <w:tcW w:w="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72"/>
              <w:jc w:val="left"/>
            </w:pPr>
            <w:r>
              <w:t>1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106"/>
              <w:jc w:val="left"/>
            </w:pPr>
            <w:r>
              <w:t>7000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197"/>
              <w:jc w:val="left"/>
            </w:pPr>
            <w:r>
              <w:t>7000</w:t>
            </w:r>
          </w:p>
        </w:tc>
      </w:tr>
      <w:tr w:rsidR="00BA6FF3">
        <w:trPr>
          <w:trHeight w:val="310"/>
        </w:trPr>
        <w:tc>
          <w:tcPr>
            <w:tcW w:w="19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86"/>
              <w:jc w:val="left"/>
            </w:pPr>
            <w:r>
              <w:rPr>
                <w:sz w:val="26"/>
              </w:rPr>
              <w:t>montáž</w:t>
            </w:r>
          </w:p>
        </w:tc>
        <w:tc>
          <w:tcPr>
            <w:tcW w:w="5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10"/>
              <w:jc w:val="left"/>
            </w:pPr>
            <w:r>
              <w:rPr>
                <w:sz w:val="20"/>
              </w:rPr>
              <w:t>montáž, dodávka, oživení, nastavení</w:t>
            </w:r>
          </w:p>
        </w:tc>
        <w:tc>
          <w:tcPr>
            <w:tcW w:w="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72"/>
              <w:jc w:val="left"/>
            </w:pPr>
            <w:r>
              <w:t>1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0"/>
              <w:jc w:val="left"/>
            </w:pPr>
            <w:r>
              <w:t>19500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A6FF3" w:rsidRDefault="000076E5">
            <w:pPr>
              <w:spacing w:after="0" w:line="259" w:lineRule="auto"/>
              <w:ind w:left="86"/>
            </w:pPr>
            <w:r>
              <w:t>19500</w:t>
            </w:r>
          </w:p>
        </w:tc>
      </w:tr>
    </w:tbl>
    <w:p w:rsidR="00BA6FF3" w:rsidRDefault="000076E5">
      <w:pPr>
        <w:tabs>
          <w:tab w:val="center" w:pos="6490"/>
          <w:tab w:val="center" w:pos="9546"/>
        </w:tabs>
        <w:spacing w:after="0" w:line="259" w:lineRule="auto"/>
        <w:ind w:left="0"/>
        <w:jc w:val="left"/>
      </w:pPr>
      <w:r>
        <w:rPr>
          <w:sz w:val="26"/>
        </w:rPr>
        <w:tab/>
        <w:t>celkem bez DPH</w:t>
      </w:r>
      <w:r>
        <w:rPr>
          <w:sz w:val="26"/>
        </w:rPr>
        <w:tab/>
      </w:r>
      <w:r>
        <w:rPr>
          <w:sz w:val="26"/>
        </w:rPr>
        <w:t>70 029</w:t>
      </w:r>
    </w:p>
    <w:sectPr w:rsidR="00BA6FF3">
      <w:pgSz w:w="11905" w:h="16837"/>
      <w:pgMar w:top="955" w:right="874" w:bottom="735" w:left="7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5C99"/>
    <w:multiLevelType w:val="hybridMultilevel"/>
    <w:tmpl w:val="68503AE8"/>
    <w:lvl w:ilvl="0" w:tplc="65FE19FE">
      <w:start w:val="2"/>
      <w:numFmt w:val="decimal"/>
      <w:lvlText w:val="%1.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45D3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EAAC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AD0AA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A0846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295B6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0A69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0995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0743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F01084"/>
    <w:multiLevelType w:val="hybridMultilevel"/>
    <w:tmpl w:val="B4F0CBAC"/>
    <w:lvl w:ilvl="0" w:tplc="3D86A008">
      <w:start w:val="1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44A82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04DFC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627FA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6671C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A08B8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29D24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69F84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A7CCE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3D1336"/>
    <w:multiLevelType w:val="hybridMultilevel"/>
    <w:tmpl w:val="72B63EAA"/>
    <w:lvl w:ilvl="0" w:tplc="63D41576">
      <w:start w:val="5"/>
      <w:numFmt w:val="decimal"/>
      <w:lvlText w:val="%1."/>
      <w:lvlJc w:val="left"/>
      <w:pPr>
        <w:ind w:left="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24DB0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86BA6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AF526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AFB12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2AE6E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40FFC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61D28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85E6C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0F7DF4"/>
    <w:multiLevelType w:val="hybridMultilevel"/>
    <w:tmpl w:val="C0D2A844"/>
    <w:lvl w:ilvl="0" w:tplc="C4907246">
      <w:start w:val="1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660B0">
      <w:start w:val="1"/>
      <w:numFmt w:val="lowerLetter"/>
      <w:lvlText w:val="%2"/>
      <w:lvlJc w:val="left"/>
      <w:pPr>
        <w:ind w:left="1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4F082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E5908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8A548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8AA0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89712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E2E0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00E4AC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F3"/>
    <w:rsid w:val="000076E5"/>
    <w:rsid w:val="00B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B265"/>
  <w15:docId w15:val="{4CB3ED1B-9CB3-4294-83F1-315E6B34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2" w:line="226" w:lineRule="auto"/>
      <w:ind w:left="29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54"/>
      <w:jc w:val="center"/>
      <w:outlineLvl w:val="0"/>
    </w:pPr>
    <w:rPr>
      <w:rFonts w:ascii="Calibri" w:eastAsia="Calibri" w:hAnsi="Calibri" w:cs="Calibri"/>
      <w:color w:val="000000"/>
      <w:sz w:val="4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"/>
      <w:ind w:left="279" w:hanging="10"/>
      <w:outlineLvl w:val="1"/>
    </w:pPr>
    <w:rPr>
      <w:rFonts w:ascii="Calibri" w:eastAsia="Calibri" w:hAnsi="Calibri" w:cs="Calibri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"/>
      <w:ind w:left="279" w:hanging="10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fontTable" Target="fontTable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theme" Target="theme/theme1.xml"/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20" Type="http://schemas.openxmlformats.org/officeDocument/2006/relationships/image" Target="media/image16.jpg"/><Relationship Id="rId41" Type="http://schemas.openxmlformats.org/officeDocument/2006/relationships/image" Target="media/image3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cp:lastModifiedBy>AC</cp:lastModifiedBy>
  <cp:revision>2</cp:revision>
  <dcterms:created xsi:type="dcterms:W3CDTF">2023-09-22T09:45:00Z</dcterms:created>
  <dcterms:modified xsi:type="dcterms:W3CDTF">2023-09-22T09:45:00Z</dcterms:modified>
</cp:coreProperties>
</file>