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4D94" w14:textId="77777777" w:rsidR="00CA11F7" w:rsidRDefault="00CA11F7">
      <w:pPr>
        <w:widowControl w:val="0"/>
        <w:pBdr>
          <w:top w:val="nil"/>
          <w:left w:val="nil"/>
          <w:bottom w:val="nil"/>
          <w:right w:val="nil"/>
          <w:between w:val="nil"/>
        </w:pBdr>
        <w:spacing w:line="276" w:lineRule="auto"/>
      </w:pPr>
    </w:p>
    <w:p w14:paraId="667640EA" w14:textId="5D1613E0" w:rsidR="00CA11F7" w:rsidRPr="007B2978" w:rsidRDefault="00E750E3">
      <w:pPr>
        <w:jc w:val="right"/>
        <w:rPr>
          <w:rFonts w:ascii="Arial" w:eastAsia="Arial" w:hAnsi="Arial" w:cs="Arial"/>
          <w:b/>
          <w:sz w:val="20"/>
          <w:szCs w:val="20"/>
        </w:rPr>
      </w:pPr>
      <w:bookmarkStart w:id="0" w:name="bookmark=id.gjdgxs" w:colFirst="0" w:colLast="0"/>
      <w:bookmarkEnd w:id="0"/>
      <w:r w:rsidRPr="007B2978">
        <w:rPr>
          <w:rFonts w:ascii="Arial" w:eastAsia="Arial" w:hAnsi="Arial" w:cs="Arial"/>
          <w:b/>
          <w:sz w:val="20"/>
          <w:szCs w:val="20"/>
        </w:rPr>
        <w:t>    </w:t>
      </w:r>
    </w:p>
    <w:p w14:paraId="61A5332A" w14:textId="77777777" w:rsidR="00CA11F7" w:rsidRPr="007B2978" w:rsidRDefault="00E750E3">
      <w:pPr>
        <w:spacing w:before="120" w:after="240"/>
        <w:jc w:val="center"/>
        <w:rPr>
          <w:rFonts w:ascii="Arial" w:eastAsia="Arial" w:hAnsi="Arial" w:cs="Arial"/>
          <w:b/>
          <w:sz w:val="28"/>
          <w:szCs w:val="28"/>
        </w:rPr>
      </w:pPr>
      <w:r w:rsidRPr="007B2978">
        <w:rPr>
          <w:rFonts w:ascii="Arial" w:eastAsia="Arial" w:hAnsi="Arial" w:cs="Arial"/>
          <w:b/>
          <w:sz w:val="28"/>
          <w:szCs w:val="28"/>
        </w:rPr>
        <w:t>Smlouva o barterové spolupráci</w:t>
      </w:r>
    </w:p>
    <w:p w14:paraId="19A8AA27" w14:textId="77777777" w:rsidR="00CA11F7" w:rsidRPr="007B2978" w:rsidRDefault="00E750E3">
      <w:pPr>
        <w:spacing w:line="276" w:lineRule="auto"/>
        <w:jc w:val="center"/>
        <w:rPr>
          <w:rFonts w:ascii="Arial" w:eastAsia="Arial" w:hAnsi="Arial" w:cs="Arial"/>
          <w:sz w:val="20"/>
          <w:szCs w:val="20"/>
        </w:rPr>
      </w:pPr>
      <w:r w:rsidRPr="007B2978">
        <w:rPr>
          <w:rFonts w:ascii="Arial" w:eastAsia="Arial" w:hAnsi="Arial" w:cs="Arial"/>
          <w:sz w:val="20"/>
          <w:szCs w:val="20"/>
        </w:rPr>
        <w:t>podle § 1746 odst. 2 zákona č. 89/2012 Sb., občanský zákoník, ve znění pozdějších předpisů (dále jen „občanský zákoník“)</w:t>
      </w:r>
    </w:p>
    <w:p w14:paraId="7694501D" w14:textId="1D11C925" w:rsidR="00CA11F7" w:rsidRPr="00E83E7B" w:rsidRDefault="00C97BF2">
      <w:pPr>
        <w:spacing w:before="120" w:line="276" w:lineRule="auto"/>
        <w:ind w:left="-180" w:right="-108" w:firstLine="180"/>
        <w:rPr>
          <w:rFonts w:ascii="Arial" w:eastAsia="Arial" w:hAnsi="Arial" w:cs="Arial"/>
          <w:b/>
          <w:sz w:val="20"/>
          <w:szCs w:val="20"/>
        </w:rPr>
      </w:pPr>
      <w:r w:rsidRPr="00E83E7B">
        <w:rPr>
          <w:rFonts w:ascii="Arial" w:eastAsia="Arial" w:hAnsi="Arial" w:cs="Arial"/>
          <w:b/>
          <w:sz w:val="20"/>
          <w:szCs w:val="20"/>
        </w:rPr>
        <w:t>Císařské lázně, příspěvková společnost</w:t>
      </w:r>
    </w:p>
    <w:p w14:paraId="32D26059" w14:textId="5CAAFC48" w:rsidR="00CA11F7" w:rsidRPr="00E83E7B" w:rsidRDefault="00E750E3">
      <w:pPr>
        <w:tabs>
          <w:tab w:val="left" w:pos="1701"/>
        </w:tabs>
        <w:spacing w:line="276" w:lineRule="auto"/>
        <w:rPr>
          <w:rFonts w:ascii="Arial" w:eastAsia="Arial" w:hAnsi="Arial" w:cs="Arial"/>
          <w:sz w:val="20"/>
          <w:szCs w:val="20"/>
        </w:rPr>
      </w:pPr>
      <w:r w:rsidRPr="00E83E7B">
        <w:rPr>
          <w:rFonts w:ascii="Arial" w:eastAsia="Arial" w:hAnsi="Arial" w:cs="Arial"/>
          <w:sz w:val="20"/>
          <w:szCs w:val="20"/>
        </w:rPr>
        <w:t>se sídlem:</w:t>
      </w:r>
      <w:r w:rsidRPr="00E83E7B">
        <w:rPr>
          <w:rFonts w:ascii="Arial" w:eastAsia="Arial" w:hAnsi="Arial" w:cs="Arial"/>
          <w:sz w:val="20"/>
          <w:szCs w:val="20"/>
        </w:rPr>
        <w:tab/>
      </w:r>
      <w:r w:rsidR="00160E88">
        <w:rPr>
          <w:rFonts w:ascii="Arial" w:eastAsia="Arial" w:hAnsi="Arial" w:cs="Arial"/>
          <w:sz w:val="20"/>
          <w:szCs w:val="20"/>
        </w:rPr>
        <w:tab/>
      </w:r>
      <w:r w:rsidR="00160E88">
        <w:rPr>
          <w:rFonts w:ascii="Arial" w:eastAsia="Arial" w:hAnsi="Arial" w:cs="Arial"/>
          <w:sz w:val="20"/>
          <w:szCs w:val="20"/>
        </w:rPr>
        <w:tab/>
      </w:r>
      <w:r w:rsidR="00C97BF2" w:rsidRPr="00E83E7B">
        <w:rPr>
          <w:rFonts w:ascii="Arial" w:eastAsia="Arial" w:hAnsi="Arial" w:cs="Arial"/>
          <w:sz w:val="20"/>
          <w:szCs w:val="20"/>
        </w:rPr>
        <w:t>Mariánskolázeňská 306/2</w:t>
      </w:r>
    </w:p>
    <w:p w14:paraId="4BC6FAE4" w14:textId="269D2EA6" w:rsidR="00CA11F7" w:rsidRPr="00E83E7B" w:rsidRDefault="00E750E3">
      <w:pPr>
        <w:tabs>
          <w:tab w:val="left" w:pos="1701"/>
        </w:tabs>
        <w:spacing w:line="276" w:lineRule="auto"/>
        <w:rPr>
          <w:rFonts w:ascii="Arial" w:eastAsia="Arial" w:hAnsi="Arial" w:cs="Arial"/>
          <w:sz w:val="20"/>
          <w:szCs w:val="20"/>
        </w:rPr>
      </w:pPr>
      <w:r w:rsidRPr="00E83E7B">
        <w:rPr>
          <w:rFonts w:ascii="Arial" w:eastAsia="Arial" w:hAnsi="Arial" w:cs="Arial"/>
          <w:sz w:val="20"/>
          <w:szCs w:val="20"/>
        </w:rPr>
        <w:t>zastoupená:</w:t>
      </w:r>
      <w:r w:rsidRPr="00E83E7B">
        <w:rPr>
          <w:rFonts w:ascii="Arial" w:eastAsia="Arial" w:hAnsi="Arial" w:cs="Arial"/>
          <w:sz w:val="20"/>
          <w:szCs w:val="20"/>
        </w:rPr>
        <w:tab/>
      </w:r>
      <w:bookmarkStart w:id="1" w:name="bookmark=id.30j0zll" w:colFirst="0" w:colLast="0"/>
      <w:bookmarkEnd w:id="1"/>
      <w:r w:rsidR="00160E88">
        <w:rPr>
          <w:rFonts w:ascii="Arial" w:eastAsia="Arial" w:hAnsi="Arial" w:cs="Arial"/>
          <w:sz w:val="20"/>
          <w:szCs w:val="20"/>
        </w:rPr>
        <w:tab/>
      </w:r>
      <w:r w:rsidR="00160E88">
        <w:rPr>
          <w:rFonts w:ascii="Arial" w:eastAsia="Arial" w:hAnsi="Arial" w:cs="Arial"/>
          <w:sz w:val="20"/>
          <w:szCs w:val="20"/>
        </w:rPr>
        <w:tab/>
      </w:r>
      <w:r w:rsidR="00C97BF2" w:rsidRPr="00E83E7B">
        <w:rPr>
          <w:rFonts w:ascii="Arial" w:eastAsia="Arial" w:hAnsi="Arial" w:cs="Arial"/>
          <w:sz w:val="20"/>
          <w:szCs w:val="20"/>
        </w:rPr>
        <w:t>Alexandrem Chalupníkem, ředitelem</w:t>
      </w:r>
    </w:p>
    <w:p w14:paraId="2B93DE63" w14:textId="3CFC0D0F" w:rsidR="00CA11F7" w:rsidRPr="00E83E7B" w:rsidRDefault="00E750E3">
      <w:pPr>
        <w:tabs>
          <w:tab w:val="left" w:pos="1701"/>
        </w:tabs>
        <w:spacing w:line="276" w:lineRule="auto"/>
        <w:rPr>
          <w:rFonts w:ascii="Arial" w:eastAsia="Arial" w:hAnsi="Arial" w:cs="Arial"/>
          <w:sz w:val="20"/>
          <w:szCs w:val="20"/>
        </w:rPr>
      </w:pPr>
      <w:r w:rsidRPr="00E83E7B">
        <w:rPr>
          <w:rFonts w:ascii="Arial" w:eastAsia="Arial" w:hAnsi="Arial" w:cs="Arial"/>
          <w:sz w:val="20"/>
          <w:szCs w:val="20"/>
        </w:rPr>
        <w:t xml:space="preserve">IČO: </w:t>
      </w:r>
      <w:r w:rsidRPr="00E83E7B">
        <w:rPr>
          <w:rFonts w:ascii="Arial" w:eastAsia="Arial" w:hAnsi="Arial" w:cs="Arial"/>
          <w:sz w:val="20"/>
          <w:szCs w:val="20"/>
        </w:rPr>
        <w:tab/>
      </w:r>
      <w:r w:rsidR="00160E88">
        <w:rPr>
          <w:rFonts w:ascii="Arial" w:eastAsia="Arial" w:hAnsi="Arial" w:cs="Arial"/>
          <w:sz w:val="20"/>
          <w:szCs w:val="20"/>
        </w:rPr>
        <w:tab/>
      </w:r>
      <w:r w:rsidR="00160E88">
        <w:rPr>
          <w:rFonts w:ascii="Arial" w:eastAsia="Arial" w:hAnsi="Arial" w:cs="Arial"/>
          <w:sz w:val="20"/>
          <w:szCs w:val="20"/>
        </w:rPr>
        <w:tab/>
      </w:r>
      <w:r w:rsidR="00E83E7B" w:rsidRPr="00024D27">
        <w:rPr>
          <w:rFonts w:ascii="Arial" w:hAnsi="Arial" w:cs="Arial"/>
          <w:sz w:val="20"/>
          <w:szCs w:val="18"/>
        </w:rPr>
        <w:t>75153033</w:t>
      </w:r>
    </w:p>
    <w:p w14:paraId="62C74278" w14:textId="10F2350F" w:rsidR="00CA11F7" w:rsidRPr="00E83E7B" w:rsidRDefault="00E750E3">
      <w:pPr>
        <w:tabs>
          <w:tab w:val="left" w:pos="1701"/>
        </w:tabs>
        <w:spacing w:line="276" w:lineRule="auto"/>
        <w:rPr>
          <w:rFonts w:ascii="Arial" w:eastAsia="Arial" w:hAnsi="Arial" w:cs="Arial"/>
          <w:sz w:val="20"/>
          <w:szCs w:val="20"/>
        </w:rPr>
      </w:pPr>
      <w:r w:rsidRPr="00E83E7B">
        <w:rPr>
          <w:rFonts w:ascii="Arial" w:eastAsia="Arial" w:hAnsi="Arial" w:cs="Arial"/>
          <w:sz w:val="20"/>
          <w:szCs w:val="20"/>
        </w:rPr>
        <w:t>DIČ:</w:t>
      </w:r>
      <w:r w:rsidRPr="00E83E7B">
        <w:rPr>
          <w:rFonts w:ascii="Arial" w:eastAsia="Arial" w:hAnsi="Arial" w:cs="Arial"/>
          <w:sz w:val="20"/>
          <w:szCs w:val="20"/>
        </w:rPr>
        <w:tab/>
      </w:r>
    </w:p>
    <w:p w14:paraId="114DF2E1" w14:textId="1397338B" w:rsidR="00CA11F7" w:rsidRPr="00E83E7B" w:rsidRDefault="00E750E3">
      <w:pPr>
        <w:tabs>
          <w:tab w:val="left" w:pos="1701"/>
        </w:tabs>
        <w:spacing w:line="276" w:lineRule="auto"/>
        <w:rPr>
          <w:rFonts w:ascii="Arial" w:eastAsia="Arial" w:hAnsi="Arial" w:cs="Arial"/>
          <w:sz w:val="20"/>
          <w:szCs w:val="20"/>
        </w:rPr>
      </w:pPr>
      <w:r w:rsidRPr="00E83E7B">
        <w:rPr>
          <w:rFonts w:ascii="Arial" w:eastAsia="Arial" w:hAnsi="Arial" w:cs="Arial"/>
          <w:sz w:val="20"/>
          <w:szCs w:val="20"/>
        </w:rPr>
        <w:t>bankovní spojení:</w:t>
      </w:r>
      <w:r w:rsidR="00160E88">
        <w:rPr>
          <w:rFonts w:ascii="Arial" w:eastAsia="Arial" w:hAnsi="Arial" w:cs="Arial"/>
          <w:sz w:val="20"/>
          <w:szCs w:val="20"/>
        </w:rPr>
        <w:tab/>
      </w:r>
      <w:r w:rsidR="00160E88">
        <w:rPr>
          <w:rFonts w:ascii="Arial" w:eastAsia="Arial" w:hAnsi="Arial" w:cs="Arial"/>
          <w:sz w:val="20"/>
          <w:szCs w:val="20"/>
        </w:rPr>
        <w:tab/>
      </w:r>
      <w:r w:rsidRPr="00E83E7B">
        <w:rPr>
          <w:rFonts w:ascii="Arial" w:eastAsia="Arial" w:hAnsi="Arial" w:cs="Arial"/>
          <w:sz w:val="20"/>
          <w:szCs w:val="20"/>
        </w:rPr>
        <w:tab/>
      </w:r>
      <w:r w:rsidR="007752B0">
        <w:rPr>
          <w:rFonts w:ascii="Arial" w:eastAsia="Arial" w:hAnsi="Arial" w:cs="Arial"/>
          <w:sz w:val="20"/>
          <w:szCs w:val="20"/>
        </w:rPr>
        <w:t>xxxx</w:t>
      </w:r>
    </w:p>
    <w:p w14:paraId="766B49D2" w14:textId="1512F223" w:rsidR="00CA11F7" w:rsidRPr="00E83E7B" w:rsidRDefault="00E750E3">
      <w:pPr>
        <w:tabs>
          <w:tab w:val="left" w:pos="1701"/>
        </w:tabs>
        <w:spacing w:line="276" w:lineRule="auto"/>
        <w:rPr>
          <w:rFonts w:ascii="Arial" w:eastAsia="Arial" w:hAnsi="Arial" w:cs="Arial"/>
          <w:sz w:val="20"/>
          <w:szCs w:val="20"/>
        </w:rPr>
      </w:pPr>
      <w:r w:rsidRPr="00E83E7B">
        <w:rPr>
          <w:rFonts w:ascii="Arial" w:eastAsia="Arial" w:hAnsi="Arial" w:cs="Arial"/>
          <w:sz w:val="20"/>
          <w:szCs w:val="20"/>
        </w:rPr>
        <w:t>č. účtu:</w:t>
      </w:r>
      <w:r w:rsidRPr="00E83E7B">
        <w:rPr>
          <w:rFonts w:ascii="Arial" w:eastAsia="Arial" w:hAnsi="Arial" w:cs="Arial"/>
          <w:sz w:val="20"/>
          <w:szCs w:val="20"/>
        </w:rPr>
        <w:tab/>
      </w:r>
      <w:r w:rsidR="00160E88">
        <w:rPr>
          <w:rFonts w:ascii="Arial" w:eastAsia="Arial" w:hAnsi="Arial" w:cs="Arial"/>
          <w:sz w:val="20"/>
          <w:szCs w:val="20"/>
        </w:rPr>
        <w:tab/>
      </w:r>
      <w:r w:rsidR="00160E88">
        <w:rPr>
          <w:rFonts w:ascii="Arial" w:eastAsia="Arial" w:hAnsi="Arial" w:cs="Arial"/>
          <w:sz w:val="20"/>
          <w:szCs w:val="20"/>
        </w:rPr>
        <w:tab/>
      </w:r>
      <w:r w:rsidR="007752B0">
        <w:rPr>
          <w:rFonts w:ascii="Arial" w:hAnsi="Arial" w:cs="Arial"/>
          <w:iCs/>
          <w:sz w:val="20"/>
          <w:szCs w:val="20"/>
        </w:rPr>
        <w:t>xxxx</w:t>
      </w:r>
    </w:p>
    <w:p w14:paraId="0CFC0450" w14:textId="79EA3656" w:rsidR="00CA11F7" w:rsidRPr="00024D27" w:rsidRDefault="00E750E3">
      <w:pPr>
        <w:tabs>
          <w:tab w:val="left" w:pos="1701"/>
        </w:tabs>
        <w:spacing w:line="276" w:lineRule="auto"/>
        <w:rPr>
          <w:rFonts w:ascii="Arial" w:eastAsia="Arial" w:hAnsi="Arial" w:cs="Arial"/>
          <w:sz w:val="16"/>
          <w:szCs w:val="16"/>
        </w:rPr>
      </w:pPr>
      <w:r w:rsidRPr="00E83E7B">
        <w:rPr>
          <w:rFonts w:ascii="Arial" w:eastAsia="Arial" w:hAnsi="Arial" w:cs="Arial"/>
          <w:sz w:val="20"/>
          <w:szCs w:val="20"/>
        </w:rPr>
        <w:t>OR:</w:t>
      </w:r>
      <w:r w:rsidRPr="00E83E7B">
        <w:rPr>
          <w:rFonts w:ascii="Arial" w:eastAsia="Arial" w:hAnsi="Arial" w:cs="Arial"/>
          <w:sz w:val="20"/>
          <w:szCs w:val="20"/>
        </w:rPr>
        <w:tab/>
      </w:r>
      <w:r w:rsidR="00160E88">
        <w:rPr>
          <w:rFonts w:ascii="Arial" w:eastAsia="Arial" w:hAnsi="Arial" w:cs="Arial"/>
          <w:sz w:val="20"/>
          <w:szCs w:val="20"/>
        </w:rPr>
        <w:tab/>
      </w:r>
      <w:r w:rsidR="00160E88">
        <w:rPr>
          <w:rFonts w:ascii="Arial" w:eastAsia="Arial" w:hAnsi="Arial" w:cs="Arial"/>
          <w:sz w:val="20"/>
          <w:szCs w:val="20"/>
        </w:rPr>
        <w:tab/>
      </w:r>
      <w:r w:rsidR="00E83E7B" w:rsidRPr="00024D27">
        <w:rPr>
          <w:rFonts w:ascii="Arial" w:hAnsi="Arial" w:cs="Arial"/>
          <w:sz w:val="20"/>
          <w:szCs w:val="18"/>
        </w:rPr>
        <w:t>Krajský soud v Plzni, pod sp. zn. Pr 725</w:t>
      </w:r>
    </w:p>
    <w:p w14:paraId="3B3E30D4" w14:textId="1857594A" w:rsidR="00CA11F7" w:rsidRPr="007B2978" w:rsidRDefault="00E750E3">
      <w:pPr>
        <w:spacing w:before="60" w:after="120" w:line="276" w:lineRule="auto"/>
        <w:rPr>
          <w:rFonts w:ascii="Arial" w:eastAsia="Arial" w:hAnsi="Arial" w:cs="Arial"/>
          <w:sz w:val="20"/>
          <w:szCs w:val="20"/>
        </w:rPr>
      </w:pPr>
      <w:r w:rsidRPr="00E83E7B">
        <w:rPr>
          <w:rFonts w:ascii="Arial" w:eastAsia="Arial" w:hAnsi="Arial" w:cs="Arial"/>
          <w:sz w:val="20"/>
          <w:szCs w:val="20"/>
        </w:rPr>
        <w:t>(dále jen „</w:t>
      </w:r>
      <w:r w:rsidR="00C97BF2" w:rsidRPr="00E83E7B">
        <w:rPr>
          <w:rFonts w:ascii="Arial" w:eastAsia="Arial" w:hAnsi="Arial" w:cs="Arial"/>
          <w:b/>
          <w:sz w:val="20"/>
          <w:szCs w:val="20"/>
        </w:rPr>
        <w:t>CL</w:t>
      </w:r>
      <w:r w:rsidRPr="00E83E7B">
        <w:rPr>
          <w:rFonts w:ascii="Arial" w:eastAsia="Arial" w:hAnsi="Arial" w:cs="Arial"/>
          <w:sz w:val="20"/>
          <w:szCs w:val="20"/>
        </w:rPr>
        <w:t>“)</w:t>
      </w:r>
    </w:p>
    <w:p w14:paraId="5BE3FE98" w14:textId="77777777" w:rsidR="00CA11F7" w:rsidRPr="007B2978" w:rsidRDefault="00E750E3">
      <w:pPr>
        <w:pStyle w:val="Nadpis3"/>
        <w:spacing w:before="0"/>
        <w:ind w:left="0" w:firstLine="0"/>
        <w:rPr>
          <w:rFonts w:ascii="Arial" w:eastAsia="Arial" w:hAnsi="Arial" w:cs="Arial"/>
          <w:b w:val="0"/>
          <w:sz w:val="20"/>
          <w:szCs w:val="20"/>
        </w:rPr>
      </w:pPr>
      <w:r w:rsidRPr="007B2978">
        <w:rPr>
          <w:rFonts w:ascii="Arial" w:eastAsia="Arial" w:hAnsi="Arial" w:cs="Arial"/>
          <w:b w:val="0"/>
          <w:sz w:val="20"/>
          <w:szCs w:val="20"/>
        </w:rPr>
        <w:t>a</w:t>
      </w:r>
    </w:p>
    <w:p w14:paraId="4CB4D3B4" w14:textId="1E8943FA" w:rsidR="003301F1" w:rsidRPr="00B0596D" w:rsidRDefault="00BB4B23" w:rsidP="00E449DB">
      <w:pPr>
        <w:tabs>
          <w:tab w:val="left" w:pos="1701"/>
        </w:tabs>
        <w:spacing w:line="276" w:lineRule="auto"/>
        <w:rPr>
          <w:rFonts w:ascii="Arial" w:eastAsia="Arial" w:hAnsi="Arial" w:cs="Arial"/>
          <w:b/>
          <w:bCs/>
          <w:sz w:val="20"/>
          <w:szCs w:val="20"/>
        </w:rPr>
      </w:pPr>
      <w:r w:rsidRPr="007B2978">
        <w:rPr>
          <w:rFonts w:ascii="inherit" w:hAnsi="inherit" w:cs="Arial"/>
          <w:color w:val="000000"/>
          <w:sz w:val="23"/>
          <w:szCs w:val="23"/>
          <w:bdr w:val="none" w:sz="0" w:space="0" w:color="auto" w:frame="1"/>
        </w:rPr>
        <w:br/>
      </w:r>
      <w:r w:rsidR="00251904">
        <w:rPr>
          <w:rFonts w:ascii="Arial" w:eastAsia="Arial" w:hAnsi="Arial" w:cs="Arial"/>
          <w:b/>
          <w:bCs/>
          <w:sz w:val="20"/>
          <w:szCs w:val="20"/>
        </w:rPr>
        <w:t>Karlovarský symfonický orchestr, příspěvková organizace</w:t>
      </w:r>
    </w:p>
    <w:p w14:paraId="502A9102" w14:textId="140AA180" w:rsidR="003301F1" w:rsidRPr="00B0596D" w:rsidRDefault="003301F1" w:rsidP="00E449DB">
      <w:pPr>
        <w:tabs>
          <w:tab w:val="left" w:pos="1701"/>
        </w:tabs>
        <w:spacing w:line="276" w:lineRule="auto"/>
        <w:rPr>
          <w:rFonts w:ascii="Arial" w:eastAsia="Arial" w:hAnsi="Arial" w:cs="Arial"/>
          <w:sz w:val="20"/>
          <w:szCs w:val="20"/>
        </w:rPr>
      </w:pPr>
      <w:r w:rsidRPr="00B0596D">
        <w:rPr>
          <w:rFonts w:ascii="Arial" w:eastAsia="Arial" w:hAnsi="Arial" w:cs="Arial"/>
          <w:sz w:val="20"/>
          <w:szCs w:val="20"/>
        </w:rPr>
        <w:t xml:space="preserve">sídlo: </w:t>
      </w:r>
      <w:r w:rsidRPr="00B0596D">
        <w:rPr>
          <w:rFonts w:ascii="Arial" w:eastAsia="Arial" w:hAnsi="Arial" w:cs="Arial"/>
          <w:sz w:val="20"/>
          <w:szCs w:val="20"/>
        </w:rPr>
        <w:tab/>
      </w:r>
      <w:r w:rsidRPr="00B0596D">
        <w:rPr>
          <w:rFonts w:ascii="Arial" w:eastAsia="Arial" w:hAnsi="Arial" w:cs="Arial"/>
          <w:sz w:val="20"/>
          <w:szCs w:val="20"/>
        </w:rPr>
        <w:tab/>
      </w:r>
      <w:r w:rsidRPr="00B0596D">
        <w:rPr>
          <w:rFonts w:ascii="Arial" w:eastAsia="Arial" w:hAnsi="Arial" w:cs="Arial"/>
          <w:sz w:val="20"/>
          <w:szCs w:val="20"/>
        </w:rPr>
        <w:tab/>
      </w:r>
      <w:r w:rsidR="00FD0D5B">
        <w:rPr>
          <w:rFonts w:ascii="Arial" w:eastAsia="Arial" w:hAnsi="Arial" w:cs="Arial"/>
          <w:sz w:val="20"/>
          <w:szCs w:val="20"/>
        </w:rPr>
        <w:t>Husovo náměstí 2, 360 01 Karlovy Vary</w:t>
      </w:r>
    </w:p>
    <w:p w14:paraId="2C1A93D3" w14:textId="2D88A3E2" w:rsidR="003301F1" w:rsidRPr="00B0596D" w:rsidRDefault="003301F1" w:rsidP="00E449DB">
      <w:pPr>
        <w:tabs>
          <w:tab w:val="left" w:pos="1701"/>
        </w:tabs>
        <w:spacing w:line="276" w:lineRule="auto"/>
        <w:rPr>
          <w:rFonts w:ascii="Arial" w:eastAsia="Arial" w:hAnsi="Arial" w:cs="Arial"/>
          <w:sz w:val="20"/>
          <w:szCs w:val="20"/>
        </w:rPr>
      </w:pPr>
      <w:r w:rsidRPr="00B0596D">
        <w:rPr>
          <w:rFonts w:ascii="Arial" w:eastAsia="Arial" w:hAnsi="Arial" w:cs="Arial"/>
          <w:sz w:val="20"/>
          <w:szCs w:val="20"/>
        </w:rPr>
        <w:t xml:space="preserve">Zastoupená: </w:t>
      </w:r>
      <w:r w:rsidRPr="00B0596D">
        <w:rPr>
          <w:rFonts w:ascii="Arial" w:eastAsia="Arial" w:hAnsi="Arial" w:cs="Arial"/>
          <w:sz w:val="20"/>
          <w:szCs w:val="20"/>
        </w:rPr>
        <w:tab/>
      </w:r>
      <w:r w:rsidRPr="00B0596D">
        <w:rPr>
          <w:rFonts w:ascii="Arial" w:eastAsia="Arial" w:hAnsi="Arial" w:cs="Arial"/>
          <w:sz w:val="20"/>
          <w:szCs w:val="20"/>
        </w:rPr>
        <w:tab/>
      </w:r>
      <w:r w:rsidR="008C224E" w:rsidRPr="00B0596D">
        <w:rPr>
          <w:rFonts w:ascii="Arial" w:eastAsia="Arial" w:hAnsi="Arial" w:cs="Arial"/>
          <w:sz w:val="20"/>
          <w:szCs w:val="20"/>
        </w:rPr>
        <w:tab/>
      </w:r>
      <w:r w:rsidR="00FD0D5B">
        <w:rPr>
          <w:rFonts w:ascii="Arial" w:eastAsia="Arial" w:hAnsi="Arial" w:cs="Arial"/>
          <w:sz w:val="20"/>
          <w:szCs w:val="20"/>
        </w:rPr>
        <w:t>Michaelou Moc Káčerkovou, ře</w:t>
      </w:r>
      <w:r w:rsidR="008364CA">
        <w:rPr>
          <w:rFonts w:ascii="Arial" w:eastAsia="Arial" w:hAnsi="Arial" w:cs="Arial"/>
          <w:sz w:val="20"/>
          <w:szCs w:val="20"/>
        </w:rPr>
        <w:t>ditelkou</w:t>
      </w:r>
    </w:p>
    <w:p w14:paraId="0C09D3CB" w14:textId="740B5D30" w:rsidR="003301F1" w:rsidRPr="00B0596D" w:rsidRDefault="003301F1" w:rsidP="00E449DB">
      <w:pPr>
        <w:tabs>
          <w:tab w:val="left" w:pos="1701"/>
        </w:tabs>
        <w:spacing w:line="276" w:lineRule="auto"/>
        <w:rPr>
          <w:rFonts w:ascii="Arial" w:eastAsia="Arial" w:hAnsi="Arial" w:cs="Arial"/>
          <w:sz w:val="20"/>
          <w:szCs w:val="20"/>
        </w:rPr>
      </w:pPr>
      <w:r w:rsidRPr="00B0596D">
        <w:rPr>
          <w:rFonts w:ascii="Arial" w:eastAsia="Arial" w:hAnsi="Arial" w:cs="Arial"/>
          <w:sz w:val="20"/>
          <w:szCs w:val="20"/>
        </w:rPr>
        <w:t xml:space="preserve">IČO: </w:t>
      </w:r>
      <w:r w:rsidRPr="00B0596D">
        <w:rPr>
          <w:rFonts w:ascii="Arial" w:eastAsia="Arial" w:hAnsi="Arial" w:cs="Arial"/>
          <w:sz w:val="20"/>
          <w:szCs w:val="20"/>
        </w:rPr>
        <w:tab/>
      </w:r>
      <w:r w:rsidRPr="00B0596D">
        <w:rPr>
          <w:rFonts w:ascii="Arial" w:eastAsia="Arial" w:hAnsi="Arial" w:cs="Arial"/>
          <w:sz w:val="20"/>
          <w:szCs w:val="20"/>
        </w:rPr>
        <w:tab/>
      </w:r>
      <w:r w:rsidRPr="00B0596D">
        <w:rPr>
          <w:rFonts w:ascii="Arial" w:eastAsia="Arial" w:hAnsi="Arial" w:cs="Arial"/>
          <w:sz w:val="20"/>
          <w:szCs w:val="20"/>
        </w:rPr>
        <w:tab/>
      </w:r>
      <w:r w:rsidR="008364CA">
        <w:rPr>
          <w:rFonts w:ascii="Arial" w:eastAsia="Arial" w:hAnsi="Arial" w:cs="Arial"/>
          <w:sz w:val="20"/>
          <w:szCs w:val="20"/>
        </w:rPr>
        <w:t>63554585</w:t>
      </w:r>
    </w:p>
    <w:p w14:paraId="700ED2F5" w14:textId="6B222AB7" w:rsidR="003301F1" w:rsidRPr="00B0596D" w:rsidRDefault="003301F1" w:rsidP="00E449DB">
      <w:pPr>
        <w:tabs>
          <w:tab w:val="left" w:pos="1701"/>
        </w:tabs>
        <w:spacing w:line="276" w:lineRule="auto"/>
        <w:rPr>
          <w:rFonts w:ascii="Arial" w:eastAsia="Arial" w:hAnsi="Arial" w:cs="Arial"/>
          <w:sz w:val="20"/>
          <w:szCs w:val="20"/>
        </w:rPr>
      </w:pPr>
      <w:r w:rsidRPr="00B0596D">
        <w:rPr>
          <w:rFonts w:ascii="Arial" w:eastAsia="Arial" w:hAnsi="Arial" w:cs="Arial"/>
          <w:sz w:val="20"/>
          <w:szCs w:val="20"/>
        </w:rPr>
        <w:t xml:space="preserve">DIČ: </w:t>
      </w:r>
      <w:r w:rsidRPr="00B0596D">
        <w:rPr>
          <w:rFonts w:ascii="Arial" w:eastAsia="Arial" w:hAnsi="Arial" w:cs="Arial"/>
          <w:sz w:val="20"/>
          <w:szCs w:val="20"/>
        </w:rPr>
        <w:tab/>
      </w:r>
      <w:r w:rsidRPr="00B0596D">
        <w:rPr>
          <w:rFonts w:ascii="Arial" w:eastAsia="Arial" w:hAnsi="Arial" w:cs="Arial"/>
          <w:sz w:val="20"/>
          <w:szCs w:val="20"/>
        </w:rPr>
        <w:tab/>
      </w:r>
      <w:r w:rsidRPr="00B0596D">
        <w:rPr>
          <w:rFonts w:ascii="Arial" w:eastAsia="Arial" w:hAnsi="Arial" w:cs="Arial"/>
          <w:sz w:val="20"/>
          <w:szCs w:val="20"/>
        </w:rPr>
        <w:tab/>
        <w:t>CZ</w:t>
      </w:r>
      <w:r w:rsidR="008364CA">
        <w:rPr>
          <w:rFonts w:ascii="Arial" w:eastAsia="Arial" w:hAnsi="Arial" w:cs="Arial"/>
          <w:sz w:val="20"/>
          <w:szCs w:val="20"/>
        </w:rPr>
        <w:t>63554585</w:t>
      </w:r>
    </w:p>
    <w:p w14:paraId="11A6DA37" w14:textId="3FEBA16B" w:rsidR="003301F1" w:rsidRPr="00ED5876" w:rsidRDefault="003301F1" w:rsidP="003301F1">
      <w:pPr>
        <w:tabs>
          <w:tab w:val="left" w:pos="1701"/>
        </w:tabs>
        <w:spacing w:line="276" w:lineRule="auto"/>
        <w:rPr>
          <w:rFonts w:ascii="Arial" w:eastAsia="Arial" w:hAnsi="Arial" w:cs="Arial"/>
          <w:sz w:val="20"/>
          <w:szCs w:val="20"/>
        </w:rPr>
      </w:pPr>
      <w:r w:rsidRPr="00B0596D">
        <w:rPr>
          <w:rFonts w:ascii="Arial" w:eastAsia="Arial" w:hAnsi="Arial" w:cs="Arial"/>
          <w:sz w:val="20"/>
          <w:szCs w:val="20"/>
        </w:rPr>
        <w:t>bankovní spojení:</w:t>
      </w:r>
      <w:r w:rsidRPr="00B0596D">
        <w:rPr>
          <w:rFonts w:ascii="Arial" w:eastAsia="Arial" w:hAnsi="Arial" w:cs="Arial"/>
          <w:sz w:val="20"/>
          <w:szCs w:val="20"/>
        </w:rPr>
        <w:tab/>
      </w:r>
      <w:r w:rsidR="001C356E">
        <w:rPr>
          <w:rFonts w:ascii="Arial" w:eastAsia="Arial" w:hAnsi="Arial" w:cs="Arial"/>
          <w:sz w:val="20"/>
          <w:szCs w:val="20"/>
        </w:rPr>
        <w:tab/>
      </w:r>
      <w:r w:rsidR="001C356E">
        <w:rPr>
          <w:rFonts w:ascii="Arial" w:eastAsia="Arial" w:hAnsi="Arial" w:cs="Arial"/>
          <w:sz w:val="20"/>
          <w:szCs w:val="20"/>
        </w:rPr>
        <w:tab/>
      </w:r>
      <w:r w:rsidR="007752B0">
        <w:rPr>
          <w:rFonts w:ascii="Arial" w:eastAsia="Arial" w:hAnsi="Arial" w:cs="Arial"/>
          <w:sz w:val="20"/>
          <w:szCs w:val="20"/>
        </w:rPr>
        <w:t>xxxx</w:t>
      </w:r>
    </w:p>
    <w:p w14:paraId="7D1ACA00" w14:textId="65D424C0" w:rsidR="003301F1" w:rsidRPr="00B0596D" w:rsidRDefault="003301F1" w:rsidP="00E449DB">
      <w:pPr>
        <w:tabs>
          <w:tab w:val="left" w:pos="1701"/>
        </w:tabs>
        <w:spacing w:line="276" w:lineRule="auto"/>
        <w:rPr>
          <w:rFonts w:ascii="Arial" w:eastAsia="Arial" w:hAnsi="Arial" w:cs="Arial"/>
          <w:sz w:val="20"/>
          <w:szCs w:val="20"/>
        </w:rPr>
      </w:pPr>
      <w:r w:rsidRPr="00ED5876">
        <w:rPr>
          <w:rFonts w:ascii="Arial" w:eastAsia="Arial" w:hAnsi="Arial" w:cs="Arial"/>
          <w:sz w:val="20"/>
          <w:szCs w:val="20"/>
        </w:rPr>
        <w:t>č. účtu:</w:t>
      </w:r>
      <w:r w:rsidRPr="00ED5876">
        <w:rPr>
          <w:rFonts w:ascii="Arial" w:eastAsia="Arial" w:hAnsi="Arial" w:cs="Arial"/>
          <w:sz w:val="20"/>
          <w:szCs w:val="20"/>
        </w:rPr>
        <w:tab/>
      </w:r>
      <w:r w:rsidR="001C356E" w:rsidRPr="00ED5876">
        <w:rPr>
          <w:rFonts w:ascii="Arial" w:eastAsia="Arial" w:hAnsi="Arial" w:cs="Arial"/>
          <w:sz w:val="20"/>
          <w:szCs w:val="20"/>
        </w:rPr>
        <w:tab/>
      </w:r>
      <w:r w:rsidR="001C356E" w:rsidRPr="00ED5876">
        <w:rPr>
          <w:rFonts w:ascii="Arial" w:eastAsia="Arial" w:hAnsi="Arial" w:cs="Arial"/>
          <w:sz w:val="20"/>
          <w:szCs w:val="20"/>
        </w:rPr>
        <w:tab/>
      </w:r>
      <w:r w:rsidR="007752B0">
        <w:rPr>
          <w:rFonts w:ascii="Arial" w:eastAsia="Arial" w:hAnsi="Arial" w:cs="Arial"/>
          <w:sz w:val="20"/>
          <w:szCs w:val="20"/>
        </w:rPr>
        <w:t>xxxx</w:t>
      </w:r>
    </w:p>
    <w:p w14:paraId="19403A8A" w14:textId="7A64042F" w:rsidR="003759C7" w:rsidRPr="00B0596D" w:rsidRDefault="003301F1" w:rsidP="00E449DB">
      <w:pPr>
        <w:tabs>
          <w:tab w:val="left" w:pos="1701"/>
        </w:tabs>
        <w:spacing w:line="276" w:lineRule="auto"/>
        <w:rPr>
          <w:rFonts w:ascii="Arial" w:eastAsia="Arial" w:hAnsi="Arial" w:cs="Arial"/>
          <w:sz w:val="20"/>
          <w:szCs w:val="20"/>
        </w:rPr>
      </w:pPr>
      <w:r w:rsidRPr="00B0596D">
        <w:rPr>
          <w:rFonts w:ascii="Arial" w:eastAsia="Arial" w:hAnsi="Arial" w:cs="Arial"/>
          <w:sz w:val="20"/>
          <w:szCs w:val="20"/>
        </w:rPr>
        <w:t xml:space="preserve">Zápis v OR: </w:t>
      </w:r>
      <w:r w:rsidR="008C224E" w:rsidRPr="00B0596D">
        <w:rPr>
          <w:rFonts w:ascii="Arial" w:eastAsia="Arial" w:hAnsi="Arial" w:cs="Arial"/>
          <w:sz w:val="20"/>
          <w:szCs w:val="20"/>
        </w:rPr>
        <w:tab/>
      </w:r>
      <w:r w:rsidR="008C224E" w:rsidRPr="00B0596D">
        <w:rPr>
          <w:rFonts w:ascii="Arial" w:eastAsia="Arial" w:hAnsi="Arial" w:cs="Arial"/>
          <w:sz w:val="20"/>
          <w:szCs w:val="20"/>
        </w:rPr>
        <w:tab/>
      </w:r>
      <w:r w:rsidR="008C224E" w:rsidRPr="00B0596D">
        <w:rPr>
          <w:rFonts w:ascii="Arial" w:eastAsia="Arial" w:hAnsi="Arial" w:cs="Arial"/>
          <w:sz w:val="20"/>
          <w:szCs w:val="20"/>
        </w:rPr>
        <w:tab/>
      </w:r>
      <w:r w:rsidR="000C380F">
        <w:rPr>
          <w:rFonts w:ascii="Arial" w:eastAsia="Arial" w:hAnsi="Arial" w:cs="Arial"/>
          <w:sz w:val="20"/>
          <w:szCs w:val="20"/>
        </w:rPr>
        <w:t xml:space="preserve">Krajský soud v Plzni, pod sp. </w:t>
      </w:r>
      <w:r w:rsidR="00796CCC">
        <w:rPr>
          <w:rFonts w:ascii="Arial" w:eastAsia="Arial" w:hAnsi="Arial" w:cs="Arial"/>
          <w:sz w:val="20"/>
          <w:szCs w:val="20"/>
        </w:rPr>
        <w:t>zn</w:t>
      </w:r>
      <w:r w:rsidR="000C380F">
        <w:rPr>
          <w:rFonts w:ascii="Arial" w:eastAsia="Arial" w:hAnsi="Arial" w:cs="Arial"/>
          <w:sz w:val="20"/>
          <w:szCs w:val="20"/>
        </w:rPr>
        <w:t>. Pr 459</w:t>
      </w:r>
    </w:p>
    <w:p w14:paraId="1AA44A73" w14:textId="505A4BDF" w:rsidR="00CA11F7" w:rsidRDefault="00E750E3" w:rsidP="00E449DB">
      <w:pPr>
        <w:tabs>
          <w:tab w:val="left" w:pos="1701"/>
        </w:tabs>
        <w:spacing w:line="276" w:lineRule="auto"/>
        <w:rPr>
          <w:rFonts w:ascii="Arial" w:eastAsia="Arial" w:hAnsi="Arial" w:cs="Arial"/>
          <w:sz w:val="20"/>
          <w:szCs w:val="20"/>
        </w:rPr>
      </w:pPr>
      <w:bookmarkStart w:id="2" w:name="bookmark=id.4d34og8" w:colFirst="0" w:colLast="0"/>
      <w:bookmarkEnd w:id="2"/>
      <w:r w:rsidRPr="00B0596D">
        <w:rPr>
          <w:rFonts w:ascii="Arial" w:eastAsia="Arial" w:hAnsi="Arial" w:cs="Arial"/>
          <w:sz w:val="20"/>
          <w:szCs w:val="20"/>
        </w:rPr>
        <w:t>(dále jen „</w:t>
      </w:r>
      <w:r w:rsidR="00160E88">
        <w:rPr>
          <w:rFonts w:ascii="Arial" w:eastAsia="Arial" w:hAnsi="Arial" w:cs="Arial"/>
          <w:b/>
          <w:bCs/>
          <w:sz w:val="20"/>
          <w:szCs w:val="20"/>
        </w:rPr>
        <w:t>KSO</w:t>
      </w:r>
      <w:r w:rsidRPr="00B0596D">
        <w:rPr>
          <w:rFonts w:ascii="Arial" w:eastAsia="Arial" w:hAnsi="Arial" w:cs="Arial"/>
          <w:sz w:val="20"/>
          <w:szCs w:val="20"/>
        </w:rPr>
        <w:t>“)</w:t>
      </w:r>
    </w:p>
    <w:p w14:paraId="552687DB" w14:textId="77777777" w:rsidR="003759C7" w:rsidRDefault="003759C7" w:rsidP="00E449DB">
      <w:pPr>
        <w:tabs>
          <w:tab w:val="left" w:pos="1701"/>
        </w:tabs>
        <w:spacing w:line="276" w:lineRule="auto"/>
        <w:rPr>
          <w:rFonts w:ascii="Arial" w:eastAsia="Arial" w:hAnsi="Arial" w:cs="Arial"/>
          <w:sz w:val="20"/>
          <w:szCs w:val="20"/>
        </w:rPr>
      </w:pPr>
    </w:p>
    <w:p w14:paraId="46508572" w14:textId="77777777" w:rsidR="008A101F" w:rsidRDefault="008A101F" w:rsidP="00E449DB">
      <w:pPr>
        <w:tabs>
          <w:tab w:val="left" w:pos="1701"/>
        </w:tabs>
        <w:spacing w:line="276" w:lineRule="auto"/>
        <w:rPr>
          <w:rFonts w:ascii="Arial" w:eastAsia="Arial" w:hAnsi="Arial" w:cs="Arial"/>
          <w:sz w:val="20"/>
          <w:szCs w:val="20"/>
        </w:rPr>
      </w:pPr>
    </w:p>
    <w:p w14:paraId="55803663" w14:textId="5CF3A986" w:rsidR="003759C7" w:rsidRPr="007B2978" w:rsidRDefault="00C604EB" w:rsidP="003759C7">
      <w:pPr>
        <w:pStyle w:val="Nadpis1"/>
        <w:numPr>
          <w:ilvl w:val="0"/>
          <w:numId w:val="13"/>
        </w:numPr>
      </w:pPr>
      <w:r>
        <w:t>Prohlášení stran</w:t>
      </w:r>
    </w:p>
    <w:p w14:paraId="6C11AE5A" w14:textId="1118470A" w:rsidR="00722BFC" w:rsidRDefault="00612997" w:rsidP="007467DD">
      <w:pPr>
        <w:pStyle w:val="Odstavecseseznamem"/>
        <w:numPr>
          <w:ilvl w:val="0"/>
          <w:numId w:val="17"/>
        </w:numPr>
        <w:spacing w:line="276" w:lineRule="auto"/>
        <w:jc w:val="both"/>
        <w:rPr>
          <w:rFonts w:ascii="Arial" w:eastAsia="Arial" w:hAnsi="Arial" w:cs="Arial"/>
          <w:color w:val="000000"/>
          <w:sz w:val="20"/>
          <w:szCs w:val="20"/>
        </w:rPr>
      </w:pPr>
      <w:r>
        <w:rPr>
          <w:rFonts w:ascii="Arial" w:eastAsia="Arial" w:hAnsi="Arial" w:cs="Arial"/>
          <w:color w:val="000000"/>
          <w:sz w:val="20"/>
          <w:szCs w:val="20"/>
        </w:rPr>
        <w:t>CL</w:t>
      </w:r>
      <w:r w:rsidR="00722BFC" w:rsidRPr="007467DD">
        <w:rPr>
          <w:rFonts w:ascii="Arial" w:eastAsia="Arial" w:hAnsi="Arial" w:cs="Arial"/>
          <w:color w:val="000000"/>
          <w:sz w:val="20"/>
          <w:szCs w:val="20"/>
        </w:rPr>
        <w:t xml:space="preserve"> prohlašuje, že Císařské lázně prochází celkovou rekonstrukcí („Rekonstrukce“), přičemž k podpisu této Smlouvy disponuje jak registrací akce „KK – Revitalizace Císařských lázní Karlovy Vary“ a souhlasem Ministerstva financí se zadáním akce („Podmínky dotace“), jakož i rozhodnutím příslušného stavebního úřadu o povolení zkušebního provozu Císařských lázní („Zkušební provoz“). </w:t>
      </w:r>
    </w:p>
    <w:p w14:paraId="1CE26F74" w14:textId="2CEBD39B" w:rsidR="00296F07" w:rsidRPr="00296F07" w:rsidRDefault="00612997" w:rsidP="00E77191">
      <w:pPr>
        <w:pStyle w:val="Odstavecseseznamem"/>
        <w:numPr>
          <w:ilvl w:val="0"/>
          <w:numId w:val="17"/>
        </w:numPr>
        <w:spacing w:line="276" w:lineRule="auto"/>
        <w:ind w:left="499" w:hanging="357"/>
        <w:jc w:val="both"/>
        <w:rPr>
          <w:rFonts w:ascii="Arial" w:eastAsia="Arial" w:hAnsi="Arial" w:cs="Arial"/>
          <w:color w:val="000000"/>
          <w:sz w:val="20"/>
          <w:szCs w:val="20"/>
        </w:rPr>
      </w:pPr>
      <w:r>
        <w:rPr>
          <w:rFonts w:ascii="Arial" w:eastAsia="Arial" w:hAnsi="Arial" w:cs="Arial"/>
          <w:color w:val="000000"/>
          <w:sz w:val="20"/>
          <w:szCs w:val="20"/>
        </w:rPr>
        <w:t>KSO</w:t>
      </w:r>
      <w:r w:rsidR="00296F07" w:rsidRPr="00296F07">
        <w:rPr>
          <w:rFonts w:ascii="Arial" w:eastAsia="Arial" w:hAnsi="Arial" w:cs="Arial"/>
          <w:color w:val="000000"/>
          <w:sz w:val="20"/>
          <w:szCs w:val="20"/>
        </w:rPr>
        <w:t xml:space="preserve"> prohlašuje, že byl před podpisem této Smlouvy </w:t>
      </w:r>
      <w:r>
        <w:rPr>
          <w:rFonts w:ascii="Arial" w:eastAsia="Arial" w:hAnsi="Arial" w:cs="Arial"/>
          <w:color w:val="000000"/>
          <w:sz w:val="20"/>
          <w:szCs w:val="20"/>
        </w:rPr>
        <w:t>CL</w:t>
      </w:r>
      <w:r w:rsidR="00296F07" w:rsidRPr="00296F07">
        <w:rPr>
          <w:rFonts w:ascii="Arial" w:eastAsia="Arial" w:hAnsi="Arial" w:cs="Arial"/>
          <w:color w:val="000000"/>
          <w:sz w:val="20"/>
          <w:szCs w:val="20"/>
        </w:rPr>
        <w:t xml:space="preserve"> řádně obeznámen s Podmínkami dotace, s existencí Zkušebního provozu, jakož i návštěvním a provozním řádem, relevantními stanovisky orgánů státní správy a samosprávy, s existencí staveniště </w:t>
      </w:r>
      <w:r w:rsidR="00296F07" w:rsidRPr="003F6D0D">
        <w:rPr>
          <w:rFonts w:ascii="Arial" w:eastAsia="Arial" w:hAnsi="Arial" w:cs="Arial"/>
          <w:color w:val="000000"/>
          <w:sz w:val="20"/>
          <w:szCs w:val="20"/>
        </w:rPr>
        <w:t xml:space="preserve">v Předmětu </w:t>
      </w:r>
      <w:r w:rsidR="003F6D0D">
        <w:rPr>
          <w:rFonts w:ascii="Arial" w:eastAsia="Arial" w:hAnsi="Arial" w:cs="Arial"/>
          <w:color w:val="000000"/>
          <w:sz w:val="20"/>
          <w:szCs w:val="20"/>
        </w:rPr>
        <w:t>smlouvy</w:t>
      </w:r>
      <w:r w:rsidR="00296F07" w:rsidRPr="00296F07">
        <w:rPr>
          <w:rFonts w:ascii="Arial" w:eastAsia="Arial" w:hAnsi="Arial" w:cs="Arial"/>
          <w:color w:val="000000"/>
          <w:sz w:val="20"/>
          <w:szCs w:val="20"/>
        </w:rPr>
        <w:t xml:space="preserve">, se stavem Předmětu </w:t>
      </w:r>
      <w:r w:rsidR="003F6D0D">
        <w:rPr>
          <w:rFonts w:ascii="Arial" w:eastAsia="Arial" w:hAnsi="Arial" w:cs="Arial"/>
          <w:color w:val="000000"/>
          <w:sz w:val="20"/>
          <w:szCs w:val="20"/>
        </w:rPr>
        <w:t>smlouvy</w:t>
      </w:r>
      <w:r w:rsidR="00296F07" w:rsidRPr="00296F07">
        <w:rPr>
          <w:rFonts w:ascii="Arial" w:eastAsia="Arial" w:hAnsi="Arial" w:cs="Arial"/>
          <w:color w:val="000000"/>
          <w:sz w:val="20"/>
          <w:szCs w:val="20"/>
        </w:rPr>
        <w:t xml:space="preserve">, a s tím souvisejícími povinnostmi a omezeními a prohlašuje, že tyto skutečnosti nebrání Účelu </w:t>
      </w:r>
      <w:r w:rsidR="00C97E11">
        <w:rPr>
          <w:rFonts w:ascii="Arial" w:eastAsia="Arial" w:hAnsi="Arial" w:cs="Arial"/>
          <w:color w:val="000000"/>
          <w:sz w:val="20"/>
          <w:szCs w:val="20"/>
        </w:rPr>
        <w:t>smlouvy</w:t>
      </w:r>
      <w:r w:rsidR="00296F07" w:rsidRPr="00296F07">
        <w:rPr>
          <w:rFonts w:ascii="Arial" w:eastAsia="Arial" w:hAnsi="Arial" w:cs="Arial"/>
          <w:color w:val="000000"/>
          <w:sz w:val="20"/>
          <w:szCs w:val="20"/>
        </w:rPr>
        <w:t xml:space="preserve">. </w:t>
      </w:r>
    </w:p>
    <w:p w14:paraId="5035FC45" w14:textId="4AE2E5DF" w:rsidR="00CA2F38" w:rsidRPr="00CA2F38" w:rsidRDefault="00C97E11" w:rsidP="00E77191">
      <w:pPr>
        <w:pStyle w:val="Odstavecseseznamem"/>
        <w:numPr>
          <w:ilvl w:val="0"/>
          <w:numId w:val="17"/>
        </w:numPr>
        <w:spacing w:line="276" w:lineRule="auto"/>
        <w:jc w:val="both"/>
        <w:rPr>
          <w:rFonts w:ascii="Arial" w:eastAsia="Arial" w:hAnsi="Arial" w:cs="Arial"/>
          <w:color w:val="000000"/>
          <w:sz w:val="20"/>
          <w:szCs w:val="20"/>
        </w:rPr>
      </w:pPr>
      <w:r>
        <w:rPr>
          <w:rFonts w:ascii="Arial" w:eastAsia="Arial" w:hAnsi="Arial" w:cs="Arial"/>
          <w:color w:val="000000"/>
          <w:sz w:val="20"/>
          <w:szCs w:val="20"/>
        </w:rPr>
        <w:t>KSO</w:t>
      </w:r>
      <w:r w:rsidR="00CA2F38" w:rsidRPr="00CA2F38">
        <w:rPr>
          <w:rFonts w:ascii="Arial" w:eastAsia="Arial" w:hAnsi="Arial" w:cs="Arial"/>
          <w:color w:val="000000"/>
          <w:sz w:val="20"/>
          <w:szCs w:val="20"/>
        </w:rPr>
        <w:t xml:space="preserve"> dále prohlašuje, že mu okolnosti předchozího čl. 1.2 nijak nebrání v užití Předmětu </w:t>
      </w:r>
      <w:r>
        <w:rPr>
          <w:rFonts w:ascii="Arial" w:eastAsia="Arial" w:hAnsi="Arial" w:cs="Arial"/>
          <w:color w:val="000000"/>
          <w:sz w:val="20"/>
          <w:szCs w:val="20"/>
        </w:rPr>
        <w:t>smlouvy</w:t>
      </w:r>
      <w:r w:rsidR="00CA2F38" w:rsidRPr="00CA2F38">
        <w:rPr>
          <w:rFonts w:ascii="Arial" w:eastAsia="Arial" w:hAnsi="Arial" w:cs="Arial"/>
          <w:color w:val="000000"/>
          <w:sz w:val="20"/>
          <w:szCs w:val="20"/>
        </w:rPr>
        <w:t xml:space="preserve"> za sjednaným Účelem </w:t>
      </w:r>
      <w:r w:rsidR="00DD2ADB">
        <w:rPr>
          <w:rFonts w:ascii="Arial" w:eastAsia="Arial" w:hAnsi="Arial" w:cs="Arial"/>
          <w:color w:val="000000"/>
          <w:sz w:val="20"/>
          <w:szCs w:val="20"/>
        </w:rPr>
        <w:t>smlouvy</w:t>
      </w:r>
      <w:r w:rsidR="00CA2F38" w:rsidRPr="00CA2F38">
        <w:rPr>
          <w:rFonts w:ascii="Arial" w:eastAsia="Arial" w:hAnsi="Arial" w:cs="Arial"/>
          <w:color w:val="000000"/>
          <w:sz w:val="20"/>
          <w:szCs w:val="20"/>
        </w:rPr>
        <w:t xml:space="preserve">, a že si je vědom, že užití Předmětu </w:t>
      </w:r>
      <w:r w:rsidR="00DD2ADB">
        <w:rPr>
          <w:rFonts w:ascii="Arial" w:eastAsia="Arial" w:hAnsi="Arial" w:cs="Arial"/>
          <w:color w:val="000000"/>
          <w:sz w:val="20"/>
          <w:szCs w:val="20"/>
        </w:rPr>
        <w:t>smlouvy</w:t>
      </w:r>
      <w:r w:rsidR="00CA2F38" w:rsidRPr="00CA2F38">
        <w:rPr>
          <w:rFonts w:ascii="Arial" w:eastAsia="Arial" w:hAnsi="Arial" w:cs="Arial"/>
          <w:color w:val="000000"/>
          <w:sz w:val="20"/>
          <w:szCs w:val="20"/>
        </w:rPr>
        <w:t xml:space="preserve"> za sjednaným Účelem </w:t>
      </w:r>
      <w:r w:rsidR="00DD2ADB">
        <w:rPr>
          <w:rFonts w:ascii="Arial" w:eastAsia="Arial" w:hAnsi="Arial" w:cs="Arial"/>
          <w:color w:val="000000"/>
          <w:sz w:val="20"/>
          <w:szCs w:val="20"/>
        </w:rPr>
        <w:t>smlouvy</w:t>
      </w:r>
      <w:r w:rsidR="00CA2F38" w:rsidRPr="00CA2F38">
        <w:rPr>
          <w:rFonts w:ascii="Arial" w:eastAsia="Arial" w:hAnsi="Arial" w:cs="Arial"/>
          <w:color w:val="000000"/>
          <w:sz w:val="20"/>
          <w:szCs w:val="20"/>
        </w:rPr>
        <w:t xml:space="preserve"> může být v souvislostí s Rekonstrukcí ztíženo, omezeno, přerušeno anebo zcela znemožněno, včetně jednání Kraje, </w:t>
      </w:r>
      <w:r w:rsidR="00DD2ADB">
        <w:rPr>
          <w:rFonts w:ascii="Arial" w:eastAsia="Arial" w:hAnsi="Arial" w:cs="Arial"/>
          <w:color w:val="000000"/>
          <w:sz w:val="20"/>
          <w:szCs w:val="20"/>
        </w:rPr>
        <w:t>CL</w:t>
      </w:r>
      <w:r w:rsidR="00CA2F38" w:rsidRPr="00CA2F38">
        <w:rPr>
          <w:rFonts w:ascii="Arial" w:eastAsia="Arial" w:hAnsi="Arial" w:cs="Arial"/>
          <w:color w:val="000000"/>
          <w:sz w:val="20"/>
          <w:szCs w:val="20"/>
        </w:rPr>
        <w:t xml:space="preserve">, zhotovitele rekonstrukce či příslušných orgánů státní správy a samosprávy. </w:t>
      </w:r>
    </w:p>
    <w:p w14:paraId="6B08435F" w14:textId="408C3E03" w:rsidR="00D36BD3" w:rsidRPr="00D36BD3" w:rsidRDefault="00D36BD3" w:rsidP="00E77191">
      <w:pPr>
        <w:pStyle w:val="Odstavecseseznamem"/>
        <w:numPr>
          <w:ilvl w:val="0"/>
          <w:numId w:val="17"/>
        </w:numPr>
        <w:spacing w:line="276" w:lineRule="auto"/>
        <w:jc w:val="both"/>
        <w:rPr>
          <w:rFonts w:ascii="Arial" w:eastAsia="Arial" w:hAnsi="Arial" w:cs="Arial"/>
          <w:color w:val="000000"/>
          <w:sz w:val="20"/>
          <w:szCs w:val="20"/>
        </w:rPr>
      </w:pPr>
      <w:r w:rsidRPr="00D36BD3">
        <w:rPr>
          <w:rFonts w:ascii="Arial" w:eastAsia="Arial" w:hAnsi="Arial" w:cs="Arial"/>
          <w:color w:val="000000"/>
          <w:sz w:val="20"/>
          <w:szCs w:val="20"/>
        </w:rPr>
        <w:t xml:space="preserve">Strany shodně prohlašují, že se dohodly, že </w:t>
      </w:r>
      <w:r w:rsidR="007E4DDE">
        <w:rPr>
          <w:rFonts w:ascii="Arial" w:eastAsia="Arial" w:hAnsi="Arial" w:cs="Arial"/>
          <w:color w:val="000000"/>
          <w:sz w:val="20"/>
          <w:szCs w:val="20"/>
        </w:rPr>
        <w:t>KSO</w:t>
      </w:r>
      <w:r w:rsidRPr="00D36BD3">
        <w:rPr>
          <w:rFonts w:ascii="Arial" w:eastAsia="Arial" w:hAnsi="Arial" w:cs="Arial"/>
          <w:color w:val="000000"/>
          <w:sz w:val="20"/>
          <w:szCs w:val="20"/>
        </w:rPr>
        <w:t xml:space="preserve"> nemá vůči </w:t>
      </w:r>
      <w:r w:rsidR="007E4DDE">
        <w:rPr>
          <w:rFonts w:ascii="Arial" w:eastAsia="Arial" w:hAnsi="Arial" w:cs="Arial"/>
          <w:color w:val="000000"/>
          <w:sz w:val="20"/>
          <w:szCs w:val="20"/>
        </w:rPr>
        <w:t>CL</w:t>
      </w:r>
      <w:r w:rsidRPr="00D36BD3">
        <w:rPr>
          <w:rFonts w:ascii="Arial" w:eastAsia="Arial" w:hAnsi="Arial" w:cs="Arial"/>
          <w:color w:val="000000"/>
          <w:sz w:val="20"/>
          <w:szCs w:val="20"/>
        </w:rPr>
        <w:t xml:space="preserve"> ani Kraji případě, že bude užití Předmětu </w:t>
      </w:r>
      <w:r w:rsidR="007E4DDE">
        <w:rPr>
          <w:rFonts w:ascii="Arial" w:eastAsia="Arial" w:hAnsi="Arial" w:cs="Arial"/>
          <w:color w:val="000000"/>
          <w:sz w:val="20"/>
          <w:szCs w:val="20"/>
        </w:rPr>
        <w:t>smlouvy</w:t>
      </w:r>
      <w:r w:rsidRPr="00D36BD3">
        <w:rPr>
          <w:rFonts w:ascii="Arial" w:eastAsia="Arial" w:hAnsi="Arial" w:cs="Arial"/>
          <w:color w:val="000000"/>
          <w:sz w:val="20"/>
          <w:szCs w:val="20"/>
        </w:rPr>
        <w:t xml:space="preserve"> za sjednaným Účelem </w:t>
      </w:r>
      <w:r w:rsidR="007E4DDE">
        <w:rPr>
          <w:rFonts w:ascii="Arial" w:eastAsia="Arial" w:hAnsi="Arial" w:cs="Arial"/>
          <w:color w:val="000000"/>
          <w:sz w:val="20"/>
          <w:szCs w:val="20"/>
        </w:rPr>
        <w:t>smlouvy</w:t>
      </w:r>
      <w:r w:rsidRPr="00D36BD3">
        <w:rPr>
          <w:rFonts w:ascii="Arial" w:eastAsia="Arial" w:hAnsi="Arial" w:cs="Arial"/>
          <w:color w:val="000000"/>
          <w:sz w:val="20"/>
          <w:szCs w:val="20"/>
        </w:rPr>
        <w:t xml:space="preserve"> v souvislostí s Rekonstrukcí ztíženo, omezeno, přerušeno anebo zcela znemožněno, žádné nároky a pro případ, že by přesto jakékoliv takové nároky vznikly, se jich tímto vzdává (včetně nároku na náhradu újmy, nároku na slevu, či předčasného ukončení této Smlouvy).</w:t>
      </w:r>
    </w:p>
    <w:p w14:paraId="46AFE7DC" w14:textId="77777777" w:rsidR="003759C7" w:rsidRDefault="003759C7" w:rsidP="00E449DB">
      <w:pPr>
        <w:tabs>
          <w:tab w:val="left" w:pos="1701"/>
        </w:tabs>
        <w:spacing w:line="276" w:lineRule="auto"/>
        <w:rPr>
          <w:rFonts w:ascii="Arial" w:eastAsia="Arial" w:hAnsi="Arial" w:cs="Arial"/>
          <w:sz w:val="20"/>
          <w:szCs w:val="20"/>
        </w:rPr>
      </w:pPr>
    </w:p>
    <w:p w14:paraId="6972AE6D" w14:textId="77777777" w:rsidR="005612A7" w:rsidRDefault="005612A7" w:rsidP="00E449DB">
      <w:pPr>
        <w:tabs>
          <w:tab w:val="left" w:pos="1701"/>
        </w:tabs>
        <w:spacing w:line="276" w:lineRule="auto"/>
        <w:rPr>
          <w:rFonts w:ascii="Arial" w:eastAsia="Arial" w:hAnsi="Arial" w:cs="Arial"/>
          <w:sz w:val="20"/>
          <w:szCs w:val="20"/>
        </w:rPr>
      </w:pPr>
    </w:p>
    <w:p w14:paraId="4963C914" w14:textId="77777777" w:rsidR="008A101F" w:rsidRPr="007B2978" w:rsidRDefault="008A101F" w:rsidP="00E449DB">
      <w:pPr>
        <w:tabs>
          <w:tab w:val="left" w:pos="1701"/>
        </w:tabs>
        <w:spacing w:line="276" w:lineRule="auto"/>
        <w:rPr>
          <w:rFonts w:ascii="Arial" w:eastAsia="Arial" w:hAnsi="Arial" w:cs="Arial"/>
          <w:sz w:val="20"/>
          <w:szCs w:val="20"/>
        </w:rPr>
      </w:pPr>
    </w:p>
    <w:p w14:paraId="2BC8D154" w14:textId="77777777" w:rsidR="00CA11F7" w:rsidRPr="007B2978" w:rsidRDefault="00E750E3">
      <w:pPr>
        <w:pStyle w:val="Nadpis1"/>
        <w:numPr>
          <w:ilvl w:val="0"/>
          <w:numId w:val="13"/>
        </w:numPr>
      </w:pPr>
      <w:r w:rsidRPr="007B2978">
        <w:lastRenderedPageBreak/>
        <w:t>Předmět smlouvy</w:t>
      </w:r>
    </w:p>
    <w:p w14:paraId="52135C28" w14:textId="5964CD3E" w:rsidR="00CA11F7" w:rsidRDefault="00E750E3">
      <w:pPr>
        <w:spacing w:line="276" w:lineRule="auto"/>
        <w:jc w:val="both"/>
        <w:rPr>
          <w:rFonts w:ascii="Arial" w:eastAsia="Arial" w:hAnsi="Arial" w:cs="Arial"/>
          <w:sz w:val="20"/>
          <w:szCs w:val="20"/>
        </w:rPr>
      </w:pPr>
      <w:r w:rsidRPr="007B2978">
        <w:rPr>
          <w:rFonts w:ascii="Arial" w:eastAsia="Arial" w:hAnsi="Arial" w:cs="Arial"/>
          <w:sz w:val="20"/>
          <w:szCs w:val="20"/>
        </w:rPr>
        <w:t xml:space="preserve">Předmětem této smlouvy je barterová spolupráce mezi </w:t>
      </w:r>
      <w:r w:rsidR="00C97BF2">
        <w:rPr>
          <w:rFonts w:ascii="Arial" w:eastAsia="Arial" w:hAnsi="Arial" w:cs="Arial"/>
          <w:sz w:val="20"/>
          <w:szCs w:val="20"/>
        </w:rPr>
        <w:t>CL</w:t>
      </w:r>
      <w:r w:rsidRPr="007B2978">
        <w:rPr>
          <w:rFonts w:ascii="Arial" w:eastAsia="Arial" w:hAnsi="Arial" w:cs="Arial"/>
          <w:sz w:val="20"/>
          <w:szCs w:val="20"/>
        </w:rPr>
        <w:t xml:space="preserve"> a </w:t>
      </w:r>
      <w:r w:rsidR="00796CCC">
        <w:rPr>
          <w:rFonts w:ascii="Arial" w:eastAsia="Arial" w:hAnsi="Arial" w:cs="Arial"/>
          <w:sz w:val="20"/>
          <w:szCs w:val="20"/>
        </w:rPr>
        <w:t>KSO</w:t>
      </w:r>
      <w:r w:rsidRPr="007B2978">
        <w:rPr>
          <w:rFonts w:ascii="Arial" w:eastAsia="Arial" w:hAnsi="Arial" w:cs="Arial"/>
          <w:sz w:val="20"/>
          <w:szCs w:val="20"/>
        </w:rPr>
        <w:t xml:space="preserve">, konkretizovaná v čl. </w:t>
      </w:r>
      <w:r w:rsidR="002667A3">
        <w:rPr>
          <w:rFonts w:ascii="Arial" w:eastAsia="Arial" w:hAnsi="Arial" w:cs="Arial"/>
          <w:sz w:val="20"/>
          <w:szCs w:val="20"/>
        </w:rPr>
        <w:t>4</w:t>
      </w:r>
      <w:r w:rsidRPr="007B2978">
        <w:rPr>
          <w:rFonts w:ascii="Arial" w:eastAsia="Arial" w:hAnsi="Arial" w:cs="Arial"/>
          <w:sz w:val="20"/>
          <w:szCs w:val="20"/>
        </w:rPr>
        <w:t xml:space="preserve"> této Smlouvy.</w:t>
      </w:r>
      <w:r w:rsidR="00BC52A6">
        <w:rPr>
          <w:rFonts w:ascii="Arial" w:eastAsia="Arial" w:hAnsi="Arial" w:cs="Arial"/>
          <w:sz w:val="20"/>
          <w:szCs w:val="20"/>
        </w:rPr>
        <w:t xml:space="preserve"> </w:t>
      </w:r>
    </w:p>
    <w:p w14:paraId="1F164769" w14:textId="77777777" w:rsidR="00E40562" w:rsidRPr="007B2978" w:rsidRDefault="00E40562">
      <w:pPr>
        <w:spacing w:line="276" w:lineRule="auto"/>
        <w:jc w:val="both"/>
        <w:rPr>
          <w:rFonts w:ascii="Arial" w:eastAsia="Arial" w:hAnsi="Arial" w:cs="Arial"/>
          <w:sz w:val="20"/>
          <w:szCs w:val="20"/>
        </w:rPr>
      </w:pPr>
    </w:p>
    <w:p w14:paraId="4BC33FCD" w14:textId="77777777" w:rsidR="00CA11F7" w:rsidRPr="007B2978" w:rsidRDefault="00E750E3">
      <w:pPr>
        <w:pStyle w:val="Nadpis1"/>
        <w:numPr>
          <w:ilvl w:val="0"/>
          <w:numId w:val="13"/>
        </w:numPr>
      </w:pPr>
      <w:r w:rsidRPr="007B2978">
        <w:t>Trvání a ukončení smlouvy</w:t>
      </w:r>
    </w:p>
    <w:p w14:paraId="1C736A13" w14:textId="04C2C3ED" w:rsidR="00CA11F7" w:rsidRPr="007B2978" w:rsidRDefault="00E750E3">
      <w:pPr>
        <w:keepLines/>
        <w:numPr>
          <w:ilvl w:val="0"/>
          <w:numId w:val="1"/>
        </w:numPr>
        <w:pBdr>
          <w:top w:val="nil"/>
          <w:left w:val="nil"/>
          <w:bottom w:val="nil"/>
          <w:right w:val="nil"/>
          <w:between w:val="nil"/>
        </w:pBdr>
        <w:spacing w:line="276" w:lineRule="auto"/>
        <w:jc w:val="both"/>
      </w:pPr>
      <w:r w:rsidRPr="007B2978">
        <w:rPr>
          <w:rFonts w:ascii="Arial" w:eastAsia="Arial" w:hAnsi="Arial" w:cs="Arial"/>
          <w:color w:val="000000"/>
          <w:sz w:val="20"/>
          <w:szCs w:val="20"/>
        </w:rPr>
        <w:t>Tato smlouva se uzavírá na dobu určitou</w:t>
      </w:r>
      <w:r w:rsidR="00F7754C">
        <w:rPr>
          <w:rFonts w:ascii="Arial" w:eastAsia="Arial" w:hAnsi="Arial" w:cs="Arial"/>
          <w:color w:val="000000"/>
          <w:sz w:val="20"/>
          <w:szCs w:val="20"/>
        </w:rPr>
        <w:t xml:space="preserve"> </w:t>
      </w:r>
      <w:r w:rsidRPr="007B2978">
        <w:rPr>
          <w:rFonts w:ascii="Arial" w:eastAsia="Arial" w:hAnsi="Arial" w:cs="Arial"/>
          <w:color w:val="000000"/>
          <w:sz w:val="20"/>
          <w:szCs w:val="20"/>
        </w:rPr>
        <w:t xml:space="preserve">a je uzavřena do </w:t>
      </w:r>
      <w:r w:rsidR="00572078">
        <w:rPr>
          <w:rFonts w:ascii="Arial" w:eastAsia="Arial" w:hAnsi="Arial" w:cs="Arial"/>
          <w:color w:val="000000"/>
          <w:sz w:val="20"/>
          <w:szCs w:val="20"/>
        </w:rPr>
        <w:t>1. 10</w:t>
      </w:r>
      <w:r w:rsidRPr="007B2978">
        <w:rPr>
          <w:rFonts w:ascii="Arial" w:eastAsia="Arial" w:hAnsi="Arial" w:cs="Arial"/>
          <w:color w:val="000000"/>
          <w:sz w:val="20"/>
          <w:szCs w:val="20"/>
        </w:rPr>
        <w:t>.</w:t>
      </w:r>
      <w:r w:rsidR="00A4238E">
        <w:rPr>
          <w:rFonts w:ascii="Arial" w:eastAsia="Arial" w:hAnsi="Arial" w:cs="Arial"/>
          <w:color w:val="000000"/>
          <w:sz w:val="20"/>
          <w:szCs w:val="20"/>
        </w:rPr>
        <w:t xml:space="preserve"> </w:t>
      </w:r>
      <w:r w:rsidR="00FF45DB" w:rsidRPr="007B2978">
        <w:rPr>
          <w:rFonts w:ascii="Arial" w:eastAsia="Arial" w:hAnsi="Arial" w:cs="Arial"/>
          <w:color w:val="000000"/>
          <w:sz w:val="20"/>
          <w:szCs w:val="20"/>
        </w:rPr>
        <w:t>2023</w:t>
      </w:r>
    </w:p>
    <w:p w14:paraId="12B92323" w14:textId="77777777" w:rsidR="00CA11F7" w:rsidRPr="007B2978" w:rsidRDefault="00E750E3">
      <w:pPr>
        <w:keepLines/>
        <w:numPr>
          <w:ilvl w:val="0"/>
          <w:numId w:val="1"/>
        </w:numPr>
        <w:pBdr>
          <w:top w:val="nil"/>
          <w:left w:val="nil"/>
          <w:bottom w:val="nil"/>
          <w:right w:val="nil"/>
          <w:between w:val="nil"/>
        </w:pBdr>
        <w:spacing w:line="276" w:lineRule="auto"/>
        <w:jc w:val="both"/>
      </w:pPr>
      <w:r w:rsidRPr="007B2978">
        <w:rPr>
          <w:rFonts w:ascii="Arial" w:eastAsia="Arial" w:hAnsi="Arial" w:cs="Arial"/>
          <w:color w:val="000000"/>
          <w:sz w:val="20"/>
          <w:szCs w:val="20"/>
        </w:rPr>
        <w:t>Pokud si s ohledem na termín konkrétní marketingové nebo kulturní akce smluvní strany poskytnou vzájemné plnění podle této Smlouvy před její účinností, vypořádají si smluvní strany poskytnuté plnění podle zásad v této Smlouvě uvedených.</w:t>
      </w:r>
    </w:p>
    <w:p w14:paraId="6385AD16" w14:textId="6AC8FCC1" w:rsidR="00CA11F7" w:rsidRPr="00091FDF" w:rsidRDefault="00F71553">
      <w:pPr>
        <w:keepLines/>
        <w:numPr>
          <w:ilvl w:val="0"/>
          <w:numId w:val="1"/>
        </w:numPr>
        <w:pBdr>
          <w:top w:val="nil"/>
          <w:left w:val="nil"/>
          <w:bottom w:val="nil"/>
          <w:right w:val="nil"/>
          <w:between w:val="nil"/>
        </w:pBdr>
        <w:spacing w:line="276" w:lineRule="auto"/>
        <w:jc w:val="both"/>
      </w:pPr>
      <w:r>
        <w:rPr>
          <w:rFonts w:ascii="Arial" w:eastAsia="Arial" w:hAnsi="Arial" w:cs="Arial"/>
          <w:color w:val="000000"/>
          <w:sz w:val="20"/>
          <w:szCs w:val="20"/>
        </w:rPr>
        <w:t>KSO</w:t>
      </w:r>
      <w:r w:rsidR="00E750E3" w:rsidRPr="007B2978">
        <w:rPr>
          <w:rFonts w:ascii="Arial" w:eastAsia="Arial" w:hAnsi="Arial" w:cs="Arial"/>
          <w:color w:val="000000"/>
          <w:sz w:val="20"/>
          <w:szCs w:val="20"/>
        </w:rPr>
        <w:t xml:space="preserve"> je povinen zajistit, aby plněním této Smlouvy nedošlo k porušení právních předpisů a rozhodnutí upravujících mezinárodní sankce, kterými jsou Česká republika nebo </w:t>
      </w:r>
      <w:r w:rsidR="00E83E7B">
        <w:rPr>
          <w:rFonts w:ascii="Arial" w:eastAsia="Arial" w:hAnsi="Arial" w:cs="Arial"/>
          <w:color w:val="000000"/>
          <w:sz w:val="20"/>
          <w:szCs w:val="20"/>
        </w:rPr>
        <w:t>CL</w:t>
      </w:r>
      <w:r w:rsidR="00E750E3" w:rsidRPr="007B2978">
        <w:rPr>
          <w:rFonts w:ascii="Arial" w:eastAsia="Arial" w:hAnsi="Arial" w:cs="Arial"/>
          <w:color w:val="000000"/>
          <w:sz w:val="20"/>
          <w:szCs w:val="20"/>
        </w:rPr>
        <w:t xml:space="preserve"> vázáni. </w:t>
      </w:r>
      <w:r>
        <w:rPr>
          <w:rFonts w:ascii="Arial" w:eastAsia="Arial" w:hAnsi="Arial" w:cs="Arial"/>
          <w:color w:val="000000"/>
          <w:sz w:val="20"/>
          <w:szCs w:val="20"/>
        </w:rPr>
        <w:t>KSO</w:t>
      </w:r>
      <w:r w:rsidR="00E750E3" w:rsidRPr="007B2978">
        <w:rPr>
          <w:rFonts w:ascii="Arial" w:eastAsia="Arial" w:hAnsi="Arial" w:cs="Arial"/>
          <w:color w:val="000000"/>
          <w:sz w:val="20"/>
          <w:szCs w:val="20"/>
        </w:rPr>
        <w:t xml:space="preserve"> je neprodleně povinen informovat </w:t>
      </w:r>
      <w:r w:rsidR="00E83E7B">
        <w:rPr>
          <w:rFonts w:ascii="Arial" w:eastAsia="Arial" w:hAnsi="Arial" w:cs="Arial"/>
          <w:color w:val="000000"/>
          <w:sz w:val="20"/>
          <w:szCs w:val="20"/>
        </w:rPr>
        <w:t>CL</w:t>
      </w:r>
      <w:r w:rsidR="00E750E3" w:rsidRPr="007B2978">
        <w:rPr>
          <w:rFonts w:ascii="Arial" w:eastAsia="Arial" w:hAnsi="Arial" w:cs="Arial"/>
          <w:color w:val="000000"/>
          <w:sz w:val="20"/>
          <w:szCs w:val="20"/>
        </w:rPr>
        <w:t xml:space="preserve"> o </w:t>
      </w:r>
      <w:r w:rsidR="00FA0374" w:rsidRPr="007B2978">
        <w:rPr>
          <w:rFonts w:ascii="Arial" w:eastAsia="Arial" w:hAnsi="Arial" w:cs="Arial"/>
          <w:color w:val="000000"/>
          <w:sz w:val="20"/>
          <w:szCs w:val="20"/>
        </w:rPr>
        <w:t>skutečnostech,</w:t>
      </w:r>
      <w:r w:rsidR="00E750E3" w:rsidRPr="007B2978">
        <w:rPr>
          <w:rFonts w:ascii="Arial" w:eastAsia="Arial" w:hAnsi="Arial" w:cs="Arial"/>
          <w:color w:val="000000"/>
          <w:sz w:val="20"/>
          <w:szCs w:val="20"/>
        </w:rPr>
        <w:t xml:space="preserve"> jakkoliv relevantních pro posouzení naplnění povinností</w:t>
      </w:r>
      <w:r w:rsidR="00DD5058" w:rsidRPr="007B2978">
        <w:rPr>
          <w:rFonts w:ascii="Arial" w:eastAsia="Arial" w:hAnsi="Arial" w:cs="Arial"/>
          <w:color w:val="000000"/>
          <w:sz w:val="20"/>
          <w:szCs w:val="20"/>
        </w:rPr>
        <w:t>,</w:t>
      </w:r>
      <w:r w:rsidR="00E750E3" w:rsidRPr="007B2978">
        <w:rPr>
          <w:rFonts w:ascii="Arial" w:eastAsia="Arial" w:hAnsi="Arial" w:cs="Arial"/>
          <w:color w:val="000000"/>
          <w:sz w:val="20"/>
          <w:szCs w:val="20"/>
        </w:rPr>
        <w:t xml:space="preserve"> uvedených ve větě první tohoto bodu Smlouvy.</w:t>
      </w:r>
    </w:p>
    <w:p w14:paraId="30BBF9C9" w14:textId="77777777" w:rsidR="00091FDF" w:rsidRDefault="00091FDF" w:rsidP="00091FDF">
      <w:pPr>
        <w:keepLines/>
        <w:pBdr>
          <w:top w:val="nil"/>
          <w:left w:val="nil"/>
          <w:bottom w:val="nil"/>
          <w:right w:val="nil"/>
          <w:between w:val="nil"/>
        </w:pBdr>
        <w:spacing w:line="276" w:lineRule="auto"/>
        <w:jc w:val="both"/>
      </w:pPr>
    </w:p>
    <w:p w14:paraId="0ACF4E9B" w14:textId="77777777" w:rsidR="008A101F" w:rsidRPr="007B2978" w:rsidRDefault="008A101F" w:rsidP="00091FDF">
      <w:pPr>
        <w:keepLines/>
        <w:pBdr>
          <w:top w:val="nil"/>
          <w:left w:val="nil"/>
          <w:bottom w:val="nil"/>
          <w:right w:val="nil"/>
          <w:between w:val="nil"/>
        </w:pBdr>
        <w:spacing w:line="276" w:lineRule="auto"/>
        <w:jc w:val="both"/>
      </w:pPr>
    </w:p>
    <w:p w14:paraId="1A4E07C0" w14:textId="77777777" w:rsidR="00CA11F7" w:rsidRPr="007B2978" w:rsidRDefault="00E750E3">
      <w:pPr>
        <w:pStyle w:val="Nadpis2"/>
        <w:numPr>
          <w:ilvl w:val="0"/>
          <w:numId w:val="13"/>
        </w:numPr>
        <w:spacing w:before="120"/>
        <w:ind w:hanging="227"/>
        <w:jc w:val="center"/>
        <w:rPr>
          <w:sz w:val="22"/>
        </w:rPr>
      </w:pPr>
      <w:r w:rsidRPr="007B2978">
        <w:rPr>
          <w:sz w:val="22"/>
        </w:rPr>
        <w:t>Práva a povinnosti stran</w:t>
      </w:r>
    </w:p>
    <w:p w14:paraId="3E8C13A9" w14:textId="69746DF8" w:rsidR="00CA11F7" w:rsidRPr="007B2978" w:rsidRDefault="00B66403">
      <w:pPr>
        <w:keepLines/>
        <w:numPr>
          <w:ilvl w:val="0"/>
          <w:numId w:val="2"/>
        </w:numPr>
        <w:pBdr>
          <w:top w:val="nil"/>
          <w:left w:val="nil"/>
          <w:bottom w:val="nil"/>
          <w:right w:val="nil"/>
          <w:between w:val="nil"/>
        </w:pBdr>
        <w:spacing w:line="276" w:lineRule="auto"/>
        <w:jc w:val="both"/>
      </w:pPr>
      <w:r>
        <w:rPr>
          <w:rFonts w:ascii="Arial" w:eastAsia="Arial" w:hAnsi="Arial" w:cs="Arial"/>
          <w:color w:val="000000"/>
          <w:sz w:val="20"/>
          <w:szCs w:val="20"/>
        </w:rPr>
        <w:t>CL</w:t>
      </w:r>
      <w:r w:rsidR="00E750E3" w:rsidRPr="007B2978">
        <w:rPr>
          <w:rFonts w:ascii="Arial" w:eastAsia="Arial" w:hAnsi="Arial" w:cs="Arial"/>
          <w:color w:val="000000"/>
          <w:sz w:val="20"/>
          <w:szCs w:val="20"/>
        </w:rPr>
        <w:t xml:space="preserve"> se zavazuj</w:t>
      </w:r>
      <w:r w:rsidR="000668AC">
        <w:rPr>
          <w:rFonts w:ascii="Arial" w:eastAsia="Arial" w:hAnsi="Arial" w:cs="Arial"/>
          <w:color w:val="000000"/>
          <w:sz w:val="20"/>
          <w:szCs w:val="20"/>
        </w:rPr>
        <w:t>í</w:t>
      </w:r>
      <w:r w:rsidR="00E750E3" w:rsidRPr="007B2978">
        <w:rPr>
          <w:rFonts w:ascii="Arial" w:eastAsia="Arial" w:hAnsi="Arial" w:cs="Arial"/>
          <w:color w:val="000000"/>
          <w:sz w:val="20"/>
          <w:szCs w:val="20"/>
        </w:rPr>
        <w:t>:</w:t>
      </w:r>
    </w:p>
    <w:p w14:paraId="6664EE10" w14:textId="77777777" w:rsidR="00091FDF" w:rsidRDefault="00A4238E" w:rsidP="00235630">
      <w:pPr>
        <w:keepLines/>
        <w:numPr>
          <w:ilvl w:val="0"/>
          <w:numId w:val="3"/>
        </w:numPr>
        <w:pBdr>
          <w:top w:val="nil"/>
          <w:left w:val="nil"/>
          <w:bottom w:val="nil"/>
          <w:right w:val="nil"/>
          <w:between w:val="nil"/>
        </w:pBdr>
        <w:spacing w:after="120" w:line="276" w:lineRule="auto"/>
        <w:jc w:val="both"/>
        <w:rPr>
          <w:rFonts w:ascii="Arial" w:eastAsia="Arial" w:hAnsi="Arial" w:cs="Arial"/>
          <w:color w:val="000000"/>
          <w:sz w:val="20"/>
          <w:szCs w:val="20"/>
        </w:rPr>
      </w:pPr>
      <w:r>
        <w:rPr>
          <w:rFonts w:ascii="Arial" w:eastAsia="Arial" w:hAnsi="Arial" w:cs="Arial"/>
          <w:color w:val="000000"/>
          <w:sz w:val="20"/>
          <w:szCs w:val="20"/>
        </w:rPr>
        <w:t>Poskytn</w:t>
      </w:r>
      <w:r w:rsidR="00825075">
        <w:rPr>
          <w:rFonts w:ascii="Arial" w:eastAsia="Arial" w:hAnsi="Arial" w:cs="Arial"/>
          <w:color w:val="000000"/>
          <w:sz w:val="20"/>
          <w:szCs w:val="20"/>
        </w:rPr>
        <w:t>ou</w:t>
      </w:r>
      <w:r>
        <w:rPr>
          <w:rFonts w:ascii="Arial" w:eastAsia="Arial" w:hAnsi="Arial" w:cs="Arial"/>
          <w:color w:val="000000"/>
          <w:sz w:val="20"/>
          <w:szCs w:val="20"/>
        </w:rPr>
        <w:t xml:space="preserve"> prostory </w:t>
      </w:r>
      <w:r w:rsidR="00F15B2A">
        <w:rPr>
          <w:rFonts w:ascii="Arial" w:eastAsia="Arial" w:hAnsi="Arial" w:cs="Arial"/>
          <w:color w:val="000000"/>
          <w:sz w:val="20"/>
          <w:szCs w:val="20"/>
        </w:rPr>
        <w:t xml:space="preserve">v </w:t>
      </w:r>
      <w:r>
        <w:rPr>
          <w:rFonts w:ascii="Arial" w:eastAsia="Arial" w:hAnsi="Arial" w:cs="Arial"/>
          <w:color w:val="000000"/>
          <w:sz w:val="20"/>
          <w:szCs w:val="20"/>
        </w:rPr>
        <w:t>Císařských lázní</w:t>
      </w:r>
      <w:r w:rsidR="00F15B2A">
        <w:rPr>
          <w:rFonts w:ascii="Arial" w:eastAsia="Arial" w:hAnsi="Arial" w:cs="Arial"/>
          <w:color w:val="000000"/>
          <w:sz w:val="20"/>
          <w:szCs w:val="20"/>
        </w:rPr>
        <w:t>ch</w:t>
      </w:r>
      <w:r>
        <w:rPr>
          <w:rFonts w:ascii="Arial" w:eastAsia="Arial" w:hAnsi="Arial" w:cs="Arial"/>
          <w:color w:val="000000"/>
          <w:sz w:val="20"/>
          <w:szCs w:val="20"/>
        </w:rPr>
        <w:t xml:space="preserve"> k pořádání kulturní akce, a to dne </w:t>
      </w:r>
    </w:p>
    <w:p w14:paraId="0F3E0DE3" w14:textId="62AEC914" w:rsidR="00235630" w:rsidRDefault="00CF1744" w:rsidP="00091FDF">
      <w:pPr>
        <w:keepLines/>
        <w:pBdr>
          <w:top w:val="nil"/>
          <w:left w:val="nil"/>
          <w:bottom w:val="nil"/>
          <w:right w:val="nil"/>
          <w:between w:val="nil"/>
        </w:pBdr>
        <w:spacing w:after="120" w:line="276" w:lineRule="auto"/>
        <w:ind w:left="1080"/>
        <w:jc w:val="both"/>
        <w:rPr>
          <w:rFonts w:ascii="Arial" w:eastAsia="Arial" w:hAnsi="Arial" w:cs="Arial"/>
          <w:color w:val="000000"/>
          <w:sz w:val="20"/>
          <w:szCs w:val="20"/>
        </w:rPr>
      </w:pPr>
      <w:r>
        <w:rPr>
          <w:rFonts w:ascii="Arial" w:eastAsia="Arial" w:hAnsi="Arial" w:cs="Arial"/>
          <w:color w:val="000000"/>
          <w:sz w:val="20"/>
          <w:szCs w:val="20"/>
        </w:rPr>
        <w:t>12. září</w:t>
      </w:r>
      <w:r w:rsidR="00A4238E">
        <w:rPr>
          <w:rFonts w:ascii="Arial" w:eastAsia="Arial" w:hAnsi="Arial" w:cs="Arial"/>
          <w:color w:val="000000"/>
          <w:sz w:val="20"/>
          <w:szCs w:val="20"/>
        </w:rPr>
        <w:t xml:space="preserve"> 2023 v rozsahu 3</w:t>
      </w:r>
      <w:r w:rsidR="00235630">
        <w:rPr>
          <w:rFonts w:ascii="Arial" w:eastAsia="Arial" w:hAnsi="Arial" w:cs="Arial"/>
          <w:color w:val="000000"/>
          <w:sz w:val="20"/>
          <w:szCs w:val="20"/>
        </w:rPr>
        <w:t>,5</w:t>
      </w:r>
      <w:r w:rsidR="00A4238E">
        <w:rPr>
          <w:rFonts w:ascii="Arial" w:eastAsia="Arial" w:hAnsi="Arial" w:cs="Arial"/>
          <w:color w:val="000000"/>
          <w:sz w:val="20"/>
          <w:szCs w:val="20"/>
        </w:rPr>
        <w:t xml:space="preserve"> hodin (</w:t>
      </w:r>
      <w:r w:rsidR="00235630">
        <w:rPr>
          <w:rFonts w:ascii="Arial" w:eastAsia="Arial" w:hAnsi="Arial" w:cs="Arial"/>
          <w:color w:val="000000"/>
          <w:sz w:val="20"/>
          <w:szCs w:val="20"/>
        </w:rPr>
        <w:t>9</w:t>
      </w:r>
      <w:r w:rsidR="00DE5EA9">
        <w:rPr>
          <w:rFonts w:ascii="Arial" w:eastAsia="Arial" w:hAnsi="Arial" w:cs="Arial"/>
          <w:color w:val="000000"/>
          <w:sz w:val="20"/>
          <w:szCs w:val="20"/>
        </w:rPr>
        <w:t>:00</w:t>
      </w:r>
      <w:r w:rsidR="00A4238E">
        <w:rPr>
          <w:rFonts w:ascii="Arial" w:eastAsia="Arial" w:hAnsi="Arial" w:cs="Arial"/>
          <w:color w:val="000000"/>
          <w:sz w:val="20"/>
          <w:szCs w:val="20"/>
        </w:rPr>
        <w:t>-</w:t>
      </w:r>
      <w:r w:rsidR="00235630">
        <w:rPr>
          <w:rFonts w:ascii="Arial" w:eastAsia="Arial" w:hAnsi="Arial" w:cs="Arial"/>
          <w:color w:val="000000"/>
          <w:sz w:val="20"/>
          <w:szCs w:val="20"/>
        </w:rPr>
        <w:t>12:30</w:t>
      </w:r>
      <w:r w:rsidR="00A4238E">
        <w:rPr>
          <w:rFonts w:ascii="Arial" w:eastAsia="Arial" w:hAnsi="Arial" w:cs="Arial"/>
          <w:color w:val="000000"/>
          <w:sz w:val="20"/>
          <w:szCs w:val="20"/>
        </w:rPr>
        <w:t>)</w:t>
      </w:r>
      <w:r w:rsidR="00CB6646" w:rsidRPr="007B2978">
        <w:rPr>
          <w:rFonts w:ascii="Arial" w:eastAsia="Arial" w:hAnsi="Arial" w:cs="Arial"/>
          <w:color w:val="000000"/>
          <w:sz w:val="20"/>
          <w:szCs w:val="20"/>
        </w:rPr>
        <w:t xml:space="preserve"> </w:t>
      </w:r>
      <w:r w:rsidR="009626A9">
        <w:rPr>
          <w:rFonts w:ascii="Arial" w:eastAsia="Arial" w:hAnsi="Arial" w:cs="Arial"/>
          <w:color w:val="000000"/>
          <w:sz w:val="20"/>
          <w:szCs w:val="20"/>
        </w:rPr>
        <w:t>–</w:t>
      </w:r>
      <w:r w:rsidR="006F50AE">
        <w:rPr>
          <w:rFonts w:ascii="Arial" w:eastAsia="Arial" w:hAnsi="Arial" w:cs="Arial"/>
          <w:color w:val="000000"/>
          <w:sz w:val="20"/>
          <w:szCs w:val="20"/>
        </w:rPr>
        <w:t xml:space="preserve"> příprava</w:t>
      </w:r>
      <w:r w:rsidR="009626A9">
        <w:rPr>
          <w:rFonts w:ascii="Arial" w:eastAsia="Arial" w:hAnsi="Arial" w:cs="Arial"/>
          <w:color w:val="000000"/>
          <w:sz w:val="20"/>
          <w:szCs w:val="20"/>
        </w:rPr>
        <w:t xml:space="preserve"> </w:t>
      </w:r>
    </w:p>
    <w:p w14:paraId="68DB0E03" w14:textId="36A76168" w:rsidR="00235630" w:rsidRDefault="0073230C" w:rsidP="00235630">
      <w:pPr>
        <w:keepLines/>
        <w:pBdr>
          <w:top w:val="nil"/>
          <w:left w:val="nil"/>
          <w:bottom w:val="nil"/>
          <w:right w:val="nil"/>
          <w:between w:val="nil"/>
        </w:pBdr>
        <w:spacing w:after="120" w:line="276" w:lineRule="auto"/>
        <w:ind w:left="1080"/>
        <w:jc w:val="both"/>
        <w:rPr>
          <w:rFonts w:ascii="Arial" w:eastAsia="Arial" w:hAnsi="Arial" w:cs="Arial"/>
          <w:color w:val="000000"/>
          <w:sz w:val="20"/>
          <w:szCs w:val="20"/>
        </w:rPr>
      </w:pPr>
      <w:r>
        <w:rPr>
          <w:rFonts w:ascii="Arial" w:eastAsia="Arial" w:hAnsi="Arial" w:cs="Arial"/>
          <w:color w:val="000000"/>
          <w:sz w:val="20"/>
          <w:szCs w:val="20"/>
        </w:rPr>
        <w:t>13. září 2023 v rozsahu 3,5 hodin (9</w:t>
      </w:r>
      <w:r w:rsidR="00DE5EA9">
        <w:rPr>
          <w:rFonts w:ascii="Arial" w:eastAsia="Arial" w:hAnsi="Arial" w:cs="Arial"/>
          <w:color w:val="000000"/>
          <w:sz w:val="20"/>
          <w:szCs w:val="20"/>
        </w:rPr>
        <w:t>:00</w:t>
      </w:r>
      <w:r>
        <w:rPr>
          <w:rFonts w:ascii="Arial" w:eastAsia="Arial" w:hAnsi="Arial" w:cs="Arial"/>
          <w:color w:val="000000"/>
          <w:sz w:val="20"/>
          <w:szCs w:val="20"/>
        </w:rPr>
        <w:t>-12:30)</w:t>
      </w:r>
      <w:r w:rsidR="006F50AE">
        <w:rPr>
          <w:rFonts w:ascii="Arial" w:eastAsia="Arial" w:hAnsi="Arial" w:cs="Arial"/>
          <w:color w:val="000000"/>
          <w:sz w:val="20"/>
          <w:szCs w:val="20"/>
        </w:rPr>
        <w:t xml:space="preserve"> - příprava</w:t>
      </w:r>
    </w:p>
    <w:p w14:paraId="4275DF98" w14:textId="22A62E38" w:rsidR="0073230C" w:rsidRDefault="0073230C" w:rsidP="00235630">
      <w:pPr>
        <w:keepLines/>
        <w:pBdr>
          <w:top w:val="nil"/>
          <w:left w:val="nil"/>
          <w:bottom w:val="nil"/>
          <w:right w:val="nil"/>
          <w:between w:val="nil"/>
        </w:pBdr>
        <w:spacing w:after="120" w:line="276" w:lineRule="auto"/>
        <w:ind w:left="1080"/>
        <w:jc w:val="both"/>
        <w:rPr>
          <w:rFonts w:ascii="Arial" w:eastAsia="Arial" w:hAnsi="Arial" w:cs="Arial"/>
          <w:color w:val="000000"/>
          <w:sz w:val="20"/>
          <w:szCs w:val="20"/>
        </w:rPr>
      </w:pPr>
      <w:r>
        <w:rPr>
          <w:rFonts w:ascii="Arial" w:eastAsia="Arial" w:hAnsi="Arial" w:cs="Arial"/>
          <w:color w:val="000000"/>
          <w:sz w:val="20"/>
          <w:szCs w:val="20"/>
        </w:rPr>
        <w:t xml:space="preserve">14. září 2023 v rozsahu </w:t>
      </w:r>
      <w:r w:rsidR="008148DE">
        <w:rPr>
          <w:rFonts w:ascii="Arial" w:eastAsia="Arial" w:hAnsi="Arial" w:cs="Arial"/>
          <w:color w:val="000000"/>
          <w:sz w:val="20"/>
          <w:szCs w:val="20"/>
        </w:rPr>
        <w:t>6 hodin (10</w:t>
      </w:r>
      <w:r w:rsidR="00DE5EA9">
        <w:rPr>
          <w:rFonts w:ascii="Arial" w:eastAsia="Arial" w:hAnsi="Arial" w:cs="Arial"/>
          <w:color w:val="000000"/>
          <w:sz w:val="20"/>
          <w:szCs w:val="20"/>
        </w:rPr>
        <w:t>:00</w:t>
      </w:r>
      <w:r w:rsidR="008148DE">
        <w:rPr>
          <w:rFonts w:ascii="Arial" w:eastAsia="Arial" w:hAnsi="Arial" w:cs="Arial"/>
          <w:color w:val="000000"/>
          <w:sz w:val="20"/>
          <w:szCs w:val="20"/>
        </w:rPr>
        <w:t>-13 a 18:30-21:30)</w:t>
      </w:r>
      <w:r w:rsidR="006F50AE">
        <w:rPr>
          <w:rFonts w:ascii="Arial" w:eastAsia="Arial" w:hAnsi="Arial" w:cs="Arial"/>
          <w:color w:val="000000"/>
          <w:sz w:val="20"/>
          <w:szCs w:val="20"/>
        </w:rPr>
        <w:t xml:space="preserve"> </w:t>
      </w:r>
      <w:r w:rsidR="003576E0">
        <w:rPr>
          <w:rFonts w:ascii="Arial" w:eastAsia="Arial" w:hAnsi="Arial" w:cs="Arial"/>
          <w:color w:val="000000"/>
          <w:sz w:val="20"/>
          <w:szCs w:val="20"/>
        </w:rPr>
        <w:t>–</w:t>
      </w:r>
      <w:r w:rsidR="006F50AE">
        <w:rPr>
          <w:rFonts w:ascii="Arial" w:eastAsia="Arial" w:hAnsi="Arial" w:cs="Arial"/>
          <w:color w:val="000000"/>
          <w:sz w:val="20"/>
          <w:szCs w:val="20"/>
        </w:rPr>
        <w:t xml:space="preserve"> koncert</w:t>
      </w:r>
    </w:p>
    <w:p w14:paraId="68565EBE" w14:textId="04EF8301" w:rsidR="003576E0" w:rsidRDefault="00E6769A" w:rsidP="00235630">
      <w:pPr>
        <w:keepLines/>
        <w:pBdr>
          <w:top w:val="nil"/>
          <w:left w:val="nil"/>
          <w:bottom w:val="nil"/>
          <w:right w:val="nil"/>
          <w:between w:val="nil"/>
        </w:pBdr>
        <w:spacing w:after="120" w:line="276" w:lineRule="auto"/>
        <w:ind w:left="1080"/>
        <w:jc w:val="both"/>
        <w:rPr>
          <w:rFonts w:ascii="Arial" w:eastAsia="Arial" w:hAnsi="Arial" w:cs="Arial"/>
          <w:color w:val="000000"/>
          <w:sz w:val="20"/>
          <w:szCs w:val="20"/>
        </w:rPr>
      </w:pPr>
      <w:r>
        <w:rPr>
          <w:rFonts w:ascii="Arial" w:eastAsia="Arial" w:hAnsi="Arial" w:cs="Arial"/>
          <w:color w:val="000000"/>
          <w:sz w:val="20"/>
          <w:szCs w:val="20"/>
        </w:rPr>
        <w:t xml:space="preserve">21. září </w:t>
      </w:r>
      <w:r w:rsidR="00DE5EA9">
        <w:rPr>
          <w:rFonts w:ascii="Arial" w:eastAsia="Arial" w:hAnsi="Arial" w:cs="Arial"/>
          <w:color w:val="000000"/>
          <w:sz w:val="20"/>
          <w:szCs w:val="20"/>
        </w:rPr>
        <w:t xml:space="preserve">2023 </w:t>
      </w:r>
      <w:r>
        <w:rPr>
          <w:rFonts w:ascii="Arial" w:eastAsia="Arial" w:hAnsi="Arial" w:cs="Arial"/>
          <w:color w:val="000000"/>
          <w:sz w:val="20"/>
          <w:szCs w:val="20"/>
        </w:rPr>
        <w:t xml:space="preserve">v rozsahu </w:t>
      </w:r>
      <w:r w:rsidR="0087680B">
        <w:rPr>
          <w:rFonts w:ascii="Arial" w:eastAsia="Arial" w:hAnsi="Arial" w:cs="Arial"/>
          <w:color w:val="000000"/>
          <w:sz w:val="20"/>
          <w:szCs w:val="20"/>
        </w:rPr>
        <w:t>6</w:t>
      </w:r>
      <w:r>
        <w:rPr>
          <w:rFonts w:ascii="Arial" w:eastAsia="Arial" w:hAnsi="Arial" w:cs="Arial"/>
          <w:color w:val="000000"/>
          <w:sz w:val="20"/>
          <w:szCs w:val="20"/>
        </w:rPr>
        <w:t xml:space="preserve"> hodin (9</w:t>
      </w:r>
      <w:r w:rsidR="00DE5EA9">
        <w:rPr>
          <w:rFonts w:ascii="Arial" w:eastAsia="Arial" w:hAnsi="Arial" w:cs="Arial"/>
          <w:color w:val="000000"/>
          <w:sz w:val="20"/>
          <w:szCs w:val="20"/>
        </w:rPr>
        <w:t>:00</w:t>
      </w:r>
      <w:r>
        <w:rPr>
          <w:rFonts w:ascii="Arial" w:eastAsia="Arial" w:hAnsi="Arial" w:cs="Arial"/>
          <w:color w:val="000000"/>
          <w:sz w:val="20"/>
          <w:szCs w:val="20"/>
        </w:rPr>
        <w:t>-12:30</w:t>
      </w:r>
      <w:r w:rsidR="00A204D3">
        <w:rPr>
          <w:rFonts w:ascii="Arial" w:eastAsia="Arial" w:hAnsi="Arial" w:cs="Arial"/>
          <w:color w:val="000000"/>
          <w:sz w:val="20"/>
          <w:szCs w:val="20"/>
        </w:rPr>
        <w:t xml:space="preserve"> a 18:30-21:00) – příprava</w:t>
      </w:r>
    </w:p>
    <w:p w14:paraId="75A8EACC" w14:textId="74F504F2" w:rsidR="00A204D3" w:rsidRDefault="00A204D3" w:rsidP="00235630">
      <w:pPr>
        <w:keepLines/>
        <w:pBdr>
          <w:top w:val="nil"/>
          <w:left w:val="nil"/>
          <w:bottom w:val="nil"/>
          <w:right w:val="nil"/>
          <w:between w:val="nil"/>
        </w:pBdr>
        <w:spacing w:after="120" w:line="276" w:lineRule="auto"/>
        <w:ind w:left="1080"/>
        <w:jc w:val="both"/>
        <w:rPr>
          <w:rFonts w:ascii="Arial" w:eastAsia="Arial" w:hAnsi="Arial" w:cs="Arial"/>
          <w:color w:val="000000"/>
          <w:sz w:val="20"/>
          <w:szCs w:val="20"/>
        </w:rPr>
      </w:pPr>
      <w:r>
        <w:rPr>
          <w:rFonts w:ascii="Arial" w:eastAsia="Arial" w:hAnsi="Arial" w:cs="Arial"/>
          <w:color w:val="000000"/>
          <w:sz w:val="20"/>
          <w:szCs w:val="20"/>
        </w:rPr>
        <w:t xml:space="preserve">22. září </w:t>
      </w:r>
      <w:r w:rsidR="00DE5EA9">
        <w:rPr>
          <w:rFonts w:ascii="Arial" w:eastAsia="Arial" w:hAnsi="Arial" w:cs="Arial"/>
          <w:color w:val="000000"/>
          <w:sz w:val="20"/>
          <w:szCs w:val="20"/>
        </w:rPr>
        <w:t xml:space="preserve">2023 </w:t>
      </w:r>
      <w:r>
        <w:rPr>
          <w:rFonts w:ascii="Arial" w:eastAsia="Arial" w:hAnsi="Arial" w:cs="Arial"/>
          <w:color w:val="000000"/>
          <w:sz w:val="20"/>
          <w:szCs w:val="20"/>
        </w:rPr>
        <w:t xml:space="preserve">v rozsahu </w:t>
      </w:r>
      <w:r w:rsidR="0087680B">
        <w:rPr>
          <w:rFonts w:ascii="Arial" w:eastAsia="Arial" w:hAnsi="Arial" w:cs="Arial"/>
          <w:color w:val="000000"/>
          <w:sz w:val="20"/>
          <w:szCs w:val="20"/>
        </w:rPr>
        <w:t>(příprava 3 hodiny</w:t>
      </w:r>
      <w:r w:rsidR="002D72D0">
        <w:rPr>
          <w:rFonts w:ascii="Arial" w:eastAsia="Arial" w:hAnsi="Arial" w:cs="Arial"/>
          <w:color w:val="000000"/>
          <w:sz w:val="20"/>
          <w:szCs w:val="20"/>
        </w:rPr>
        <w:t xml:space="preserve"> a </w:t>
      </w:r>
      <w:r w:rsidR="00EB1DAB">
        <w:rPr>
          <w:rFonts w:ascii="Arial" w:eastAsia="Arial" w:hAnsi="Arial" w:cs="Arial"/>
          <w:color w:val="000000"/>
          <w:sz w:val="20"/>
          <w:szCs w:val="20"/>
        </w:rPr>
        <w:t>3 hodiny</w:t>
      </w:r>
      <w:r w:rsidR="00DE5EA9">
        <w:rPr>
          <w:rFonts w:ascii="Arial" w:eastAsia="Arial" w:hAnsi="Arial" w:cs="Arial"/>
          <w:color w:val="000000"/>
          <w:sz w:val="20"/>
          <w:szCs w:val="20"/>
        </w:rPr>
        <w:t xml:space="preserve"> koncert</w:t>
      </w:r>
      <w:r w:rsidR="0087680B">
        <w:rPr>
          <w:rFonts w:ascii="Arial" w:eastAsia="Arial" w:hAnsi="Arial" w:cs="Arial"/>
          <w:color w:val="000000"/>
          <w:sz w:val="20"/>
          <w:szCs w:val="20"/>
        </w:rPr>
        <w:t xml:space="preserve">) a koncert </w:t>
      </w:r>
      <w:r w:rsidR="002D72D0">
        <w:rPr>
          <w:rFonts w:ascii="Arial" w:eastAsia="Arial" w:hAnsi="Arial" w:cs="Arial"/>
          <w:color w:val="000000"/>
          <w:sz w:val="20"/>
          <w:szCs w:val="20"/>
        </w:rPr>
        <w:t>18:30–21:30</w:t>
      </w:r>
    </w:p>
    <w:p w14:paraId="2B3C6B6E" w14:textId="3E626918" w:rsidR="00EB1DAB" w:rsidRPr="00235630" w:rsidRDefault="00EB1DAB" w:rsidP="00235630">
      <w:pPr>
        <w:keepLines/>
        <w:pBdr>
          <w:top w:val="nil"/>
          <w:left w:val="nil"/>
          <w:bottom w:val="nil"/>
          <w:right w:val="nil"/>
          <w:between w:val="nil"/>
        </w:pBdr>
        <w:spacing w:after="120" w:line="276" w:lineRule="auto"/>
        <w:ind w:left="1080"/>
        <w:jc w:val="both"/>
        <w:rPr>
          <w:rFonts w:ascii="Arial" w:eastAsia="Arial" w:hAnsi="Arial" w:cs="Arial"/>
          <w:color w:val="000000"/>
          <w:sz w:val="20"/>
          <w:szCs w:val="20"/>
        </w:rPr>
      </w:pPr>
      <w:r>
        <w:rPr>
          <w:rFonts w:ascii="Arial" w:eastAsia="Arial" w:hAnsi="Arial" w:cs="Arial"/>
          <w:color w:val="000000"/>
          <w:sz w:val="20"/>
          <w:szCs w:val="20"/>
        </w:rPr>
        <w:t xml:space="preserve">1. října </w:t>
      </w:r>
      <w:r w:rsidR="00DE5EA9">
        <w:rPr>
          <w:rFonts w:ascii="Arial" w:eastAsia="Arial" w:hAnsi="Arial" w:cs="Arial"/>
          <w:color w:val="000000"/>
          <w:sz w:val="20"/>
          <w:szCs w:val="20"/>
        </w:rPr>
        <w:t xml:space="preserve">2023 </w:t>
      </w:r>
      <w:r w:rsidR="005872B2">
        <w:rPr>
          <w:rFonts w:ascii="Arial" w:eastAsia="Arial" w:hAnsi="Arial" w:cs="Arial"/>
          <w:color w:val="000000"/>
          <w:sz w:val="20"/>
          <w:szCs w:val="20"/>
        </w:rPr>
        <w:t xml:space="preserve">v rozsahu </w:t>
      </w:r>
      <w:r w:rsidR="00DE5EA9">
        <w:rPr>
          <w:rFonts w:ascii="Arial" w:eastAsia="Arial" w:hAnsi="Arial" w:cs="Arial"/>
          <w:color w:val="000000"/>
          <w:sz w:val="20"/>
          <w:szCs w:val="20"/>
        </w:rPr>
        <w:t xml:space="preserve">6 hodin </w:t>
      </w:r>
      <w:r w:rsidR="005A3521">
        <w:rPr>
          <w:rFonts w:ascii="Arial" w:eastAsia="Arial" w:hAnsi="Arial" w:cs="Arial"/>
          <w:color w:val="000000"/>
          <w:sz w:val="20"/>
          <w:szCs w:val="20"/>
        </w:rPr>
        <w:t>(1</w:t>
      </w:r>
      <w:r w:rsidR="00FA0374">
        <w:rPr>
          <w:rFonts w:ascii="Arial" w:eastAsia="Arial" w:hAnsi="Arial" w:cs="Arial"/>
          <w:color w:val="000000"/>
          <w:sz w:val="20"/>
          <w:szCs w:val="20"/>
        </w:rPr>
        <w:t>0</w:t>
      </w:r>
      <w:r w:rsidR="00DE5EA9">
        <w:rPr>
          <w:rFonts w:ascii="Arial" w:eastAsia="Arial" w:hAnsi="Arial" w:cs="Arial"/>
          <w:color w:val="000000"/>
          <w:sz w:val="20"/>
          <w:szCs w:val="20"/>
        </w:rPr>
        <w:t>:0</w:t>
      </w:r>
      <w:r w:rsidR="005A3521">
        <w:rPr>
          <w:rFonts w:ascii="Arial" w:eastAsia="Arial" w:hAnsi="Arial" w:cs="Arial"/>
          <w:color w:val="000000"/>
          <w:sz w:val="20"/>
          <w:szCs w:val="20"/>
        </w:rPr>
        <w:t>0–13:00 a 16:00-</w:t>
      </w:r>
      <w:r w:rsidR="005872B2">
        <w:rPr>
          <w:rFonts w:ascii="Arial" w:eastAsia="Arial" w:hAnsi="Arial" w:cs="Arial"/>
          <w:color w:val="000000"/>
          <w:sz w:val="20"/>
          <w:szCs w:val="20"/>
        </w:rPr>
        <w:t>19:00)</w:t>
      </w:r>
      <w:r w:rsidR="00DE5EA9">
        <w:rPr>
          <w:rFonts w:ascii="Arial" w:eastAsia="Arial" w:hAnsi="Arial" w:cs="Arial"/>
          <w:color w:val="000000"/>
          <w:sz w:val="20"/>
          <w:szCs w:val="20"/>
        </w:rPr>
        <w:t>.</w:t>
      </w:r>
    </w:p>
    <w:p w14:paraId="4D6D2A81" w14:textId="15B0B8F5" w:rsidR="00CA11F7" w:rsidRPr="007B2978" w:rsidRDefault="00C2092A">
      <w:pPr>
        <w:keepLines/>
        <w:numPr>
          <w:ilvl w:val="0"/>
          <w:numId w:val="2"/>
        </w:numPr>
        <w:pBdr>
          <w:top w:val="nil"/>
          <w:left w:val="nil"/>
          <w:bottom w:val="nil"/>
          <w:right w:val="nil"/>
          <w:between w:val="nil"/>
        </w:pBdr>
        <w:spacing w:line="276" w:lineRule="auto"/>
        <w:jc w:val="both"/>
      </w:pPr>
      <w:r>
        <w:rPr>
          <w:rFonts w:ascii="Arial" w:eastAsia="Arial" w:hAnsi="Arial" w:cs="Arial"/>
          <w:color w:val="000000"/>
          <w:sz w:val="20"/>
          <w:szCs w:val="20"/>
        </w:rPr>
        <w:t>KSO</w:t>
      </w:r>
      <w:r w:rsidR="00E750E3" w:rsidRPr="007B2978">
        <w:rPr>
          <w:rFonts w:ascii="Arial" w:eastAsia="Arial" w:hAnsi="Arial" w:cs="Arial"/>
          <w:color w:val="000000"/>
          <w:sz w:val="20"/>
          <w:szCs w:val="20"/>
        </w:rPr>
        <w:t xml:space="preserve"> se zavazuje: </w:t>
      </w:r>
    </w:p>
    <w:p w14:paraId="00982734" w14:textId="410277EF" w:rsidR="00CA11F7" w:rsidRPr="007B2978" w:rsidRDefault="00997EA2" w:rsidP="00B0596D">
      <w:pPr>
        <w:widowControl w:val="0"/>
        <w:numPr>
          <w:ilvl w:val="0"/>
          <w:numId w:val="15"/>
        </w:numPr>
        <w:spacing w:after="120" w:line="276" w:lineRule="auto"/>
        <w:jc w:val="both"/>
        <w:rPr>
          <w:rFonts w:ascii="Arial" w:eastAsia="Arial" w:hAnsi="Arial" w:cs="Arial"/>
          <w:color w:val="000000"/>
          <w:sz w:val="20"/>
          <w:szCs w:val="20"/>
        </w:rPr>
      </w:pPr>
      <w:r w:rsidRPr="00B0596D">
        <w:rPr>
          <w:rFonts w:ascii="Arial" w:eastAsia="Arial" w:hAnsi="Arial" w:cs="Arial"/>
          <w:sz w:val="20"/>
          <w:szCs w:val="20"/>
        </w:rPr>
        <w:t xml:space="preserve">Zajistit </w:t>
      </w:r>
      <w:r w:rsidR="00A4238E">
        <w:rPr>
          <w:rFonts w:ascii="Arial" w:eastAsia="Arial" w:hAnsi="Arial" w:cs="Arial"/>
          <w:sz w:val="20"/>
          <w:szCs w:val="20"/>
        </w:rPr>
        <w:t>reklamní plnění uvedené v</w:t>
      </w:r>
      <w:r w:rsidR="00852C28">
        <w:rPr>
          <w:rFonts w:ascii="Arial" w:eastAsia="Arial" w:hAnsi="Arial" w:cs="Arial"/>
          <w:sz w:val="20"/>
          <w:szCs w:val="20"/>
        </w:rPr>
        <w:t>iz</w:t>
      </w:r>
      <w:r w:rsidR="001F00A1">
        <w:rPr>
          <w:rFonts w:ascii="Arial" w:eastAsia="Arial" w:hAnsi="Arial" w:cs="Arial"/>
          <w:sz w:val="20"/>
          <w:szCs w:val="20"/>
        </w:rPr>
        <w:t xml:space="preserve"> odstavec </w:t>
      </w:r>
      <w:r w:rsidR="002667A3">
        <w:rPr>
          <w:rFonts w:ascii="Arial" w:eastAsia="Arial" w:hAnsi="Arial" w:cs="Arial"/>
          <w:sz w:val="20"/>
          <w:szCs w:val="20"/>
        </w:rPr>
        <w:t>6</w:t>
      </w:r>
      <w:r w:rsidR="001F00A1">
        <w:rPr>
          <w:rFonts w:ascii="Arial" w:eastAsia="Arial" w:hAnsi="Arial" w:cs="Arial"/>
          <w:sz w:val="20"/>
          <w:szCs w:val="20"/>
        </w:rPr>
        <w:t>.</w:t>
      </w:r>
    </w:p>
    <w:p w14:paraId="6824A8C4" w14:textId="77777777" w:rsidR="00CA11F7" w:rsidRPr="007B2978" w:rsidRDefault="00E750E3">
      <w:pPr>
        <w:keepLines/>
        <w:numPr>
          <w:ilvl w:val="0"/>
          <w:numId w:val="2"/>
        </w:numPr>
        <w:pBdr>
          <w:top w:val="nil"/>
          <w:left w:val="nil"/>
          <w:bottom w:val="nil"/>
          <w:right w:val="nil"/>
          <w:between w:val="nil"/>
        </w:pBdr>
        <w:spacing w:line="276" w:lineRule="auto"/>
        <w:jc w:val="both"/>
      </w:pPr>
      <w:r w:rsidRPr="007B2978">
        <w:rPr>
          <w:rFonts w:ascii="Arial" w:eastAsia="Arial" w:hAnsi="Arial" w:cs="Arial"/>
          <w:color w:val="000000"/>
          <w:sz w:val="20"/>
          <w:szCs w:val="20"/>
        </w:rPr>
        <w:t>Plnění této Smlouvy nesmí být v rozporu s platnými právními předpisy nebo dobrými mravy, nesmí obsahovat vulgarismy, ani zasahovat do autorských práv třetích osob.</w:t>
      </w:r>
    </w:p>
    <w:p w14:paraId="6C96AA04" w14:textId="118487B2" w:rsidR="00CA11F7" w:rsidRDefault="00CA11F7" w:rsidP="00A4238E">
      <w:pPr>
        <w:keepLines/>
        <w:pBdr>
          <w:top w:val="nil"/>
          <w:left w:val="nil"/>
          <w:bottom w:val="nil"/>
          <w:right w:val="nil"/>
          <w:between w:val="nil"/>
        </w:pBdr>
        <w:spacing w:line="276" w:lineRule="auto"/>
        <w:ind w:left="360"/>
        <w:jc w:val="both"/>
      </w:pPr>
    </w:p>
    <w:p w14:paraId="090DB8B1" w14:textId="77777777" w:rsidR="008A101F" w:rsidRPr="007B2978" w:rsidRDefault="008A101F" w:rsidP="00A4238E">
      <w:pPr>
        <w:keepLines/>
        <w:pBdr>
          <w:top w:val="nil"/>
          <w:left w:val="nil"/>
          <w:bottom w:val="nil"/>
          <w:right w:val="nil"/>
          <w:between w:val="nil"/>
        </w:pBdr>
        <w:spacing w:line="276" w:lineRule="auto"/>
        <w:ind w:left="360"/>
        <w:jc w:val="both"/>
      </w:pPr>
    </w:p>
    <w:p w14:paraId="6B054506" w14:textId="77777777" w:rsidR="00CA11F7" w:rsidRPr="007B2978" w:rsidRDefault="00E750E3">
      <w:pPr>
        <w:pStyle w:val="Nadpis2"/>
        <w:numPr>
          <w:ilvl w:val="0"/>
          <w:numId w:val="13"/>
        </w:numPr>
        <w:spacing w:before="120"/>
        <w:ind w:hanging="227"/>
        <w:jc w:val="center"/>
        <w:rPr>
          <w:sz w:val="22"/>
        </w:rPr>
      </w:pPr>
      <w:r w:rsidRPr="007B2978">
        <w:rPr>
          <w:sz w:val="22"/>
        </w:rPr>
        <w:t>Kontaktní osoby smluvních stran</w:t>
      </w:r>
    </w:p>
    <w:p w14:paraId="4435F4D6" w14:textId="77777777" w:rsidR="00CA11F7" w:rsidRPr="007B2978" w:rsidRDefault="00E750E3">
      <w:pPr>
        <w:keepLines/>
        <w:numPr>
          <w:ilvl w:val="0"/>
          <w:numId w:val="4"/>
        </w:numPr>
        <w:pBdr>
          <w:top w:val="nil"/>
          <w:left w:val="nil"/>
          <w:bottom w:val="nil"/>
          <w:right w:val="nil"/>
          <w:between w:val="nil"/>
        </w:pBdr>
        <w:spacing w:line="276" w:lineRule="auto"/>
        <w:jc w:val="both"/>
      </w:pPr>
      <w:r w:rsidRPr="007B2978">
        <w:rPr>
          <w:rFonts w:ascii="Arial" w:eastAsia="Arial" w:hAnsi="Arial" w:cs="Arial"/>
          <w:color w:val="000000"/>
          <w:sz w:val="20"/>
          <w:szCs w:val="20"/>
        </w:rPr>
        <w:t>Smluvní strany budou komunikovat ve věci plnění této smlouvy prostřednictvím těchto osob:</w:t>
      </w:r>
    </w:p>
    <w:p w14:paraId="64FE80BE" w14:textId="56796C1E" w:rsidR="00CA11F7" w:rsidRPr="007B2978" w:rsidRDefault="00E750E3">
      <w:pPr>
        <w:keepLines/>
        <w:numPr>
          <w:ilvl w:val="0"/>
          <w:numId w:val="12"/>
        </w:numPr>
        <w:pBdr>
          <w:top w:val="nil"/>
          <w:left w:val="nil"/>
          <w:bottom w:val="nil"/>
          <w:right w:val="nil"/>
          <w:between w:val="nil"/>
        </w:pBdr>
        <w:spacing w:line="276" w:lineRule="auto"/>
        <w:ind w:left="851" w:hanging="425"/>
        <w:jc w:val="both"/>
        <w:rPr>
          <w:rFonts w:ascii="Arial" w:eastAsia="Arial" w:hAnsi="Arial" w:cs="Arial"/>
          <w:color w:val="000000"/>
          <w:sz w:val="20"/>
          <w:szCs w:val="20"/>
        </w:rPr>
      </w:pPr>
      <w:r w:rsidRPr="007B2978">
        <w:rPr>
          <w:rFonts w:ascii="Arial" w:eastAsia="Arial" w:hAnsi="Arial" w:cs="Arial"/>
          <w:color w:val="000000"/>
          <w:sz w:val="20"/>
          <w:szCs w:val="20"/>
        </w:rPr>
        <w:t xml:space="preserve">Kontaktní osoba za </w:t>
      </w:r>
      <w:r w:rsidR="00B66403">
        <w:rPr>
          <w:rFonts w:ascii="Arial" w:eastAsia="Arial" w:hAnsi="Arial" w:cs="Arial"/>
          <w:color w:val="000000"/>
          <w:sz w:val="20"/>
          <w:szCs w:val="20"/>
        </w:rPr>
        <w:t>CL</w:t>
      </w:r>
      <w:r w:rsidRPr="007B2978">
        <w:rPr>
          <w:rFonts w:ascii="Arial" w:eastAsia="Arial" w:hAnsi="Arial" w:cs="Arial"/>
          <w:color w:val="000000"/>
          <w:sz w:val="20"/>
          <w:szCs w:val="20"/>
        </w:rPr>
        <w:t xml:space="preserve">: </w:t>
      </w:r>
    </w:p>
    <w:p w14:paraId="129DF269" w14:textId="2659411A" w:rsidR="00CA11F7" w:rsidRPr="007B2978" w:rsidRDefault="007752B0">
      <w:pPr>
        <w:keepLines/>
        <w:pBdr>
          <w:top w:val="nil"/>
          <w:left w:val="nil"/>
          <w:bottom w:val="nil"/>
          <w:right w:val="nil"/>
          <w:between w:val="nil"/>
        </w:pBdr>
        <w:spacing w:line="276" w:lineRule="auto"/>
        <w:ind w:left="1080"/>
        <w:jc w:val="both"/>
        <w:rPr>
          <w:rFonts w:ascii="Arial" w:eastAsia="Arial" w:hAnsi="Arial" w:cs="Arial"/>
          <w:color w:val="000000"/>
          <w:sz w:val="20"/>
          <w:szCs w:val="20"/>
        </w:rPr>
      </w:pPr>
      <w:r>
        <w:rPr>
          <w:rFonts w:ascii="Arial" w:eastAsia="Arial" w:hAnsi="Arial" w:cs="Arial"/>
          <w:color w:val="000000"/>
          <w:sz w:val="20"/>
          <w:szCs w:val="20"/>
        </w:rPr>
        <w:t>xxxx</w:t>
      </w:r>
      <w:r w:rsidR="00A4238E">
        <w:rPr>
          <w:rFonts w:ascii="Arial" w:eastAsia="Arial" w:hAnsi="Arial" w:cs="Arial"/>
          <w:color w:val="000000"/>
          <w:sz w:val="20"/>
          <w:szCs w:val="20"/>
        </w:rPr>
        <w:t>,</w:t>
      </w:r>
      <w:r w:rsidR="00E750E3" w:rsidRPr="007B2978">
        <w:rPr>
          <w:rFonts w:ascii="Arial" w:eastAsia="Arial" w:hAnsi="Arial" w:cs="Arial"/>
          <w:color w:val="000000"/>
          <w:sz w:val="20"/>
          <w:szCs w:val="20"/>
        </w:rPr>
        <w:t xml:space="preserve"> e-mail: </w:t>
      </w:r>
      <w:hyperlink r:id="rId9" w:history="1">
        <w:r>
          <w:rPr>
            <w:rStyle w:val="Hypertextovodkaz"/>
            <w:rFonts w:ascii="Arial" w:eastAsia="Arial" w:hAnsi="Arial" w:cs="Arial"/>
            <w:sz w:val="20"/>
            <w:szCs w:val="20"/>
          </w:rPr>
          <w:t>xxxx</w:t>
        </w:r>
      </w:hyperlink>
      <w:r w:rsidR="00A4238E">
        <w:rPr>
          <w:rFonts w:ascii="Arial" w:eastAsia="Arial" w:hAnsi="Arial" w:cs="Arial"/>
          <w:color w:val="000000"/>
          <w:sz w:val="20"/>
          <w:szCs w:val="20"/>
        </w:rPr>
        <w:t xml:space="preserve"> </w:t>
      </w:r>
      <w:r w:rsidR="00E750E3" w:rsidRPr="007B2978">
        <w:rPr>
          <w:rFonts w:ascii="Arial" w:eastAsia="Arial" w:hAnsi="Arial" w:cs="Arial"/>
          <w:color w:val="000000"/>
          <w:sz w:val="20"/>
          <w:szCs w:val="20"/>
        </w:rPr>
        <w:t xml:space="preserve">, tel: </w:t>
      </w:r>
      <w:r>
        <w:rPr>
          <w:rFonts w:ascii="Arial" w:eastAsia="Arial" w:hAnsi="Arial" w:cs="Arial"/>
          <w:color w:val="000000"/>
          <w:sz w:val="20"/>
          <w:szCs w:val="20"/>
        </w:rPr>
        <w:t>xxxx</w:t>
      </w:r>
    </w:p>
    <w:p w14:paraId="33DC0946" w14:textId="0220DBA9" w:rsidR="008337F7" w:rsidRPr="00B0596D" w:rsidRDefault="00E750E3" w:rsidP="000C7CA4">
      <w:pPr>
        <w:keepLines/>
        <w:numPr>
          <w:ilvl w:val="0"/>
          <w:numId w:val="12"/>
        </w:numPr>
        <w:pBdr>
          <w:top w:val="nil"/>
          <w:left w:val="nil"/>
          <w:bottom w:val="nil"/>
          <w:right w:val="nil"/>
          <w:between w:val="nil"/>
        </w:pBdr>
        <w:spacing w:line="276" w:lineRule="auto"/>
        <w:ind w:left="851" w:hanging="425"/>
        <w:jc w:val="both"/>
        <w:rPr>
          <w:rFonts w:ascii="Arial" w:eastAsia="Arial" w:hAnsi="Arial" w:cs="Arial"/>
          <w:color w:val="000000"/>
          <w:sz w:val="20"/>
          <w:szCs w:val="20"/>
        </w:rPr>
      </w:pPr>
      <w:r w:rsidRPr="007B2978">
        <w:rPr>
          <w:rFonts w:ascii="Arial" w:eastAsia="Arial" w:hAnsi="Arial" w:cs="Arial"/>
          <w:color w:val="000000"/>
          <w:sz w:val="20"/>
          <w:szCs w:val="20"/>
        </w:rPr>
        <w:t xml:space="preserve">Kontaktní osoba za </w:t>
      </w:r>
      <w:r w:rsidR="002463D0">
        <w:rPr>
          <w:rFonts w:ascii="Arial" w:eastAsia="Arial" w:hAnsi="Arial" w:cs="Arial"/>
          <w:color w:val="000000"/>
          <w:sz w:val="20"/>
          <w:szCs w:val="20"/>
        </w:rPr>
        <w:t>KSO</w:t>
      </w:r>
      <w:r w:rsidRPr="00B0596D">
        <w:rPr>
          <w:rFonts w:ascii="Arial" w:eastAsia="Arial" w:hAnsi="Arial" w:cs="Arial"/>
          <w:color w:val="000000"/>
          <w:sz w:val="20"/>
          <w:szCs w:val="20"/>
        </w:rPr>
        <w:t>:</w:t>
      </w:r>
      <w:r w:rsidR="003E1A4E" w:rsidRPr="00B0596D">
        <w:rPr>
          <w:rFonts w:ascii="Arial" w:eastAsia="Arial" w:hAnsi="Arial" w:cs="Arial"/>
          <w:color w:val="000000"/>
          <w:sz w:val="20"/>
          <w:szCs w:val="20"/>
        </w:rPr>
        <w:t xml:space="preserve"> </w:t>
      </w:r>
    </w:p>
    <w:p w14:paraId="50696383" w14:textId="771BD960" w:rsidR="00CA11F7" w:rsidRPr="007B2978" w:rsidRDefault="007752B0" w:rsidP="00B0596D">
      <w:pPr>
        <w:keepLines/>
        <w:pBdr>
          <w:top w:val="nil"/>
          <w:left w:val="nil"/>
          <w:bottom w:val="nil"/>
          <w:right w:val="nil"/>
          <w:between w:val="nil"/>
        </w:pBdr>
        <w:spacing w:line="276" w:lineRule="auto"/>
        <w:ind w:left="1080"/>
        <w:jc w:val="both"/>
        <w:rPr>
          <w:rFonts w:ascii="Arial" w:eastAsia="Arial" w:hAnsi="Arial" w:cs="Arial"/>
          <w:color w:val="000000"/>
          <w:sz w:val="20"/>
          <w:szCs w:val="20"/>
        </w:rPr>
      </w:pPr>
      <w:r>
        <w:rPr>
          <w:rFonts w:ascii="Arial" w:hAnsi="Arial" w:cs="Arial"/>
          <w:sz w:val="20"/>
          <w:szCs w:val="20"/>
        </w:rPr>
        <w:t>xxxx</w:t>
      </w:r>
      <w:r w:rsidR="00A4238E" w:rsidRPr="003A0960">
        <w:rPr>
          <w:rFonts w:ascii="Arial" w:hAnsi="Arial" w:cs="Arial"/>
          <w:sz w:val="20"/>
          <w:szCs w:val="20"/>
        </w:rPr>
        <w:t xml:space="preserve">, e-mail:, </w:t>
      </w:r>
      <w:r>
        <w:rPr>
          <w:rFonts w:ascii="Arial" w:hAnsi="Arial" w:cs="Arial"/>
          <w:sz w:val="20"/>
          <w:szCs w:val="20"/>
        </w:rPr>
        <w:t>xxxx</w:t>
      </w:r>
    </w:p>
    <w:p w14:paraId="54617CDB" w14:textId="77777777" w:rsidR="00862E89" w:rsidRPr="007B2978" w:rsidRDefault="00862E89" w:rsidP="003A059A">
      <w:pPr>
        <w:keepLines/>
        <w:pBdr>
          <w:top w:val="nil"/>
          <w:left w:val="nil"/>
          <w:bottom w:val="nil"/>
          <w:right w:val="nil"/>
          <w:between w:val="nil"/>
        </w:pBdr>
        <w:spacing w:line="276" w:lineRule="auto"/>
        <w:ind w:left="851"/>
        <w:jc w:val="both"/>
        <w:rPr>
          <w:rFonts w:ascii="Arial" w:eastAsia="Arial" w:hAnsi="Arial" w:cs="Arial"/>
          <w:color w:val="000000"/>
          <w:sz w:val="20"/>
          <w:szCs w:val="20"/>
        </w:rPr>
      </w:pPr>
    </w:p>
    <w:p w14:paraId="14A5E749" w14:textId="77777777" w:rsidR="00CA11F7" w:rsidRPr="008A101F" w:rsidRDefault="00E750E3">
      <w:pPr>
        <w:keepLines/>
        <w:numPr>
          <w:ilvl w:val="0"/>
          <w:numId w:val="4"/>
        </w:numPr>
        <w:pBdr>
          <w:top w:val="nil"/>
          <w:left w:val="nil"/>
          <w:bottom w:val="nil"/>
          <w:right w:val="nil"/>
          <w:between w:val="nil"/>
        </w:pBdr>
        <w:spacing w:line="276" w:lineRule="auto"/>
        <w:jc w:val="both"/>
      </w:pPr>
      <w:r w:rsidRPr="007B2978">
        <w:rPr>
          <w:rFonts w:ascii="Arial" w:eastAsia="Arial" w:hAnsi="Arial" w:cs="Arial"/>
          <w:color w:val="000000"/>
          <w:sz w:val="20"/>
          <w:szCs w:val="20"/>
        </w:rPr>
        <w:t>Smluvní strany mohou kontaktní osoby kdykoliv změnit, a to jednostranným písemným oznámením adresovaným druhé smluvní straně. Změna je vůči smluvní straně účinná okamžikem oznámení. Kontaktní osoby nejsou oprávněny ke změnám ani k ukončení Smlouvy, ani k promíjení nebo uznávání dluhů. Zajišťují vzájemnou komunikaci mezi stranami, zejména odstraňování vad a dalších záležitostí.</w:t>
      </w:r>
    </w:p>
    <w:p w14:paraId="59D1A33C" w14:textId="77777777" w:rsidR="008A101F" w:rsidRDefault="008A101F" w:rsidP="008A101F">
      <w:pPr>
        <w:keepLines/>
        <w:pBdr>
          <w:top w:val="nil"/>
          <w:left w:val="nil"/>
          <w:bottom w:val="nil"/>
          <w:right w:val="nil"/>
          <w:between w:val="nil"/>
        </w:pBdr>
        <w:spacing w:line="276" w:lineRule="auto"/>
        <w:jc w:val="both"/>
        <w:rPr>
          <w:rFonts w:ascii="Arial" w:eastAsia="Arial" w:hAnsi="Arial" w:cs="Arial"/>
          <w:color w:val="000000"/>
          <w:sz w:val="20"/>
          <w:szCs w:val="20"/>
        </w:rPr>
      </w:pPr>
    </w:p>
    <w:p w14:paraId="430982FB" w14:textId="77777777" w:rsidR="003D0734" w:rsidRDefault="003D0734" w:rsidP="008A101F">
      <w:pPr>
        <w:keepLines/>
        <w:pBdr>
          <w:top w:val="nil"/>
          <w:left w:val="nil"/>
          <w:bottom w:val="nil"/>
          <w:right w:val="nil"/>
          <w:between w:val="nil"/>
        </w:pBdr>
        <w:spacing w:line="276" w:lineRule="auto"/>
        <w:jc w:val="both"/>
        <w:rPr>
          <w:rFonts w:ascii="Arial" w:eastAsia="Arial" w:hAnsi="Arial" w:cs="Arial"/>
          <w:color w:val="000000"/>
          <w:sz w:val="20"/>
          <w:szCs w:val="20"/>
        </w:rPr>
      </w:pPr>
    </w:p>
    <w:p w14:paraId="29639595" w14:textId="77777777" w:rsidR="002F2783" w:rsidRDefault="002F2783" w:rsidP="008A101F">
      <w:pPr>
        <w:keepLines/>
        <w:pBdr>
          <w:top w:val="nil"/>
          <w:left w:val="nil"/>
          <w:bottom w:val="nil"/>
          <w:right w:val="nil"/>
          <w:between w:val="nil"/>
        </w:pBdr>
        <w:spacing w:line="276" w:lineRule="auto"/>
        <w:jc w:val="both"/>
        <w:rPr>
          <w:rFonts w:ascii="Arial" w:eastAsia="Arial" w:hAnsi="Arial" w:cs="Arial"/>
          <w:color w:val="000000"/>
          <w:sz w:val="20"/>
          <w:szCs w:val="20"/>
        </w:rPr>
      </w:pPr>
    </w:p>
    <w:p w14:paraId="20D41577" w14:textId="77777777" w:rsidR="003D0734" w:rsidRPr="007B2978" w:rsidRDefault="003D0734" w:rsidP="008A101F">
      <w:pPr>
        <w:keepLines/>
        <w:pBdr>
          <w:top w:val="nil"/>
          <w:left w:val="nil"/>
          <w:bottom w:val="nil"/>
          <w:right w:val="nil"/>
          <w:between w:val="nil"/>
        </w:pBdr>
        <w:spacing w:line="276" w:lineRule="auto"/>
        <w:jc w:val="both"/>
      </w:pPr>
    </w:p>
    <w:p w14:paraId="3BA68E8C" w14:textId="77777777" w:rsidR="00CA11F7" w:rsidRPr="007B2978" w:rsidRDefault="00E750E3">
      <w:pPr>
        <w:pStyle w:val="Nadpis2"/>
        <w:numPr>
          <w:ilvl w:val="0"/>
          <w:numId w:val="13"/>
        </w:numPr>
        <w:spacing w:before="120"/>
        <w:ind w:hanging="227"/>
        <w:jc w:val="center"/>
        <w:rPr>
          <w:sz w:val="22"/>
        </w:rPr>
      </w:pPr>
      <w:r w:rsidRPr="007B2978">
        <w:rPr>
          <w:sz w:val="22"/>
        </w:rPr>
        <w:lastRenderedPageBreak/>
        <w:t>Finanční hlediska spolupráce</w:t>
      </w:r>
    </w:p>
    <w:p w14:paraId="7FB75F15" w14:textId="63E08068" w:rsidR="00CA11F7" w:rsidRPr="007B2978" w:rsidRDefault="00E750E3">
      <w:pPr>
        <w:keepLines/>
        <w:numPr>
          <w:ilvl w:val="0"/>
          <w:numId w:val="5"/>
        </w:numPr>
        <w:pBdr>
          <w:top w:val="nil"/>
          <w:left w:val="nil"/>
          <w:bottom w:val="nil"/>
          <w:right w:val="nil"/>
          <w:between w:val="nil"/>
        </w:pBdr>
        <w:spacing w:line="276" w:lineRule="auto"/>
        <w:jc w:val="both"/>
      </w:pPr>
      <w:r w:rsidRPr="007B2978">
        <w:rPr>
          <w:rFonts w:ascii="Arial" w:eastAsia="Arial" w:hAnsi="Arial" w:cs="Arial"/>
          <w:color w:val="000000"/>
          <w:sz w:val="20"/>
          <w:szCs w:val="20"/>
        </w:rPr>
        <w:t xml:space="preserve">Celková cena za plnění poskytnuté </w:t>
      </w:r>
      <w:r w:rsidR="00C678E4">
        <w:rPr>
          <w:rFonts w:ascii="Arial" w:eastAsia="Arial" w:hAnsi="Arial" w:cs="Arial"/>
          <w:color w:val="000000"/>
          <w:sz w:val="20"/>
          <w:szCs w:val="20"/>
        </w:rPr>
        <w:t>CL</w:t>
      </w:r>
      <w:r w:rsidRPr="007B2978">
        <w:rPr>
          <w:rFonts w:ascii="Arial" w:eastAsia="Arial" w:hAnsi="Arial" w:cs="Arial"/>
          <w:color w:val="000000"/>
          <w:sz w:val="20"/>
          <w:szCs w:val="20"/>
        </w:rPr>
        <w:t xml:space="preserve"> je stanovena na </w:t>
      </w:r>
      <w:r w:rsidR="000D7758">
        <w:rPr>
          <w:rFonts w:ascii="Arial" w:eastAsia="Arial" w:hAnsi="Arial" w:cs="Arial"/>
          <w:color w:val="000000"/>
          <w:sz w:val="20"/>
          <w:szCs w:val="20"/>
        </w:rPr>
        <w:t>1</w:t>
      </w:r>
      <w:r w:rsidR="00072C35">
        <w:rPr>
          <w:rFonts w:ascii="Arial" w:eastAsia="Arial" w:hAnsi="Arial" w:cs="Arial"/>
          <w:color w:val="000000"/>
          <w:sz w:val="20"/>
          <w:szCs w:val="20"/>
        </w:rPr>
        <w:t>0</w:t>
      </w:r>
      <w:r w:rsidR="00B261F8">
        <w:rPr>
          <w:rFonts w:ascii="Arial" w:eastAsia="Arial" w:hAnsi="Arial" w:cs="Arial"/>
          <w:color w:val="000000"/>
          <w:sz w:val="20"/>
          <w:szCs w:val="20"/>
        </w:rPr>
        <w:t>0</w:t>
      </w:r>
      <w:r w:rsidR="00F15B2A" w:rsidRPr="00C678E4">
        <w:rPr>
          <w:rFonts w:ascii="Arial" w:eastAsia="Arial" w:hAnsi="Arial" w:cs="Arial"/>
          <w:color w:val="000000"/>
          <w:sz w:val="20"/>
          <w:szCs w:val="20"/>
        </w:rPr>
        <w:t xml:space="preserve"> </w:t>
      </w:r>
      <w:r w:rsidR="002835A3" w:rsidRPr="00C678E4">
        <w:rPr>
          <w:rFonts w:ascii="Arial" w:eastAsia="Arial" w:hAnsi="Arial" w:cs="Arial"/>
          <w:color w:val="000000"/>
          <w:sz w:val="20"/>
          <w:szCs w:val="20"/>
        </w:rPr>
        <w:t>000</w:t>
      </w:r>
      <w:r w:rsidR="00E8547B" w:rsidRPr="00C678E4">
        <w:rPr>
          <w:rFonts w:ascii="Arial" w:eastAsia="Arial" w:hAnsi="Arial" w:cs="Arial"/>
          <w:color w:val="000000"/>
          <w:sz w:val="20"/>
          <w:szCs w:val="20"/>
        </w:rPr>
        <w:t xml:space="preserve"> </w:t>
      </w:r>
      <w:r w:rsidRPr="00C678E4">
        <w:rPr>
          <w:rFonts w:ascii="Arial" w:eastAsia="Arial" w:hAnsi="Arial" w:cs="Arial"/>
          <w:color w:val="000000"/>
          <w:sz w:val="20"/>
          <w:szCs w:val="20"/>
        </w:rPr>
        <w:t>Kč (slovy:</w:t>
      </w:r>
      <w:r w:rsidR="00B261F8">
        <w:t xml:space="preserve"> </w:t>
      </w:r>
      <w:r w:rsidR="000D7758">
        <w:rPr>
          <w:rFonts w:ascii="Arial" w:hAnsi="Arial" w:cs="Arial"/>
          <w:sz w:val="20"/>
          <w:szCs w:val="20"/>
        </w:rPr>
        <w:t>sto</w:t>
      </w:r>
      <w:r w:rsidR="006F50AE">
        <w:rPr>
          <w:rFonts w:ascii="Arial" w:eastAsia="Arial" w:hAnsi="Arial" w:cs="Arial"/>
          <w:color w:val="000000"/>
          <w:sz w:val="20"/>
          <w:szCs w:val="20"/>
        </w:rPr>
        <w:t xml:space="preserve"> tisíc</w:t>
      </w:r>
      <w:r w:rsidR="00974B13" w:rsidRPr="00B261F8">
        <w:rPr>
          <w:rFonts w:ascii="Arial" w:eastAsia="Arial" w:hAnsi="Arial" w:cs="Arial"/>
          <w:color w:val="000000"/>
          <w:sz w:val="20"/>
          <w:szCs w:val="20"/>
        </w:rPr>
        <w:t xml:space="preserve"> </w:t>
      </w:r>
      <w:r w:rsidR="00590711" w:rsidRPr="00B261F8">
        <w:rPr>
          <w:rFonts w:ascii="Arial" w:eastAsia="Arial" w:hAnsi="Arial" w:cs="Arial"/>
          <w:color w:val="000000"/>
          <w:sz w:val="20"/>
          <w:szCs w:val="20"/>
        </w:rPr>
        <w:t>k</w:t>
      </w:r>
      <w:r w:rsidR="00590711" w:rsidRPr="007B2978">
        <w:rPr>
          <w:rFonts w:ascii="Arial" w:eastAsia="Arial" w:hAnsi="Arial" w:cs="Arial"/>
          <w:color w:val="000000"/>
          <w:sz w:val="20"/>
          <w:szCs w:val="20"/>
        </w:rPr>
        <w:t>orun</w:t>
      </w:r>
      <w:r w:rsidRPr="007B2978">
        <w:rPr>
          <w:rFonts w:ascii="Arial" w:eastAsia="Arial" w:hAnsi="Arial" w:cs="Arial"/>
          <w:color w:val="000000"/>
          <w:sz w:val="20"/>
          <w:szCs w:val="20"/>
        </w:rPr>
        <w:t xml:space="preserve"> českých) vč. DPH platné ke dni uskutečnění zdanitelného plnění.</w:t>
      </w:r>
    </w:p>
    <w:p w14:paraId="38C79ABF" w14:textId="77777777" w:rsidR="00CA11F7" w:rsidRPr="007B2978" w:rsidRDefault="00CA11F7">
      <w:pPr>
        <w:keepLines/>
        <w:pBdr>
          <w:top w:val="nil"/>
          <w:left w:val="nil"/>
          <w:bottom w:val="nil"/>
          <w:right w:val="nil"/>
          <w:between w:val="nil"/>
        </w:pBdr>
        <w:spacing w:line="276" w:lineRule="auto"/>
        <w:ind w:left="360" w:hanging="360"/>
        <w:jc w:val="both"/>
        <w:rPr>
          <w:rFonts w:ascii="Arial" w:eastAsia="Arial" w:hAnsi="Arial" w:cs="Arial"/>
          <w:color w:val="000000"/>
          <w:sz w:val="20"/>
          <w:szCs w:val="20"/>
        </w:rPr>
      </w:pPr>
    </w:p>
    <w:tbl>
      <w:tblPr>
        <w:tblW w:w="9606" w:type="dxa"/>
        <w:tblLayout w:type="fixed"/>
        <w:tblCellMar>
          <w:left w:w="0" w:type="dxa"/>
          <w:right w:w="0" w:type="dxa"/>
        </w:tblCellMar>
        <w:tblLook w:val="0400" w:firstRow="0" w:lastRow="0" w:firstColumn="0" w:lastColumn="0" w:noHBand="0" w:noVBand="1"/>
      </w:tblPr>
      <w:tblGrid>
        <w:gridCol w:w="3324"/>
        <w:gridCol w:w="648"/>
        <w:gridCol w:w="979"/>
        <w:gridCol w:w="1756"/>
        <w:gridCol w:w="1532"/>
        <w:gridCol w:w="1367"/>
      </w:tblGrid>
      <w:tr w:rsidR="00CA11F7" w:rsidRPr="007B2978" w14:paraId="05C8D4B2" w14:textId="77777777" w:rsidTr="000C7CA4">
        <w:trPr>
          <w:trHeight w:val="377"/>
        </w:trPr>
        <w:tc>
          <w:tcPr>
            <w:tcW w:w="332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bottom"/>
          </w:tcPr>
          <w:p w14:paraId="5C885D70" w14:textId="5554E7DB" w:rsidR="00CA11F7" w:rsidRPr="007B2978" w:rsidRDefault="004B3058">
            <w:pPr>
              <w:jc w:val="center"/>
              <w:rPr>
                <w:rFonts w:ascii="Arial" w:eastAsia="Arial" w:hAnsi="Arial" w:cs="Arial"/>
                <w:sz w:val="18"/>
                <w:szCs w:val="18"/>
              </w:rPr>
            </w:pPr>
            <w:r>
              <w:rPr>
                <w:rFonts w:ascii="Arial" w:eastAsia="Arial" w:hAnsi="Arial" w:cs="Arial"/>
                <w:sz w:val="18"/>
                <w:szCs w:val="18"/>
              </w:rPr>
              <w:t>CL</w:t>
            </w:r>
          </w:p>
        </w:tc>
        <w:tc>
          <w:tcPr>
            <w:tcW w:w="648" w:type="dxa"/>
            <w:tcBorders>
              <w:top w:val="single" w:sz="8" w:space="0" w:color="000000"/>
              <w:left w:val="nil"/>
              <w:bottom w:val="single" w:sz="8" w:space="0" w:color="000000"/>
              <w:right w:val="nil"/>
            </w:tcBorders>
            <w:tcMar>
              <w:top w:w="30" w:type="dxa"/>
              <w:left w:w="45" w:type="dxa"/>
              <w:bottom w:w="30" w:type="dxa"/>
              <w:right w:w="45" w:type="dxa"/>
            </w:tcMar>
            <w:vAlign w:val="bottom"/>
          </w:tcPr>
          <w:p w14:paraId="76757989" w14:textId="77777777" w:rsidR="00CA11F7" w:rsidRPr="007B2978" w:rsidRDefault="00E750E3">
            <w:pPr>
              <w:jc w:val="center"/>
              <w:rPr>
                <w:rFonts w:ascii="Arial" w:eastAsia="Arial" w:hAnsi="Arial" w:cs="Arial"/>
                <w:sz w:val="18"/>
                <w:szCs w:val="18"/>
              </w:rPr>
            </w:pPr>
            <w:r w:rsidRPr="007B2978">
              <w:rPr>
                <w:rFonts w:ascii="Arial" w:eastAsia="Arial" w:hAnsi="Arial" w:cs="Arial"/>
                <w:sz w:val="18"/>
                <w:szCs w:val="18"/>
              </w:rPr>
              <w:t xml:space="preserve">Počet </w:t>
            </w:r>
          </w:p>
        </w:tc>
        <w:tc>
          <w:tcPr>
            <w:tcW w:w="979" w:type="dxa"/>
            <w:tcBorders>
              <w:top w:val="single" w:sz="8" w:space="0" w:color="000000"/>
              <w:left w:val="nil"/>
              <w:bottom w:val="single" w:sz="8" w:space="0" w:color="000000"/>
              <w:right w:val="nil"/>
            </w:tcBorders>
            <w:tcMar>
              <w:top w:w="30" w:type="dxa"/>
              <w:left w:w="45" w:type="dxa"/>
              <w:bottom w:w="30" w:type="dxa"/>
              <w:right w:w="45" w:type="dxa"/>
            </w:tcMar>
            <w:vAlign w:val="bottom"/>
          </w:tcPr>
          <w:p w14:paraId="13C47389" w14:textId="77777777" w:rsidR="00CA11F7" w:rsidRPr="007B2978" w:rsidRDefault="00E750E3">
            <w:pPr>
              <w:jc w:val="center"/>
              <w:rPr>
                <w:rFonts w:ascii="Arial" w:eastAsia="Arial" w:hAnsi="Arial" w:cs="Arial"/>
                <w:sz w:val="18"/>
                <w:szCs w:val="18"/>
              </w:rPr>
            </w:pPr>
            <w:r w:rsidRPr="007B2978">
              <w:rPr>
                <w:rFonts w:ascii="Arial" w:eastAsia="Arial" w:hAnsi="Arial" w:cs="Arial"/>
                <w:sz w:val="18"/>
                <w:szCs w:val="18"/>
              </w:rPr>
              <w:t>Jednotka</w:t>
            </w:r>
          </w:p>
        </w:tc>
        <w:tc>
          <w:tcPr>
            <w:tcW w:w="1756" w:type="dxa"/>
            <w:tcBorders>
              <w:top w:val="single" w:sz="8" w:space="0" w:color="000000"/>
              <w:left w:val="nil"/>
              <w:bottom w:val="single" w:sz="8" w:space="0" w:color="000000"/>
              <w:right w:val="nil"/>
            </w:tcBorders>
            <w:tcMar>
              <w:top w:w="30" w:type="dxa"/>
              <w:left w:w="45" w:type="dxa"/>
              <w:bottom w:w="30" w:type="dxa"/>
              <w:right w:w="45" w:type="dxa"/>
            </w:tcMar>
            <w:vAlign w:val="bottom"/>
          </w:tcPr>
          <w:p w14:paraId="7290FE7F" w14:textId="77777777" w:rsidR="00CA11F7" w:rsidRPr="007B2978" w:rsidRDefault="00E750E3">
            <w:pPr>
              <w:jc w:val="center"/>
              <w:rPr>
                <w:rFonts w:ascii="Arial" w:eastAsia="Arial" w:hAnsi="Arial" w:cs="Arial"/>
                <w:sz w:val="18"/>
                <w:szCs w:val="18"/>
              </w:rPr>
            </w:pPr>
            <w:r w:rsidRPr="007B2978">
              <w:rPr>
                <w:rFonts w:ascii="Arial" w:eastAsia="Arial" w:hAnsi="Arial" w:cs="Arial"/>
                <w:sz w:val="18"/>
                <w:szCs w:val="18"/>
              </w:rPr>
              <w:t>Cena za jednotku</w:t>
            </w:r>
          </w:p>
        </w:tc>
        <w:tc>
          <w:tcPr>
            <w:tcW w:w="1532" w:type="dxa"/>
            <w:tcBorders>
              <w:top w:val="single" w:sz="8" w:space="0" w:color="000000"/>
              <w:left w:val="nil"/>
              <w:bottom w:val="single" w:sz="8" w:space="0" w:color="000000"/>
              <w:right w:val="single" w:sz="8" w:space="0" w:color="000000"/>
            </w:tcBorders>
            <w:tcMar>
              <w:top w:w="30" w:type="dxa"/>
              <w:left w:w="45" w:type="dxa"/>
              <w:bottom w:w="30" w:type="dxa"/>
              <w:right w:w="45" w:type="dxa"/>
            </w:tcMar>
            <w:vAlign w:val="bottom"/>
          </w:tcPr>
          <w:p w14:paraId="3F804306" w14:textId="77777777" w:rsidR="00CA11F7" w:rsidRPr="007B2978" w:rsidRDefault="00E750E3">
            <w:pPr>
              <w:jc w:val="center"/>
              <w:rPr>
                <w:rFonts w:ascii="Arial" w:eastAsia="Arial" w:hAnsi="Arial" w:cs="Arial"/>
                <w:sz w:val="18"/>
                <w:szCs w:val="18"/>
              </w:rPr>
            </w:pPr>
            <w:r w:rsidRPr="007B2978">
              <w:rPr>
                <w:rFonts w:ascii="Arial" w:eastAsia="Arial" w:hAnsi="Arial" w:cs="Arial"/>
                <w:sz w:val="18"/>
                <w:szCs w:val="18"/>
              </w:rPr>
              <w:t>Počet jednotek</w:t>
            </w:r>
          </w:p>
        </w:tc>
        <w:tc>
          <w:tcPr>
            <w:tcW w:w="1367" w:type="dxa"/>
            <w:tcBorders>
              <w:top w:val="single" w:sz="8" w:space="0" w:color="000000"/>
              <w:left w:val="nil"/>
              <w:bottom w:val="single" w:sz="8" w:space="0" w:color="000000"/>
              <w:right w:val="single" w:sz="8" w:space="0" w:color="000000"/>
            </w:tcBorders>
            <w:tcMar>
              <w:top w:w="30" w:type="dxa"/>
              <w:left w:w="45" w:type="dxa"/>
              <w:bottom w:w="30" w:type="dxa"/>
              <w:right w:w="45" w:type="dxa"/>
            </w:tcMar>
            <w:vAlign w:val="bottom"/>
          </w:tcPr>
          <w:p w14:paraId="369824CE" w14:textId="77777777" w:rsidR="00CA11F7" w:rsidRPr="007B2978" w:rsidRDefault="00E750E3">
            <w:pPr>
              <w:jc w:val="right"/>
              <w:rPr>
                <w:rFonts w:ascii="Arial" w:eastAsia="Arial" w:hAnsi="Arial" w:cs="Arial"/>
                <w:sz w:val="18"/>
                <w:szCs w:val="18"/>
              </w:rPr>
            </w:pPr>
            <w:r w:rsidRPr="007B2978">
              <w:rPr>
                <w:rFonts w:ascii="Arial" w:eastAsia="Arial" w:hAnsi="Arial" w:cs="Arial"/>
                <w:sz w:val="18"/>
                <w:szCs w:val="18"/>
              </w:rPr>
              <w:t>Cena celkem</w:t>
            </w:r>
          </w:p>
        </w:tc>
      </w:tr>
      <w:tr w:rsidR="00CA11F7" w:rsidRPr="007B2978" w14:paraId="5C279249" w14:textId="77777777" w:rsidTr="000C7CA4">
        <w:trPr>
          <w:trHeight w:val="377"/>
        </w:trPr>
        <w:tc>
          <w:tcPr>
            <w:tcW w:w="3324" w:type="dxa"/>
            <w:tcBorders>
              <w:top w:val="nil"/>
              <w:left w:val="single" w:sz="8" w:space="0" w:color="000000"/>
              <w:bottom w:val="nil"/>
              <w:right w:val="nil"/>
            </w:tcBorders>
            <w:tcMar>
              <w:top w:w="30" w:type="dxa"/>
              <w:left w:w="45" w:type="dxa"/>
              <w:bottom w:w="30" w:type="dxa"/>
              <w:right w:w="45" w:type="dxa"/>
            </w:tcMar>
            <w:vAlign w:val="bottom"/>
          </w:tcPr>
          <w:p w14:paraId="78A87CB5" w14:textId="78A09258" w:rsidR="00CA11F7" w:rsidRPr="007B2978" w:rsidRDefault="00F15B2A">
            <w:pPr>
              <w:rPr>
                <w:rFonts w:ascii="Arial" w:eastAsia="Arial" w:hAnsi="Arial" w:cs="Arial"/>
                <w:sz w:val="18"/>
                <w:szCs w:val="18"/>
              </w:rPr>
            </w:pPr>
            <w:r>
              <w:rPr>
                <w:rFonts w:ascii="Arial" w:eastAsia="Arial" w:hAnsi="Arial" w:cs="Arial"/>
                <w:sz w:val="18"/>
                <w:szCs w:val="18"/>
              </w:rPr>
              <w:t>Pronájem sál</w:t>
            </w:r>
            <w:r w:rsidR="00305A8A">
              <w:rPr>
                <w:rFonts w:ascii="Arial" w:eastAsia="Arial" w:hAnsi="Arial" w:cs="Arial"/>
                <w:sz w:val="18"/>
                <w:szCs w:val="18"/>
              </w:rPr>
              <w:t>ů</w:t>
            </w:r>
            <w:r>
              <w:rPr>
                <w:rFonts w:ascii="Arial" w:eastAsia="Arial" w:hAnsi="Arial" w:cs="Arial"/>
                <w:sz w:val="18"/>
                <w:szCs w:val="18"/>
              </w:rPr>
              <w:t xml:space="preserve"> v Císařských lázních </w:t>
            </w:r>
          </w:p>
        </w:tc>
        <w:tc>
          <w:tcPr>
            <w:tcW w:w="648" w:type="dxa"/>
            <w:tcMar>
              <w:top w:w="30" w:type="dxa"/>
              <w:left w:w="45" w:type="dxa"/>
              <w:bottom w:w="30" w:type="dxa"/>
              <w:right w:w="45" w:type="dxa"/>
            </w:tcMar>
            <w:vAlign w:val="bottom"/>
          </w:tcPr>
          <w:p w14:paraId="72C51A6C" w14:textId="1768DDAE" w:rsidR="00CA11F7" w:rsidRPr="007B2978" w:rsidRDefault="00CA11F7">
            <w:pPr>
              <w:jc w:val="right"/>
              <w:rPr>
                <w:rFonts w:ascii="Arial" w:eastAsia="Arial" w:hAnsi="Arial" w:cs="Arial"/>
                <w:sz w:val="18"/>
                <w:szCs w:val="18"/>
              </w:rPr>
            </w:pPr>
          </w:p>
        </w:tc>
        <w:tc>
          <w:tcPr>
            <w:tcW w:w="979" w:type="dxa"/>
            <w:tcMar>
              <w:top w:w="30" w:type="dxa"/>
              <w:left w:w="45" w:type="dxa"/>
              <w:bottom w:w="30" w:type="dxa"/>
              <w:right w:w="45" w:type="dxa"/>
            </w:tcMar>
            <w:vAlign w:val="bottom"/>
          </w:tcPr>
          <w:p w14:paraId="0E938604" w14:textId="516E56A3" w:rsidR="00CA11F7" w:rsidRPr="007B2978" w:rsidRDefault="00F15B2A">
            <w:pPr>
              <w:jc w:val="right"/>
              <w:rPr>
                <w:rFonts w:ascii="Arial" w:eastAsia="Arial" w:hAnsi="Arial" w:cs="Arial"/>
                <w:sz w:val="18"/>
                <w:szCs w:val="18"/>
              </w:rPr>
            </w:pPr>
            <w:r>
              <w:rPr>
                <w:rFonts w:ascii="Arial" w:eastAsia="Arial" w:hAnsi="Arial" w:cs="Arial"/>
                <w:sz w:val="18"/>
                <w:szCs w:val="18"/>
              </w:rPr>
              <w:t>pronájem</w:t>
            </w:r>
          </w:p>
        </w:tc>
        <w:tc>
          <w:tcPr>
            <w:tcW w:w="1756" w:type="dxa"/>
            <w:tcMar>
              <w:top w:w="30" w:type="dxa"/>
              <w:left w:w="45" w:type="dxa"/>
              <w:bottom w:w="30" w:type="dxa"/>
              <w:right w:w="45" w:type="dxa"/>
            </w:tcMar>
            <w:vAlign w:val="bottom"/>
          </w:tcPr>
          <w:p w14:paraId="4C8906C4" w14:textId="0585FEBF" w:rsidR="00CA11F7" w:rsidRPr="007B2978" w:rsidRDefault="00072C35">
            <w:pPr>
              <w:jc w:val="right"/>
              <w:rPr>
                <w:rFonts w:ascii="Arial" w:eastAsia="Arial" w:hAnsi="Arial" w:cs="Arial"/>
                <w:sz w:val="18"/>
                <w:szCs w:val="18"/>
              </w:rPr>
            </w:pPr>
            <w:r>
              <w:rPr>
                <w:rFonts w:ascii="Arial" w:eastAsia="Arial" w:hAnsi="Arial" w:cs="Arial"/>
                <w:sz w:val="18"/>
                <w:szCs w:val="18"/>
              </w:rPr>
              <w:t>100</w:t>
            </w:r>
            <w:r w:rsidR="00F15B2A">
              <w:rPr>
                <w:rFonts w:ascii="Arial" w:eastAsia="Arial" w:hAnsi="Arial" w:cs="Arial"/>
                <w:sz w:val="18"/>
                <w:szCs w:val="18"/>
              </w:rPr>
              <w:t xml:space="preserve"> 000</w:t>
            </w:r>
            <w:r w:rsidR="00E750E3" w:rsidRPr="007B2978">
              <w:rPr>
                <w:rFonts w:ascii="Arial" w:eastAsia="Arial" w:hAnsi="Arial" w:cs="Arial"/>
                <w:sz w:val="18"/>
                <w:szCs w:val="18"/>
              </w:rPr>
              <w:t xml:space="preserve"> Kč </w:t>
            </w:r>
          </w:p>
        </w:tc>
        <w:tc>
          <w:tcPr>
            <w:tcW w:w="1532" w:type="dxa"/>
            <w:tcBorders>
              <w:top w:val="nil"/>
              <w:left w:val="nil"/>
              <w:bottom w:val="nil"/>
              <w:right w:val="single" w:sz="8" w:space="0" w:color="000000"/>
            </w:tcBorders>
            <w:tcMar>
              <w:top w:w="30" w:type="dxa"/>
              <w:left w:w="45" w:type="dxa"/>
              <w:bottom w:w="30" w:type="dxa"/>
              <w:right w:w="45" w:type="dxa"/>
            </w:tcMar>
            <w:vAlign w:val="bottom"/>
          </w:tcPr>
          <w:p w14:paraId="3FD579B3" w14:textId="5269E0AA" w:rsidR="00CA11F7" w:rsidRPr="007B2978" w:rsidRDefault="000E30BA">
            <w:pPr>
              <w:jc w:val="right"/>
              <w:rPr>
                <w:rFonts w:ascii="Arial" w:eastAsia="Arial" w:hAnsi="Arial" w:cs="Arial"/>
                <w:sz w:val="18"/>
                <w:szCs w:val="18"/>
              </w:rPr>
            </w:pPr>
            <w:r w:rsidRPr="007B2978">
              <w:rPr>
                <w:rFonts w:ascii="Arial" w:eastAsia="Arial" w:hAnsi="Arial" w:cs="Arial"/>
                <w:sz w:val="18"/>
                <w:szCs w:val="18"/>
              </w:rPr>
              <w:t>1</w:t>
            </w:r>
          </w:p>
        </w:tc>
        <w:tc>
          <w:tcPr>
            <w:tcW w:w="1367" w:type="dxa"/>
            <w:tcBorders>
              <w:top w:val="nil"/>
              <w:left w:val="nil"/>
              <w:bottom w:val="nil"/>
              <w:right w:val="single" w:sz="8" w:space="0" w:color="000000"/>
            </w:tcBorders>
            <w:tcMar>
              <w:top w:w="30" w:type="dxa"/>
              <w:left w:w="45" w:type="dxa"/>
              <w:bottom w:w="30" w:type="dxa"/>
              <w:right w:w="45" w:type="dxa"/>
            </w:tcMar>
            <w:vAlign w:val="bottom"/>
          </w:tcPr>
          <w:p w14:paraId="7BAAA276" w14:textId="5F25B2D2" w:rsidR="00CA11F7" w:rsidRPr="007B2978" w:rsidRDefault="000D7758">
            <w:pPr>
              <w:jc w:val="right"/>
              <w:rPr>
                <w:rFonts w:ascii="Arial" w:eastAsia="Arial" w:hAnsi="Arial" w:cs="Arial"/>
                <w:sz w:val="18"/>
                <w:szCs w:val="18"/>
              </w:rPr>
            </w:pPr>
            <w:r>
              <w:rPr>
                <w:rFonts w:ascii="Arial" w:eastAsia="Arial" w:hAnsi="Arial" w:cs="Arial"/>
                <w:sz w:val="18"/>
                <w:szCs w:val="18"/>
              </w:rPr>
              <w:t>1</w:t>
            </w:r>
            <w:r w:rsidR="00072C35">
              <w:rPr>
                <w:rFonts w:ascii="Arial" w:eastAsia="Arial" w:hAnsi="Arial" w:cs="Arial"/>
                <w:sz w:val="18"/>
                <w:szCs w:val="18"/>
              </w:rPr>
              <w:t>0</w:t>
            </w:r>
            <w:r w:rsidR="00507809">
              <w:rPr>
                <w:rFonts w:ascii="Arial" w:eastAsia="Arial" w:hAnsi="Arial" w:cs="Arial"/>
                <w:sz w:val="18"/>
                <w:szCs w:val="18"/>
              </w:rPr>
              <w:t>0</w:t>
            </w:r>
            <w:r w:rsidR="00F15B2A">
              <w:rPr>
                <w:rFonts w:ascii="Arial" w:eastAsia="Arial" w:hAnsi="Arial" w:cs="Arial"/>
                <w:sz w:val="18"/>
                <w:szCs w:val="18"/>
              </w:rPr>
              <w:t xml:space="preserve"> 000</w:t>
            </w:r>
            <w:r w:rsidR="00E750E3" w:rsidRPr="007B2978">
              <w:rPr>
                <w:rFonts w:ascii="Arial" w:eastAsia="Arial" w:hAnsi="Arial" w:cs="Arial"/>
                <w:sz w:val="18"/>
                <w:szCs w:val="18"/>
              </w:rPr>
              <w:t xml:space="preserve"> Kč</w:t>
            </w:r>
          </w:p>
        </w:tc>
      </w:tr>
      <w:tr w:rsidR="00CA11F7" w:rsidRPr="007B2978" w14:paraId="1664AE06" w14:textId="77777777" w:rsidTr="000C7CA4">
        <w:trPr>
          <w:trHeight w:val="377"/>
        </w:trPr>
        <w:tc>
          <w:tcPr>
            <w:tcW w:w="3324" w:type="dxa"/>
            <w:tcBorders>
              <w:top w:val="nil"/>
              <w:left w:val="single" w:sz="8" w:space="0" w:color="000000"/>
              <w:bottom w:val="single" w:sz="8" w:space="0" w:color="000000"/>
              <w:right w:val="nil"/>
            </w:tcBorders>
            <w:tcMar>
              <w:top w:w="30" w:type="dxa"/>
              <w:left w:w="45" w:type="dxa"/>
              <w:bottom w:w="30" w:type="dxa"/>
              <w:right w:w="45" w:type="dxa"/>
            </w:tcMar>
            <w:vAlign w:val="bottom"/>
          </w:tcPr>
          <w:p w14:paraId="26B07678" w14:textId="01DC66BF" w:rsidR="00CA11F7" w:rsidRPr="007B2978" w:rsidRDefault="00E750E3">
            <w:pPr>
              <w:rPr>
                <w:rFonts w:ascii="Arial" w:eastAsia="Arial" w:hAnsi="Arial" w:cs="Arial"/>
                <w:sz w:val="20"/>
                <w:szCs w:val="20"/>
              </w:rPr>
            </w:pPr>
            <w:r w:rsidRPr="007B2978">
              <w:rPr>
                <w:rFonts w:ascii="Arial" w:eastAsia="Arial" w:hAnsi="Arial" w:cs="Arial"/>
                <w:sz w:val="20"/>
                <w:szCs w:val="20"/>
              </w:rPr>
              <w:t xml:space="preserve">Cena celkem </w:t>
            </w:r>
          </w:p>
        </w:tc>
        <w:tc>
          <w:tcPr>
            <w:tcW w:w="648" w:type="dxa"/>
            <w:tcBorders>
              <w:top w:val="nil"/>
              <w:left w:val="nil"/>
              <w:bottom w:val="single" w:sz="8" w:space="0" w:color="000000"/>
              <w:right w:val="nil"/>
            </w:tcBorders>
            <w:tcMar>
              <w:top w:w="30" w:type="dxa"/>
              <w:left w:w="45" w:type="dxa"/>
              <w:bottom w:w="30" w:type="dxa"/>
              <w:right w:w="45" w:type="dxa"/>
            </w:tcMar>
            <w:vAlign w:val="bottom"/>
          </w:tcPr>
          <w:p w14:paraId="5ABDB408" w14:textId="77777777" w:rsidR="00CA11F7" w:rsidRPr="007B2978" w:rsidRDefault="00CA11F7">
            <w:pPr>
              <w:rPr>
                <w:rFonts w:ascii="Arial" w:eastAsia="Arial" w:hAnsi="Arial" w:cs="Arial"/>
                <w:sz w:val="20"/>
                <w:szCs w:val="20"/>
              </w:rPr>
            </w:pPr>
          </w:p>
        </w:tc>
        <w:tc>
          <w:tcPr>
            <w:tcW w:w="979" w:type="dxa"/>
            <w:tcBorders>
              <w:top w:val="nil"/>
              <w:left w:val="nil"/>
              <w:bottom w:val="single" w:sz="8" w:space="0" w:color="000000"/>
              <w:right w:val="nil"/>
            </w:tcBorders>
            <w:tcMar>
              <w:top w:w="30" w:type="dxa"/>
              <w:left w:w="45" w:type="dxa"/>
              <w:bottom w:w="30" w:type="dxa"/>
              <w:right w:w="45" w:type="dxa"/>
            </w:tcMar>
            <w:vAlign w:val="bottom"/>
          </w:tcPr>
          <w:p w14:paraId="3AB079F6" w14:textId="77777777" w:rsidR="00CA11F7" w:rsidRPr="007B2978" w:rsidRDefault="00CA11F7">
            <w:pPr>
              <w:rPr>
                <w:sz w:val="20"/>
                <w:szCs w:val="20"/>
              </w:rPr>
            </w:pPr>
          </w:p>
        </w:tc>
        <w:tc>
          <w:tcPr>
            <w:tcW w:w="1756" w:type="dxa"/>
            <w:tcBorders>
              <w:top w:val="nil"/>
              <w:left w:val="nil"/>
              <w:bottom w:val="single" w:sz="8" w:space="0" w:color="000000"/>
              <w:right w:val="nil"/>
            </w:tcBorders>
            <w:tcMar>
              <w:top w:w="30" w:type="dxa"/>
              <w:left w:w="45" w:type="dxa"/>
              <w:bottom w:w="30" w:type="dxa"/>
              <w:right w:w="45" w:type="dxa"/>
            </w:tcMar>
            <w:vAlign w:val="bottom"/>
          </w:tcPr>
          <w:p w14:paraId="1F43B127" w14:textId="77777777" w:rsidR="00CA11F7" w:rsidRPr="007B2978" w:rsidRDefault="00CA11F7">
            <w:pPr>
              <w:rPr>
                <w:sz w:val="20"/>
                <w:szCs w:val="20"/>
              </w:rPr>
            </w:pPr>
          </w:p>
        </w:tc>
        <w:tc>
          <w:tcPr>
            <w:tcW w:w="1532" w:type="dxa"/>
            <w:tcBorders>
              <w:top w:val="nil"/>
              <w:left w:val="nil"/>
              <w:bottom w:val="single" w:sz="8" w:space="0" w:color="000000"/>
              <w:right w:val="single" w:sz="8" w:space="0" w:color="000000"/>
            </w:tcBorders>
            <w:tcMar>
              <w:top w:w="30" w:type="dxa"/>
              <w:left w:w="45" w:type="dxa"/>
              <w:bottom w:w="30" w:type="dxa"/>
              <w:right w:w="45" w:type="dxa"/>
            </w:tcMar>
            <w:vAlign w:val="bottom"/>
          </w:tcPr>
          <w:p w14:paraId="02EFF665" w14:textId="77777777" w:rsidR="00CA11F7" w:rsidRPr="007B2978" w:rsidRDefault="00CA11F7">
            <w:pPr>
              <w:rPr>
                <w:sz w:val="20"/>
                <w:szCs w:val="20"/>
              </w:rPr>
            </w:pPr>
          </w:p>
        </w:tc>
        <w:tc>
          <w:tcPr>
            <w:tcW w:w="1367" w:type="dxa"/>
            <w:tcBorders>
              <w:top w:val="nil"/>
              <w:left w:val="nil"/>
              <w:bottom w:val="single" w:sz="8" w:space="0" w:color="000000"/>
              <w:right w:val="single" w:sz="8" w:space="0" w:color="000000"/>
            </w:tcBorders>
            <w:tcMar>
              <w:top w:w="30" w:type="dxa"/>
              <w:left w:w="45" w:type="dxa"/>
              <w:bottom w:w="30" w:type="dxa"/>
              <w:right w:w="45" w:type="dxa"/>
            </w:tcMar>
            <w:vAlign w:val="bottom"/>
          </w:tcPr>
          <w:p w14:paraId="4ACC3045" w14:textId="656B9A59" w:rsidR="00CA11F7" w:rsidRPr="007B2978" w:rsidRDefault="000D7758">
            <w:pPr>
              <w:jc w:val="right"/>
              <w:rPr>
                <w:rFonts w:ascii="Arial" w:eastAsia="Arial" w:hAnsi="Arial" w:cs="Arial"/>
                <w:b/>
                <w:sz w:val="18"/>
                <w:szCs w:val="18"/>
              </w:rPr>
            </w:pPr>
            <w:r>
              <w:rPr>
                <w:rFonts w:ascii="Arial" w:eastAsia="Arial" w:hAnsi="Arial" w:cs="Arial"/>
                <w:b/>
                <w:sz w:val="18"/>
                <w:szCs w:val="18"/>
              </w:rPr>
              <w:t>1</w:t>
            </w:r>
            <w:r w:rsidR="00072C35">
              <w:rPr>
                <w:rFonts w:ascii="Arial" w:eastAsia="Arial" w:hAnsi="Arial" w:cs="Arial"/>
                <w:b/>
                <w:sz w:val="18"/>
                <w:szCs w:val="18"/>
              </w:rPr>
              <w:t>0</w:t>
            </w:r>
            <w:r w:rsidR="00507809">
              <w:rPr>
                <w:rFonts w:ascii="Arial" w:eastAsia="Arial" w:hAnsi="Arial" w:cs="Arial"/>
                <w:b/>
                <w:sz w:val="18"/>
                <w:szCs w:val="18"/>
              </w:rPr>
              <w:t>0</w:t>
            </w:r>
            <w:r w:rsidR="00F15B2A">
              <w:rPr>
                <w:rFonts w:ascii="Arial" w:eastAsia="Arial" w:hAnsi="Arial" w:cs="Arial"/>
                <w:b/>
                <w:sz w:val="18"/>
                <w:szCs w:val="18"/>
              </w:rPr>
              <w:t xml:space="preserve"> </w:t>
            </w:r>
            <w:r w:rsidR="00E972FF">
              <w:rPr>
                <w:rFonts w:ascii="Arial" w:eastAsia="Arial" w:hAnsi="Arial" w:cs="Arial"/>
                <w:b/>
                <w:sz w:val="18"/>
                <w:szCs w:val="18"/>
              </w:rPr>
              <w:t>00</w:t>
            </w:r>
            <w:r w:rsidR="00F15B2A">
              <w:rPr>
                <w:rFonts w:ascii="Arial" w:eastAsia="Arial" w:hAnsi="Arial" w:cs="Arial"/>
                <w:b/>
                <w:sz w:val="18"/>
                <w:szCs w:val="18"/>
              </w:rPr>
              <w:t>0</w:t>
            </w:r>
            <w:r w:rsidR="00AA4362" w:rsidRPr="007B2978">
              <w:rPr>
                <w:rFonts w:ascii="Arial" w:eastAsia="Arial" w:hAnsi="Arial" w:cs="Arial"/>
                <w:b/>
                <w:sz w:val="18"/>
                <w:szCs w:val="18"/>
              </w:rPr>
              <w:t xml:space="preserve"> </w:t>
            </w:r>
            <w:r w:rsidR="00E750E3" w:rsidRPr="007B2978">
              <w:rPr>
                <w:rFonts w:ascii="Arial" w:eastAsia="Arial" w:hAnsi="Arial" w:cs="Arial"/>
                <w:b/>
                <w:sz w:val="18"/>
                <w:szCs w:val="18"/>
              </w:rPr>
              <w:t>Kč</w:t>
            </w:r>
          </w:p>
        </w:tc>
      </w:tr>
    </w:tbl>
    <w:p w14:paraId="2F74D653" w14:textId="15DC5E16" w:rsidR="00CA11F7" w:rsidRPr="007B2978" w:rsidRDefault="001B267B">
      <w:pPr>
        <w:keepLines/>
        <w:pBdr>
          <w:top w:val="nil"/>
          <w:left w:val="nil"/>
          <w:bottom w:val="nil"/>
          <w:right w:val="nil"/>
          <w:between w:val="nil"/>
        </w:pBdr>
        <w:spacing w:line="276" w:lineRule="auto"/>
        <w:ind w:left="360" w:hanging="360"/>
        <w:jc w:val="both"/>
        <w:rPr>
          <w:rFonts w:ascii="Arial" w:eastAsia="Arial" w:hAnsi="Arial" w:cs="Arial"/>
          <w:color w:val="000000"/>
          <w:sz w:val="20"/>
          <w:szCs w:val="20"/>
        </w:rPr>
      </w:pPr>
      <w:r w:rsidRPr="007B2978">
        <w:rPr>
          <w:rFonts w:ascii="Arial" w:eastAsia="Arial" w:hAnsi="Arial" w:cs="Arial"/>
          <w:color w:val="000000"/>
          <w:sz w:val="20"/>
          <w:szCs w:val="20"/>
        </w:rPr>
        <w:t xml:space="preserve"> </w:t>
      </w:r>
    </w:p>
    <w:p w14:paraId="304F0632" w14:textId="1D46A496" w:rsidR="00CA11F7" w:rsidRPr="007B2978" w:rsidRDefault="00E750E3">
      <w:pPr>
        <w:keepLines/>
        <w:numPr>
          <w:ilvl w:val="0"/>
          <w:numId w:val="5"/>
        </w:numPr>
        <w:pBdr>
          <w:top w:val="nil"/>
          <w:left w:val="nil"/>
          <w:bottom w:val="nil"/>
          <w:right w:val="nil"/>
          <w:between w:val="nil"/>
        </w:pBdr>
        <w:spacing w:line="276" w:lineRule="auto"/>
        <w:jc w:val="both"/>
      </w:pPr>
      <w:r w:rsidRPr="007B2978">
        <w:rPr>
          <w:rFonts w:ascii="Arial" w:eastAsia="Arial" w:hAnsi="Arial" w:cs="Arial"/>
          <w:color w:val="000000"/>
          <w:sz w:val="20"/>
          <w:szCs w:val="20"/>
        </w:rPr>
        <w:t xml:space="preserve">Celková cena za plnění poskytnuté </w:t>
      </w:r>
      <w:r w:rsidR="00507809">
        <w:rPr>
          <w:rFonts w:ascii="Arial" w:eastAsia="Arial" w:hAnsi="Arial" w:cs="Arial"/>
          <w:color w:val="000000"/>
          <w:sz w:val="20"/>
          <w:szCs w:val="20"/>
        </w:rPr>
        <w:t>KSO</w:t>
      </w:r>
      <w:r w:rsidRPr="007B2978">
        <w:rPr>
          <w:rFonts w:ascii="Arial" w:eastAsia="Arial" w:hAnsi="Arial" w:cs="Arial"/>
          <w:color w:val="000000"/>
          <w:sz w:val="20"/>
          <w:szCs w:val="20"/>
        </w:rPr>
        <w:t xml:space="preserve"> </w:t>
      </w:r>
      <w:r w:rsidRPr="00B0596D">
        <w:rPr>
          <w:rFonts w:ascii="Arial" w:eastAsia="Arial" w:hAnsi="Arial" w:cs="Arial"/>
          <w:color w:val="000000"/>
          <w:sz w:val="20"/>
          <w:szCs w:val="20"/>
        </w:rPr>
        <w:t xml:space="preserve">je stanovena na </w:t>
      </w:r>
      <w:r w:rsidR="00503206">
        <w:rPr>
          <w:rFonts w:ascii="Arial" w:eastAsia="Arial" w:hAnsi="Arial" w:cs="Arial"/>
          <w:color w:val="000000"/>
          <w:sz w:val="20"/>
          <w:szCs w:val="20"/>
        </w:rPr>
        <w:t>1</w:t>
      </w:r>
      <w:r w:rsidR="004723FB">
        <w:rPr>
          <w:rFonts w:ascii="Arial" w:eastAsia="Arial" w:hAnsi="Arial" w:cs="Arial"/>
          <w:color w:val="000000"/>
          <w:sz w:val="20"/>
          <w:szCs w:val="20"/>
        </w:rPr>
        <w:t>0</w:t>
      </w:r>
      <w:r w:rsidR="00F15B2A">
        <w:rPr>
          <w:rFonts w:ascii="Arial" w:eastAsia="Arial" w:hAnsi="Arial" w:cs="Arial"/>
          <w:color w:val="000000"/>
          <w:sz w:val="20"/>
          <w:szCs w:val="20"/>
        </w:rPr>
        <w:t>0</w:t>
      </w:r>
      <w:r w:rsidR="00355E8D">
        <w:rPr>
          <w:rFonts w:ascii="Arial" w:eastAsia="Arial" w:hAnsi="Arial" w:cs="Arial"/>
          <w:color w:val="000000"/>
          <w:sz w:val="20"/>
          <w:szCs w:val="20"/>
        </w:rPr>
        <w:t> </w:t>
      </w:r>
      <w:r w:rsidR="00F15B2A">
        <w:rPr>
          <w:rFonts w:ascii="Arial" w:eastAsia="Arial" w:hAnsi="Arial" w:cs="Arial"/>
          <w:color w:val="000000"/>
          <w:sz w:val="20"/>
          <w:szCs w:val="20"/>
        </w:rPr>
        <w:t>0</w:t>
      </w:r>
      <w:r w:rsidR="00355E8D">
        <w:rPr>
          <w:rFonts w:ascii="Arial" w:eastAsia="Arial" w:hAnsi="Arial" w:cs="Arial"/>
          <w:color w:val="000000"/>
          <w:sz w:val="20"/>
          <w:szCs w:val="20"/>
        </w:rPr>
        <w:t xml:space="preserve">00 </w:t>
      </w:r>
      <w:r w:rsidRPr="00B0596D">
        <w:rPr>
          <w:rFonts w:ascii="Arial" w:eastAsia="Arial" w:hAnsi="Arial" w:cs="Arial"/>
          <w:color w:val="000000"/>
          <w:sz w:val="20"/>
          <w:szCs w:val="20"/>
        </w:rPr>
        <w:t>Kč</w:t>
      </w:r>
      <w:r w:rsidRPr="007B2978">
        <w:rPr>
          <w:rFonts w:ascii="Arial" w:eastAsia="Arial" w:hAnsi="Arial" w:cs="Arial"/>
          <w:color w:val="000000"/>
          <w:sz w:val="20"/>
          <w:szCs w:val="20"/>
        </w:rPr>
        <w:t xml:space="preserve"> (slovy: </w:t>
      </w:r>
      <w:r w:rsidR="00503206">
        <w:rPr>
          <w:rFonts w:ascii="Arial" w:eastAsia="Arial" w:hAnsi="Arial" w:cs="Arial"/>
          <w:color w:val="000000"/>
          <w:sz w:val="20"/>
          <w:szCs w:val="20"/>
        </w:rPr>
        <w:t>sto</w:t>
      </w:r>
      <w:r w:rsidR="006F50AE">
        <w:rPr>
          <w:rFonts w:ascii="Arial" w:eastAsia="Arial" w:hAnsi="Arial" w:cs="Arial"/>
          <w:color w:val="000000"/>
          <w:sz w:val="20"/>
          <w:szCs w:val="20"/>
        </w:rPr>
        <w:t xml:space="preserve"> tisíc</w:t>
      </w:r>
      <w:r w:rsidR="00BE2D46" w:rsidRPr="007B2978">
        <w:rPr>
          <w:rFonts w:ascii="Arial" w:eastAsia="Arial" w:hAnsi="Arial" w:cs="Arial"/>
          <w:color w:val="000000"/>
          <w:sz w:val="20"/>
          <w:szCs w:val="20"/>
        </w:rPr>
        <w:t xml:space="preserve"> </w:t>
      </w:r>
      <w:r w:rsidRPr="007B2978">
        <w:rPr>
          <w:rFonts w:ascii="Arial" w:eastAsia="Arial" w:hAnsi="Arial" w:cs="Arial"/>
          <w:color w:val="000000"/>
          <w:sz w:val="20"/>
          <w:szCs w:val="20"/>
        </w:rPr>
        <w:t xml:space="preserve">korun českých) </w:t>
      </w:r>
      <w:r w:rsidR="00B64FA6" w:rsidRPr="007B2978">
        <w:rPr>
          <w:rFonts w:ascii="Arial" w:eastAsia="Arial" w:hAnsi="Arial" w:cs="Arial"/>
          <w:color w:val="000000"/>
          <w:sz w:val="20"/>
          <w:szCs w:val="20"/>
        </w:rPr>
        <w:t xml:space="preserve">včetně DPH </w:t>
      </w:r>
      <w:r w:rsidRPr="007B2978">
        <w:rPr>
          <w:rFonts w:ascii="Arial" w:eastAsia="Arial" w:hAnsi="Arial" w:cs="Arial"/>
          <w:color w:val="000000"/>
          <w:sz w:val="20"/>
          <w:szCs w:val="20"/>
        </w:rPr>
        <w:t>platné ke dni</w:t>
      </w:r>
      <w:r w:rsidR="00B64FA6" w:rsidRPr="007B2978">
        <w:rPr>
          <w:rFonts w:ascii="Arial" w:eastAsia="Arial" w:hAnsi="Arial" w:cs="Arial"/>
          <w:color w:val="000000"/>
          <w:sz w:val="20"/>
          <w:szCs w:val="20"/>
        </w:rPr>
        <w:t xml:space="preserve"> uskutečnění </w:t>
      </w:r>
      <w:r w:rsidR="006F50AE" w:rsidRPr="007B2978">
        <w:rPr>
          <w:rFonts w:ascii="Arial" w:eastAsia="Arial" w:hAnsi="Arial" w:cs="Arial"/>
          <w:color w:val="000000"/>
          <w:sz w:val="20"/>
          <w:szCs w:val="20"/>
        </w:rPr>
        <w:t>zdanitelného plnění</w:t>
      </w:r>
      <w:r w:rsidRPr="007B2978">
        <w:rPr>
          <w:rFonts w:ascii="Arial" w:eastAsia="Arial" w:hAnsi="Arial" w:cs="Arial"/>
          <w:color w:val="000000"/>
          <w:sz w:val="20"/>
          <w:szCs w:val="20"/>
        </w:rPr>
        <w:t>.</w:t>
      </w:r>
    </w:p>
    <w:tbl>
      <w:tblPr>
        <w:tblW w:w="9607" w:type="dxa"/>
        <w:tblLayout w:type="fixed"/>
        <w:tblCellMar>
          <w:left w:w="0" w:type="dxa"/>
          <w:right w:w="0" w:type="dxa"/>
        </w:tblCellMar>
        <w:tblLook w:val="0400" w:firstRow="0" w:lastRow="0" w:firstColumn="0" w:lastColumn="0" w:noHBand="0" w:noVBand="1"/>
      </w:tblPr>
      <w:tblGrid>
        <w:gridCol w:w="3711"/>
        <w:gridCol w:w="1212"/>
        <w:gridCol w:w="1811"/>
        <w:gridCol w:w="1574"/>
        <w:gridCol w:w="1299"/>
      </w:tblGrid>
      <w:tr w:rsidR="00CA11F7" w:rsidRPr="007B2978" w14:paraId="1F0D2C58" w14:textId="77777777" w:rsidTr="008E0CB5">
        <w:trPr>
          <w:trHeight w:val="349"/>
        </w:trPr>
        <w:tc>
          <w:tcPr>
            <w:tcW w:w="3711"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bottom"/>
          </w:tcPr>
          <w:p w14:paraId="62AD700C" w14:textId="33B8F4DF" w:rsidR="00CA11F7" w:rsidRPr="007B2978" w:rsidRDefault="00C90F12">
            <w:pPr>
              <w:rPr>
                <w:rFonts w:ascii="Arial" w:eastAsia="Arial" w:hAnsi="Arial" w:cs="Arial"/>
                <w:sz w:val="18"/>
                <w:szCs w:val="18"/>
              </w:rPr>
            </w:pPr>
            <w:r>
              <w:rPr>
                <w:rFonts w:ascii="Arial" w:eastAsia="Arial" w:hAnsi="Arial" w:cs="Arial"/>
                <w:sz w:val="18"/>
                <w:szCs w:val="18"/>
              </w:rPr>
              <w:t>KSO</w:t>
            </w:r>
          </w:p>
        </w:tc>
        <w:tc>
          <w:tcPr>
            <w:tcW w:w="1212" w:type="dxa"/>
            <w:tcBorders>
              <w:top w:val="single" w:sz="8" w:space="0" w:color="000000"/>
              <w:left w:val="nil"/>
              <w:bottom w:val="single" w:sz="8" w:space="0" w:color="000000"/>
              <w:right w:val="nil"/>
            </w:tcBorders>
            <w:tcMar>
              <w:top w:w="30" w:type="dxa"/>
              <w:left w:w="45" w:type="dxa"/>
              <w:bottom w:w="30" w:type="dxa"/>
              <w:right w:w="45" w:type="dxa"/>
            </w:tcMar>
            <w:vAlign w:val="bottom"/>
          </w:tcPr>
          <w:p w14:paraId="32B06BEE" w14:textId="77777777" w:rsidR="00CA11F7" w:rsidRPr="007B2978" w:rsidRDefault="00E750E3">
            <w:pPr>
              <w:jc w:val="right"/>
              <w:rPr>
                <w:rFonts w:ascii="Arial" w:eastAsia="Arial" w:hAnsi="Arial" w:cs="Arial"/>
                <w:sz w:val="18"/>
                <w:szCs w:val="18"/>
              </w:rPr>
            </w:pPr>
            <w:r w:rsidRPr="007B2978">
              <w:rPr>
                <w:rFonts w:ascii="Arial" w:eastAsia="Arial" w:hAnsi="Arial" w:cs="Arial"/>
                <w:sz w:val="18"/>
                <w:szCs w:val="18"/>
              </w:rPr>
              <w:t>jednotka</w:t>
            </w:r>
          </w:p>
        </w:tc>
        <w:tc>
          <w:tcPr>
            <w:tcW w:w="1811" w:type="dxa"/>
            <w:tcBorders>
              <w:top w:val="single" w:sz="8" w:space="0" w:color="000000"/>
              <w:left w:val="nil"/>
              <w:bottom w:val="single" w:sz="8" w:space="0" w:color="000000"/>
              <w:right w:val="nil"/>
            </w:tcBorders>
            <w:tcMar>
              <w:top w:w="30" w:type="dxa"/>
              <w:left w:w="45" w:type="dxa"/>
              <w:bottom w:w="30" w:type="dxa"/>
              <w:right w:w="45" w:type="dxa"/>
            </w:tcMar>
            <w:vAlign w:val="bottom"/>
          </w:tcPr>
          <w:p w14:paraId="35294EB2" w14:textId="77777777" w:rsidR="00CA11F7" w:rsidRPr="007B2978" w:rsidRDefault="00E750E3">
            <w:pPr>
              <w:jc w:val="right"/>
              <w:rPr>
                <w:rFonts w:ascii="Arial" w:eastAsia="Arial" w:hAnsi="Arial" w:cs="Arial"/>
                <w:sz w:val="18"/>
                <w:szCs w:val="18"/>
              </w:rPr>
            </w:pPr>
            <w:r w:rsidRPr="007B2978">
              <w:rPr>
                <w:rFonts w:ascii="Arial" w:eastAsia="Arial" w:hAnsi="Arial" w:cs="Arial"/>
                <w:sz w:val="18"/>
                <w:szCs w:val="18"/>
              </w:rPr>
              <w:t>cena za jednotku</w:t>
            </w:r>
          </w:p>
        </w:tc>
        <w:tc>
          <w:tcPr>
            <w:tcW w:w="1574" w:type="dxa"/>
            <w:tcBorders>
              <w:top w:val="single" w:sz="8" w:space="0" w:color="000000"/>
              <w:left w:val="nil"/>
              <w:bottom w:val="single" w:sz="8" w:space="0" w:color="000000"/>
              <w:right w:val="nil"/>
            </w:tcBorders>
            <w:tcMar>
              <w:top w:w="30" w:type="dxa"/>
              <w:left w:w="45" w:type="dxa"/>
              <w:bottom w:w="30" w:type="dxa"/>
              <w:right w:w="45" w:type="dxa"/>
            </w:tcMar>
            <w:vAlign w:val="bottom"/>
          </w:tcPr>
          <w:p w14:paraId="0CBCD636" w14:textId="77777777" w:rsidR="00CA11F7" w:rsidRPr="007B2978" w:rsidRDefault="00E750E3">
            <w:pPr>
              <w:jc w:val="right"/>
              <w:rPr>
                <w:rFonts w:ascii="Arial" w:eastAsia="Arial" w:hAnsi="Arial" w:cs="Arial"/>
                <w:sz w:val="18"/>
                <w:szCs w:val="18"/>
              </w:rPr>
            </w:pPr>
            <w:r w:rsidRPr="007B2978">
              <w:rPr>
                <w:rFonts w:ascii="Arial" w:eastAsia="Arial" w:hAnsi="Arial" w:cs="Arial"/>
                <w:sz w:val="18"/>
                <w:szCs w:val="18"/>
              </w:rPr>
              <w:t>počet jednotek</w:t>
            </w:r>
          </w:p>
        </w:tc>
        <w:tc>
          <w:tcPr>
            <w:tcW w:w="1299" w:type="dxa"/>
            <w:tcBorders>
              <w:top w:val="single" w:sz="8" w:space="0" w:color="000000"/>
              <w:left w:val="nil"/>
              <w:bottom w:val="single" w:sz="8" w:space="0" w:color="000000"/>
              <w:right w:val="single" w:sz="8" w:space="0" w:color="000000"/>
            </w:tcBorders>
            <w:tcMar>
              <w:top w:w="30" w:type="dxa"/>
              <w:left w:w="45" w:type="dxa"/>
              <w:bottom w:w="30" w:type="dxa"/>
              <w:right w:w="45" w:type="dxa"/>
            </w:tcMar>
            <w:vAlign w:val="bottom"/>
          </w:tcPr>
          <w:p w14:paraId="43729D66" w14:textId="77777777" w:rsidR="00CA11F7" w:rsidRPr="007B2978" w:rsidRDefault="00E750E3">
            <w:pPr>
              <w:jc w:val="right"/>
              <w:rPr>
                <w:rFonts w:ascii="Arial" w:eastAsia="Arial" w:hAnsi="Arial" w:cs="Arial"/>
                <w:sz w:val="18"/>
                <w:szCs w:val="18"/>
              </w:rPr>
            </w:pPr>
            <w:r w:rsidRPr="007B2978">
              <w:rPr>
                <w:rFonts w:ascii="Arial" w:eastAsia="Arial" w:hAnsi="Arial" w:cs="Arial"/>
                <w:sz w:val="18"/>
                <w:szCs w:val="18"/>
              </w:rPr>
              <w:t>celkem</w:t>
            </w:r>
          </w:p>
        </w:tc>
      </w:tr>
      <w:tr w:rsidR="00CA11F7" w:rsidRPr="007B2978" w14:paraId="143BE28A" w14:textId="77777777" w:rsidTr="008E0CB5">
        <w:trPr>
          <w:trHeight w:val="349"/>
        </w:trPr>
        <w:tc>
          <w:tcPr>
            <w:tcW w:w="3711" w:type="dxa"/>
            <w:tcBorders>
              <w:top w:val="nil"/>
              <w:left w:val="single" w:sz="8" w:space="0" w:color="000000"/>
              <w:bottom w:val="nil"/>
              <w:right w:val="nil"/>
            </w:tcBorders>
            <w:tcMar>
              <w:top w:w="30" w:type="dxa"/>
              <w:left w:w="45" w:type="dxa"/>
              <w:bottom w:w="30" w:type="dxa"/>
              <w:right w:w="45" w:type="dxa"/>
            </w:tcMar>
            <w:vAlign w:val="bottom"/>
          </w:tcPr>
          <w:p w14:paraId="576B0116" w14:textId="155E0388" w:rsidR="00CA11F7" w:rsidRPr="007B2978" w:rsidRDefault="00F15B2A">
            <w:pPr>
              <w:rPr>
                <w:rFonts w:ascii="Arial" w:eastAsia="Arial" w:hAnsi="Arial" w:cs="Arial"/>
                <w:sz w:val="18"/>
                <w:szCs w:val="18"/>
              </w:rPr>
            </w:pPr>
            <w:r>
              <w:rPr>
                <w:rFonts w:ascii="Arial" w:eastAsia="Arial" w:hAnsi="Arial" w:cs="Arial"/>
                <w:sz w:val="18"/>
                <w:szCs w:val="18"/>
              </w:rPr>
              <w:t xml:space="preserve">Propagace </w:t>
            </w:r>
            <w:r w:rsidR="004B3058">
              <w:rPr>
                <w:rFonts w:ascii="Arial" w:eastAsia="Arial" w:hAnsi="Arial" w:cs="Arial"/>
                <w:sz w:val="18"/>
                <w:szCs w:val="18"/>
              </w:rPr>
              <w:t>CL</w:t>
            </w:r>
          </w:p>
        </w:tc>
        <w:tc>
          <w:tcPr>
            <w:tcW w:w="1212" w:type="dxa"/>
            <w:tcMar>
              <w:top w:w="30" w:type="dxa"/>
              <w:left w:w="45" w:type="dxa"/>
              <w:bottom w:w="30" w:type="dxa"/>
              <w:right w:w="45" w:type="dxa"/>
            </w:tcMar>
            <w:vAlign w:val="bottom"/>
          </w:tcPr>
          <w:p w14:paraId="3F159005" w14:textId="230AF1C5" w:rsidR="00CA11F7" w:rsidRPr="007B2978" w:rsidRDefault="00F15B2A">
            <w:pPr>
              <w:jc w:val="right"/>
              <w:rPr>
                <w:rFonts w:ascii="Arial" w:eastAsia="Arial" w:hAnsi="Arial" w:cs="Arial"/>
                <w:sz w:val="18"/>
                <w:szCs w:val="18"/>
              </w:rPr>
            </w:pPr>
            <w:r>
              <w:rPr>
                <w:rFonts w:ascii="Arial" w:eastAsia="Arial" w:hAnsi="Arial" w:cs="Arial"/>
                <w:sz w:val="18"/>
                <w:szCs w:val="18"/>
              </w:rPr>
              <w:t>propagace</w:t>
            </w:r>
          </w:p>
        </w:tc>
        <w:tc>
          <w:tcPr>
            <w:tcW w:w="1811" w:type="dxa"/>
            <w:tcMar>
              <w:top w:w="30" w:type="dxa"/>
              <w:left w:w="45" w:type="dxa"/>
              <w:bottom w:w="30" w:type="dxa"/>
              <w:right w:w="45" w:type="dxa"/>
            </w:tcMar>
            <w:vAlign w:val="bottom"/>
          </w:tcPr>
          <w:p w14:paraId="3942E04A" w14:textId="4FAB1ABB" w:rsidR="00CA11F7" w:rsidRPr="007B2978" w:rsidRDefault="00503206">
            <w:pPr>
              <w:jc w:val="right"/>
              <w:rPr>
                <w:rFonts w:ascii="Arial" w:eastAsia="Arial" w:hAnsi="Arial" w:cs="Arial"/>
                <w:sz w:val="18"/>
                <w:szCs w:val="18"/>
              </w:rPr>
            </w:pPr>
            <w:r>
              <w:rPr>
                <w:rFonts w:ascii="Arial" w:eastAsia="Arial" w:hAnsi="Arial" w:cs="Arial"/>
                <w:sz w:val="18"/>
                <w:szCs w:val="18"/>
              </w:rPr>
              <w:t>1</w:t>
            </w:r>
            <w:r w:rsidR="00072C35">
              <w:rPr>
                <w:rFonts w:ascii="Arial" w:eastAsia="Arial" w:hAnsi="Arial" w:cs="Arial"/>
                <w:sz w:val="18"/>
                <w:szCs w:val="18"/>
              </w:rPr>
              <w:t>0</w:t>
            </w:r>
            <w:r>
              <w:rPr>
                <w:rFonts w:ascii="Arial" w:eastAsia="Arial" w:hAnsi="Arial" w:cs="Arial"/>
                <w:sz w:val="18"/>
                <w:szCs w:val="18"/>
              </w:rPr>
              <w:t>0</w:t>
            </w:r>
            <w:r w:rsidR="00F15B2A">
              <w:rPr>
                <w:rFonts w:ascii="Arial" w:eastAsia="Arial" w:hAnsi="Arial" w:cs="Arial"/>
                <w:sz w:val="18"/>
                <w:szCs w:val="18"/>
              </w:rPr>
              <w:t xml:space="preserve"> 000</w:t>
            </w:r>
            <w:r w:rsidR="00E12E89" w:rsidRPr="007B2978">
              <w:rPr>
                <w:rFonts w:ascii="Arial" w:eastAsia="Arial" w:hAnsi="Arial" w:cs="Arial"/>
                <w:sz w:val="18"/>
                <w:szCs w:val="18"/>
              </w:rPr>
              <w:t xml:space="preserve"> Kč</w:t>
            </w:r>
          </w:p>
        </w:tc>
        <w:tc>
          <w:tcPr>
            <w:tcW w:w="1574" w:type="dxa"/>
            <w:tcMar>
              <w:top w:w="30" w:type="dxa"/>
              <w:left w:w="45" w:type="dxa"/>
              <w:bottom w:w="30" w:type="dxa"/>
              <w:right w:w="45" w:type="dxa"/>
            </w:tcMar>
            <w:vAlign w:val="bottom"/>
          </w:tcPr>
          <w:p w14:paraId="55A353DE" w14:textId="13BCD581" w:rsidR="00CA11F7" w:rsidRPr="007B2978" w:rsidRDefault="00F15B2A">
            <w:pPr>
              <w:jc w:val="right"/>
              <w:rPr>
                <w:rFonts w:ascii="Arial" w:eastAsia="Arial" w:hAnsi="Arial" w:cs="Arial"/>
                <w:sz w:val="18"/>
                <w:szCs w:val="18"/>
              </w:rPr>
            </w:pPr>
            <w:r>
              <w:rPr>
                <w:rFonts w:ascii="Arial" w:eastAsia="Arial" w:hAnsi="Arial" w:cs="Arial"/>
                <w:sz w:val="18"/>
                <w:szCs w:val="18"/>
              </w:rPr>
              <w:t>1</w:t>
            </w:r>
          </w:p>
        </w:tc>
        <w:tc>
          <w:tcPr>
            <w:tcW w:w="1299" w:type="dxa"/>
            <w:tcBorders>
              <w:top w:val="nil"/>
              <w:left w:val="nil"/>
              <w:bottom w:val="nil"/>
              <w:right w:val="single" w:sz="8" w:space="0" w:color="000000"/>
            </w:tcBorders>
            <w:tcMar>
              <w:top w:w="30" w:type="dxa"/>
              <w:left w:w="45" w:type="dxa"/>
              <w:bottom w:w="30" w:type="dxa"/>
              <w:right w:w="45" w:type="dxa"/>
            </w:tcMar>
            <w:vAlign w:val="bottom"/>
          </w:tcPr>
          <w:p w14:paraId="75D55572" w14:textId="52F9C452" w:rsidR="00CA11F7" w:rsidRPr="007B2978" w:rsidRDefault="00503206">
            <w:pPr>
              <w:jc w:val="right"/>
              <w:rPr>
                <w:rFonts w:ascii="Arial" w:eastAsia="Arial" w:hAnsi="Arial" w:cs="Arial"/>
                <w:sz w:val="18"/>
                <w:szCs w:val="18"/>
              </w:rPr>
            </w:pPr>
            <w:r>
              <w:rPr>
                <w:rFonts w:ascii="Arial" w:eastAsia="Arial" w:hAnsi="Arial" w:cs="Arial"/>
                <w:sz w:val="18"/>
                <w:szCs w:val="18"/>
              </w:rPr>
              <w:t>1</w:t>
            </w:r>
            <w:r w:rsidR="00072C35">
              <w:rPr>
                <w:rFonts w:ascii="Arial" w:eastAsia="Arial" w:hAnsi="Arial" w:cs="Arial"/>
                <w:sz w:val="18"/>
                <w:szCs w:val="18"/>
              </w:rPr>
              <w:t>0</w:t>
            </w:r>
            <w:r w:rsidR="00C90F12">
              <w:rPr>
                <w:rFonts w:ascii="Arial" w:eastAsia="Arial" w:hAnsi="Arial" w:cs="Arial"/>
                <w:sz w:val="18"/>
                <w:szCs w:val="18"/>
              </w:rPr>
              <w:t>0</w:t>
            </w:r>
            <w:r w:rsidR="006A1143" w:rsidRPr="007B2978">
              <w:rPr>
                <w:rFonts w:ascii="Arial" w:eastAsia="Arial" w:hAnsi="Arial" w:cs="Arial"/>
                <w:sz w:val="18"/>
                <w:szCs w:val="18"/>
              </w:rPr>
              <w:t xml:space="preserve"> </w:t>
            </w:r>
            <w:r w:rsidR="00F15B2A">
              <w:rPr>
                <w:rFonts w:ascii="Arial" w:eastAsia="Arial" w:hAnsi="Arial" w:cs="Arial"/>
                <w:sz w:val="18"/>
                <w:szCs w:val="18"/>
              </w:rPr>
              <w:t>0</w:t>
            </w:r>
            <w:r w:rsidR="00C63E17" w:rsidRPr="007B2978">
              <w:rPr>
                <w:rFonts w:ascii="Arial" w:eastAsia="Arial" w:hAnsi="Arial" w:cs="Arial"/>
                <w:sz w:val="18"/>
                <w:szCs w:val="18"/>
              </w:rPr>
              <w:t>00</w:t>
            </w:r>
            <w:r w:rsidR="00994740" w:rsidRPr="007B2978">
              <w:rPr>
                <w:rFonts w:ascii="Arial" w:eastAsia="Arial" w:hAnsi="Arial" w:cs="Arial"/>
                <w:sz w:val="18"/>
                <w:szCs w:val="18"/>
              </w:rPr>
              <w:t xml:space="preserve"> Kč</w:t>
            </w:r>
          </w:p>
        </w:tc>
      </w:tr>
      <w:tr w:rsidR="00CA11F7" w:rsidRPr="007B2978" w14:paraId="6395A4A5" w14:textId="77777777" w:rsidTr="008E0CB5">
        <w:trPr>
          <w:trHeight w:val="349"/>
        </w:trPr>
        <w:tc>
          <w:tcPr>
            <w:tcW w:w="3711" w:type="dxa"/>
            <w:tcBorders>
              <w:top w:val="nil"/>
              <w:left w:val="single" w:sz="8" w:space="0" w:color="000000"/>
              <w:bottom w:val="single" w:sz="8" w:space="0" w:color="000000"/>
              <w:right w:val="nil"/>
            </w:tcBorders>
            <w:tcMar>
              <w:top w:w="30" w:type="dxa"/>
              <w:left w:w="45" w:type="dxa"/>
              <w:bottom w:w="30" w:type="dxa"/>
              <w:right w:w="45" w:type="dxa"/>
            </w:tcMar>
            <w:vAlign w:val="bottom"/>
          </w:tcPr>
          <w:p w14:paraId="083DED0C" w14:textId="3D22B510" w:rsidR="00334922" w:rsidRDefault="00F227D3">
            <w:pPr>
              <w:rPr>
                <w:rFonts w:ascii="Arial" w:eastAsia="Arial" w:hAnsi="Arial" w:cs="Arial"/>
                <w:sz w:val="18"/>
                <w:szCs w:val="18"/>
              </w:rPr>
            </w:pPr>
            <w:r>
              <w:rPr>
                <w:rFonts w:ascii="Arial" w:eastAsia="Arial" w:hAnsi="Arial" w:cs="Arial"/>
                <w:sz w:val="18"/>
                <w:szCs w:val="18"/>
              </w:rPr>
              <w:t>Reklamní plnění:</w:t>
            </w:r>
          </w:p>
          <w:p w14:paraId="560F274E" w14:textId="059DCEB9" w:rsidR="00334922" w:rsidRPr="00B42CA8" w:rsidRDefault="00417020" w:rsidP="006209F1">
            <w:pPr>
              <w:pStyle w:val="Odstavecseseznamem"/>
              <w:numPr>
                <w:ilvl w:val="0"/>
                <w:numId w:val="15"/>
              </w:numPr>
              <w:rPr>
                <w:rFonts w:ascii="Arial" w:eastAsia="Arial" w:hAnsi="Arial" w:cs="Arial"/>
                <w:sz w:val="18"/>
                <w:szCs w:val="18"/>
              </w:rPr>
            </w:pPr>
            <w:r w:rsidRPr="00680ED2">
              <w:rPr>
                <w:rFonts w:ascii="Arial" w:eastAsia="Arial" w:hAnsi="Arial" w:cs="Arial"/>
                <w:sz w:val="20"/>
                <w:szCs w:val="20"/>
              </w:rPr>
              <w:t>Generální partner</w:t>
            </w:r>
            <w:r w:rsidR="00CE49CB">
              <w:rPr>
                <w:rFonts w:ascii="Arial" w:eastAsia="Arial" w:hAnsi="Arial" w:cs="Arial"/>
                <w:sz w:val="20"/>
                <w:szCs w:val="20"/>
              </w:rPr>
              <w:t xml:space="preserve"> Zahajovacího koncertu 189. koncertní sezony 12. 10. 2023</w:t>
            </w:r>
          </w:p>
          <w:p w14:paraId="5168E0B9" w14:textId="2351BBDB" w:rsidR="00B42CA8" w:rsidRPr="00B42CA8" w:rsidRDefault="00001709" w:rsidP="006209F1">
            <w:pPr>
              <w:pStyle w:val="Odstavecseseznamem"/>
              <w:numPr>
                <w:ilvl w:val="0"/>
                <w:numId w:val="15"/>
              </w:numPr>
              <w:rPr>
                <w:rFonts w:ascii="Arial" w:eastAsia="Arial" w:hAnsi="Arial" w:cs="Arial"/>
                <w:sz w:val="18"/>
                <w:szCs w:val="18"/>
              </w:rPr>
            </w:pPr>
            <w:r>
              <w:rPr>
                <w:rFonts w:ascii="Arial" w:eastAsia="Arial" w:hAnsi="Arial" w:cs="Arial"/>
                <w:sz w:val="20"/>
                <w:szCs w:val="20"/>
              </w:rPr>
              <w:t>na</w:t>
            </w:r>
            <w:r w:rsidR="00B42CA8">
              <w:rPr>
                <w:rFonts w:ascii="Arial" w:eastAsia="Arial" w:hAnsi="Arial" w:cs="Arial"/>
                <w:sz w:val="20"/>
                <w:szCs w:val="20"/>
              </w:rPr>
              <w:t xml:space="preserve"> webových stránkách KSO</w:t>
            </w:r>
          </w:p>
          <w:p w14:paraId="28117795" w14:textId="546AC51D" w:rsidR="00B42CA8" w:rsidRPr="00680ED2" w:rsidRDefault="00001709" w:rsidP="006209F1">
            <w:pPr>
              <w:pStyle w:val="Odstavecseseznamem"/>
              <w:numPr>
                <w:ilvl w:val="0"/>
                <w:numId w:val="15"/>
              </w:numPr>
              <w:rPr>
                <w:rFonts w:ascii="Arial" w:eastAsia="Arial" w:hAnsi="Arial" w:cs="Arial"/>
                <w:sz w:val="18"/>
                <w:szCs w:val="18"/>
              </w:rPr>
            </w:pPr>
            <w:r>
              <w:rPr>
                <w:rFonts w:ascii="Arial" w:eastAsia="Arial" w:hAnsi="Arial" w:cs="Arial"/>
                <w:sz w:val="20"/>
                <w:szCs w:val="20"/>
              </w:rPr>
              <w:t>v tiskové zprávě</w:t>
            </w:r>
          </w:p>
          <w:p w14:paraId="732A2582" w14:textId="77777777" w:rsidR="00334922" w:rsidRDefault="00334922">
            <w:pPr>
              <w:rPr>
                <w:rFonts w:ascii="Arial" w:eastAsia="Arial" w:hAnsi="Arial" w:cs="Arial"/>
                <w:sz w:val="18"/>
                <w:szCs w:val="18"/>
              </w:rPr>
            </w:pPr>
          </w:p>
          <w:p w14:paraId="17588181" w14:textId="1E63BBD9" w:rsidR="00CA11F7" w:rsidRPr="007B2978" w:rsidRDefault="0053334B">
            <w:pPr>
              <w:rPr>
                <w:rFonts w:ascii="Arial" w:eastAsia="Arial" w:hAnsi="Arial" w:cs="Arial"/>
                <w:sz w:val="18"/>
                <w:szCs w:val="18"/>
              </w:rPr>
            </w:pPr>
            <w:r w:rsidRPr="007B2978">
              <w:rPr>
                <w:rFonts w:ascii="Arial" w:eastAsia="Arial" w:hAnsi="Arial" w:cs="Arial"/>
                <w:sz w:val="18"/>
                <w:szCs w:val="18"/>
              </w:rPr>
              <w:t>Cena celkem</w:t>
            </w:r>
            <w:r w:rsidR="00265F63" w:rsidRPr="007B2978">
              <w:rPr>
                <w:rFonts w:ascii="Arial" w:eastAsia="Arial" w:hAnsi="Arial" w:cs="Arial"/>
                <w:sz w:val="18"/>
                <w:szCs w:val="18"/>
              </w:rPr>
              <w:t xml:space="preserve"> </w:t>
            </w:r>
          </w:p>
        </w:tc>
        <w:tc>
          <w:tcPr>
            <w:tcW w:w="1212" w:type="dxa"/>
            <w:tcBorders>
              <w:top w:val="nil"/>
              <w:left w:val="nil"/>
              <w:bottom w:val="single" w:sz="8" w:space="0" w:color="000000"/>
              <w:right w:val="nil"/>
            </w:tcBorders>
            <w:tcMar>
              <w:top w:w="30" w:type="dxa"/>
              <w:left w:w="45" w:type="dxa"/>
              <w:bottom w:w="30" w:type="dxa"/>
              <w:right w:w="45" w:type="dxa"/>
            </w:tcMar>
            <w:vAlign w:val="bottom"/>
          </w:tcPr>
          <w:p w14:paraId="396CEFAE" w14:textId="77777777" w:rsidR="00CA11F7" w:rsidRPr="007B2978" w:rsidRDefault="00CA11F7">
            <w:pPr>
              <w:rPr>
                <w:rFonts w:ascii="Arial" w:eastAsia="Arial" w:hAnsi="Arial" w:cs="Arial"/>
                <w:sz w:val="18"/>
                <w:szCs w:val="18"/>
              </w:rPr>
            </w:pPr>
          </w:p>
        </w:tc>
        <w:tc>
          <w:tcPr>
            <w:tcW w:w="1811" w:type="dxa"/>
            <w:tcBorders>
              <w:top w:val="nil"/>
              <w:left w:val="nil"/>
              <w:bottom w:val="single" w:sz="8" w:space="0" w:color="000000"/>
              <w:right w:val="nil"/>
            </w:tcBorders>
            <w:tcMar>
              <w:top w:w="30" w:type="dxa"/>
              <w:left w:w="45" w:type="dxa"/>
              <w:bottom w:w="30" w:type="dxa"/>
              <w:right w:w="45" w:type="dxa"/>
            </w:tcMar>
            <w:vAlign w:val="bottom"/>
          </w:tcPr>
          <w:p w14:paraId="2333BA6F" w14:textId="77777777" w:rsidR="00CA11F7" w:rsidRPr="007B2978" w:rsidRDefault="00CA11F7">
            <w:pPr>
              <w:rPr>
                <w:sz w:val="20"/>
                <w:szCs w:val="20"/>
              </w:rPr>
            </w:pPr>
          </w:p>
        </w:tc>
        <w:tc>
          <w:tcPr>
            <w:tcW w:w="1574" w:type="dxa"/>
            <w:tcBorders>
              <w:top w:val="nil"/>
              <w:left w:val="nil"/>
              <w:bottom w:val="single" w:sz="8" w:space="0" w:color="000000"/>
              <w:right w:val="nil"/>
            </w:tcBorders>
            <w:tcMar>
              <w:top w:w="30" w:type="dxa"/>
              <w:left w:w="45" w:type="dxa"/>
              <w:bottom w:w="30" w:type="dxa"/>
              <w:right w:w="45" w:type="dxa"/>
            </w:tcMar>
            <w:vAlign w:val="bottom"/>
          </w:tcPr>
          <w:p w14:paraId="1283EE19" w14:textId="77777777" w:rsidR="00CA11F7" w:rsidRPr="007B2978" w:rsidRDefault="00CA11F7">
            <w:pPr>
              <w:rPr>
                <w:sz w:val="20"/>
                <w:szCs w:val="20"/>
              </w:rPr>
            </w:pPr>
          </w:p>
        </w:tc>
        <w:tc>
          <w:tcPr>
            <w:tcW w:w="1299" w:type="dxa"/>
            <w:tcBorders>
              <w:top w:val="nil"/>
              <w:left w:val="nil"/>
              <w:bottom w:val="single" w:sz="8" w:space="0" w:color="000000"/>
              <w:right w:val="single" w:sz="8" w:space="0" w:color="000000"/>
            </w:tcBorders>
            <w:tcMar>
              <w:top w:w="30" w:type="dxa"/>
              <w:left w:w="45" w:type="dxa"/>
              <w:bottom w:w="30" w:type="dxa"/>
              <w:right w:w="45" w:type="dxa"/>
            </w:tcMar>
            <w:vAlign w:val="bottom"/>
          </w:tcPr>
          <w:p w14:paraId="6A51EA47" w14:textId="77670039" w:rsidR="00CA11F7" w:rsidRPr="007B2978" w:rsidRDefault="00503206">
            <w:pPr>
              <w:jc w:val="right"/>
              <w:rPr>
                <w:rFonts w:ascii="Arial" w:eastAsia="Arial" w:hAnsi="Arial" w:cs="Arial"/>
                <w:b/>
                <w:sz w:val="18"/>
                <w:szCs w:val="18"/>
              </w:rPr>
            </w:pPr>
            <w:r>
              <w:rPr>
                <w:rFonts w:ascii="Arial" w:eastAsia="Arial" w:hAnsi="Arial" w:cs="Arial"/>
                <w:b/>
                <w:sz w:val="18"/>
                <w:szCs w:val="18"/>
              </w:rPr>
              <w:t>1</w:t>
            </w:r>
            <w:r w:rsidR="00072C35">
              <w:rPr>
                <w:rFonts w:ascii="Arial" w:eastAsia="Arial" w:hAnsi="Arial" w:cs="Arial"/>
                <w:b/>
                <w:sz w:val="18"/>
                <w:szCs w:val="18"/>
              </w:rPr>
              <w:t>0</w:t>
            </w:r>
            <w:r w:rsidR="00C90F12">
              <w:rPr>
                <w:rFonts w:ascii="Arial" w:eastAsia="Arial" w:hAnsi="Arial" w:cs="Arial"/>
                <w:b/>
                <w:sz w:val="18"/>
                <w:szCs w:val="18"/>
              </w:rPr>
              <w:t>0</w:t>
            </w:r>
            <w:r w:rsidR="006A1143" w:rsidRPr="007B2978">
              <w:rPr>
                <w:rFonts w:ascii="Arial" w:eastAsia="Arial" w:hAnsi="Arial" w:cs="Arial"/>
                <w:b/>
                <w:sz w:val="18"/>
                <w:szCs w:val="18"/>
              </w:rPr>
              <w:t xml:space="preserve"> </w:t>
            </w:r>
            <w:r w:rsidR="00E972FF">
              <w:rPr>
                <w:rFonts w:ascii="Arial" w:eastAsia="Arial" w:hAnsi="Arial" w:cs="Arial"/>
                <w:b/>
                <w:sz w:val="18"/>
                <w:szCs w:val="18"/>
              </w:rPr>
              <w:t>0</w:t>
            </w:r>
            <w:r w:rsidR="00C63E17" w:rsidRPr="007B2978">
              <w:rPr>
                <w:rFonts w:ascii="Arial" w:eastAsia="Arial" w:hAnsi="Arial" w:cs="Arial"/>
                <w:b/>
                <w:sz w:val="18"/>
                <w:szCs w:val="18"/>
              </w:rPr>
              <w:t>00</w:t>
            </w:r>
            <w:r w:rsidR="009720B5" w:rsidRPr="007B2978">
              <w:rPr>
                <w:rFonts w:ascii="Arial" w:eastAsia="Arial" w:hAnsi="Arial" w:cs="Arial"/>
                <w:b/>
                <w:sz w:val="18"/>
                <w:szCs w:val="18"/>
              </w:rPr>
              <w:t xml:space="preserve"> Kč</w:t>
            </w:r>
          </w:p>
        </w:tc>
      </w:tr>
    </w:tbl>
    <w:p w14:paraId="7EDA3BA2" w14:textId="77777777" w:rsidR="00CA11F7" w:rsidRPr="007B2978" w:rsidRDefault="00CA11F7">
      <w:pPr>
        <w:keepLines/>
        <w:pBdr>
          <w:top w:val="nil"/>
          <w:left w:val="nil"/>
          <w:bottom w:val="nil"/>
          <w:right w:val="nil"/>
          <w:between w:val="nil"/>
        </w:pBdr>
        <w:spacing w:line="276" w:lineRule="auto"/>
        <w:ind w:left="360" w:hanging="360"/>
        <w:jc w:val="both"/>
        <w:rPr>
          <w:rFonts w:ascii="Arial" w:eastAsia="Arial" w:hAnsi="Arial" w:cs="Arial"/>
          <w:color w:val="000000"/>
          <w:sz w:val="20"/>
          <w:szCs w:val="20"/>
        </w:rPr>
      </w:pPr>
    </w:p>
    <w:p w14:paraId="152EB30F" w14:textId="481A06A9" w:rsidR="00CA11F7" w:rsidRPr="007B2978" w:rsidRDefault="00E750E3">
      <w:pPr>
        <w:keepLines/>
        <w:numPr>
          <w:ilvl w:val="0"/>
          <w:numId w:val="5"/>
        </w:numPr>
        <w:pBdr>
          <w:top w:val="nil"/>
          <w:left w:val="nil"/>
          <w:bottom w:val="nil"/>
          <w:right w:val="nil"/>
          <w:between w:val="nil"/>
        </w:pBdr>
        <w:spacing w:before="120" w:line="276" w:lineRule="auto"/>
        <w:jc w:val="both"/>
      </w:pPr>
      <w:r w:rsidRPr="007B2978">
        <w:rPr>
          <w:rFonts w:ascii="Arial" w:eastAsia="Arial" w:hAnsi="Arial" w:cs="Arial"/>
          <w:color w:val="000000"/>
          <w:sz w:val="20"/>
          <w:szCs w:val="20"/>
        </w:rPr>
        <w:t xml:space="preserve">Každá smluvní strana vystaví na poskytnuté plnění fakturu/daňový doklad, a to v zákonné lhůtě od data uskutečnění zdanitelného plnění (dále DUZP). DUZP bude poslední den poskytování plnění. Řádným vystavením daňového dokladu se rozumí vystavení faktury/daňového dokladu, jež má veškeré náležitosti daňového a účetního dokladu požadované zákonem č. 235/2004 Sb., o dani z přidané hodnoty, ve znění pozdějších předpisů (dále jen „ZDPH“) a zákonem č. 563/1991 Sb., o účetnictví, ve znění pozdějších předpisů. </w:t>
      </w:r>
      <w:r w:rsidRPr="007B2978">
        <w:rPr>
          <w:rFonts w:ascii="Arial" w:eastAsia="Arial" w:hAnsi="Arial" w:cs="Arial"/>
          <w:b/>
          <w:color w:val="000000"/>
          <w:sz w:val="20"/>
          <w:szCs w:val="20"/>
        </w:rPr>
        <w:t>Na faktuře/daňovém dokladu musí být uvedeno „neplatit-</w:t>
      </w:r>
      <w:r w:rsidR="00E8385C">
        <w:rPr>
          <w:rFonts w:ascii="Arial" w:eastAsia="Arial" w:hAnsi="Arial" w:cs="Arial"/>
          <w:b/>
          <w:color w:val="000000"/>
          <w:sz w:val="20"/>
          <w:szCs w:val="20"/>
        </w:rPr>
        <w:t>zápočet</w:t>
      </w:r>
      <w:r w:rsidRPr="007B2978">
        <w:rPr>
          <w:rFonts w:ascii="Arial" w:eastAsia="Arial" w:hAnsi="Arial" w:cs="Arial"/>
          <w:b/>
          <w:color w:val="000000"/>
          <w:sz w:val="20"/>
          <w:szCs w:val="20"/>
        </w:rPr>
        <w:t>“.</w:t>
      </w:r>
      <w:bookmarkStart w:id="3" w:name="bookmark=id.1fob9te" w:colFirst="0" w:colLast="0"/>
      <w:bookmarkEnd w:id="3"/>
    </w:p>
    <w:p w14:paraId="3B980E02" w14:textId="77777777" w:rsidR="00CA11F7" w:rsidRPr="007B2978" w:rsidRDefault="00E750E3">
      <w:pPr>
        <w:keepLines/>
        <w:numPr>
          <w:ilvl w:val="0"/>
          <w:numId w:val="5"/>
        </w:numPr>
        <w:pBdr>
          <w:top w:val="nil"/>
          <w:left w:val="nil"/>
          <w:bottom w:val="nil"/>
          <w:right w:val="nil"/>
          <w:between w:val="nil"/>
        </w:pBdr>
        <w:spacing w:before="120" w:line="276" w:lineRule="auto"/>
        <w:jc w:val="both"/>
      </w:pPr>
      <w:r w:rsidRPr="007B2978">
        <w:rPr>
          <w:rFonts w:ascii="Arial" w:eastAsia="Arial" w:hAnsi="Arial" w:cs="Arial"/>
          <w:color w:val="000000"/>
          <w:sz w:val="20"/>
          <w:szCs w:val="20"/>
        </w:rPr>
        <w:t>Protože si smluvní strany poskytují vzájemné plnění, budou pohledávky z titulu poskytnutého plnění uhrazeny zápočtem na hodnotu plnění poskytnutého druhou smluvní stranou. Pokud vzájemně poskytované plnění není oceněno stejnou částkou, zavazuje se smluvní strana, jejíž plnění bude oceněno nižší částkou, uhradit druhé smluvní straně rozdíl v ceně vzájemně poskytnutých plnění do 30 dnů ode dne doručení faktury/daňového dokladu bezhotovostním převodem ve prospěch běžného účtu uvedeného na faktuře.</w:t>
      </w:r>
    </w:p>
    <w:p w14:paraId="03005271" w14:textId="02F78A3B" w:rsidR="00CA11F7" w:rsidRPr="007B2978" w:rsidRDefault="00E750E3">
      <w:pPr>
        <w:keepLines/>
        <w:numPr>
          <w:ilvl w:val="0"/>
          <w:numId w:val="5"/>
        </w:numPr>
        <w:pBdr>
          <w:top w:val="nil"/>
          <w:left w:val="nil"/>
          <w:bottom w:val="nil"/>
          <w:right w:val="nil"/>
          <w:between w:val="nil"/>
        </w:pBdr>
        <w:spacing w:before="120" w:line="276" w:lineRule="auto"/>
        <w:jc w:val="both"/>
      </w:pPr>
      <w:r w:rsidRPr="007B2978">
        <w:rPr>
          <w:rFonts w:ascii="Arial" w:eastAsia="Arial" w:hAnsi="Arial" w:cs="Arial"/>
          <w:color w:val="000000"/>
          <w:sz w:val="20"/>
          <w:szCs w:val="20"/>
        </w:rPr>
        <w:t xml:space="preserve">Pokud nebude mít faktura sjednané náležitosti, nebo pokud fakturovaná částka  nebude odpovídat cenovým ujednáním dle této Smlouvy nebo bude neúplná nebo nesprávná, je </w:t>
      </w:r>
      <w:r w:rsidR="00565F67">
        <w:rPr>
          <w:rFonts w:ascii="Arial" w:eastAsia="Arial" w:hAnsi="Arial" w:cs="Arial"/>
          <w:color w:val="000000"/>
          <w:sz w:val="20"/>
          <w:szCs w:val="20"/>
        </w:rPr>
        <w:t>kterýkoli z partnerů</w:t>
      </w:r>
      <w:r w:rsidRPr="007B2978">
        <w:rPr>
          <w:rFonts w:ascii="Arial" w:eastAsia="Arial" w:hAnsi="Arial" w:cs="Arial"/>
          <w:color w:val="000000"/>
          <w:sz w:val="20"/>
          <w:szCs w:val="20"/>
        </w:rPr>
        <w:t xml:space="preserve"> oprávněn ji ve lhůtě splatnosti vrátit s odůvodněním </w:t>
      </w:r>
      <w:r w:rsidR="00565F67">
        <w:rPr>
          <w:rFonts w:ascii="Arial" w:eastAsia="Arial" w:hAnsi="Arial" w:cs="Arial"/>
          <w:color w:val="000000"/>
          <w:sz w:val="20"/>
          <w:szCs w:val="20"/>
        </w:rPr>
        <w:t>druhé straně</w:t>
      </w:r>
      <w:r w:rsidRPr="007B2978">
        <w:rPr>
          <w:rFonts w:ascii="Arial" w:eastAsia="Arial" w:hAnsi="Arial" w:cs="Arial"/>
          <w:color w:val="000000"/>
          <w:sz w:val="20"/>
          <w:szCs w:val="20"/>
        </w:rPr>
        <w:t xml:space="preserve"> a nedostává se do prodlení s platbou.</w:t>
      </w:r>
    </w:p>
    <w:p w14:paraId="71A1003C" w14:textId="77777777" w:rsidR="00565F67" w:rsidRPr="00565F67" w:rsidRDefault="00565F67" w:rsidP="00565F67"/>
    <w:p w14:paraId="4B46232D" w14:textId="77777777" w:rsidR="00565F67" w:rsidRDefault="00565F67" w:rsidP="00565F67">
      <w:pPr>
        <w:pStyle w:val="Nadpis2"/>
        <w:spacing w:before="120"/>
        <w:ind w:left="1213" w:firstLine="0"/>
        <w:rPr>
          <w:sz w:val="22"/>
        </w:rPr>
      </w:pPr>
    </w:p>
    <w:p w14:paraId="3E677DAF" w14:textId="78AE2173" w:rsidR="00CA11F7" w:rsidRPr="007B2978" w:rsidRDefault="00E750E3">
      <w:pPr>
        <w:pStyle w:val="Nadpis2"/>
        <w:numPr>
          <w:ilvl w:val="0"/>
          <w:numId w:val="13"/>
        </w:numPr>
        <w:spacing w:before="120"/>
        <w:ind w:hanging="227"/>
        <w:jc w:val="center"/>
        <w:rPr>
          <w:sz w:val="22"/>
        </w:rPr>
      </w:pPr>
      <w:r w:rsidRPr="007B2978">
        <w:rPr>
          <w:sz w:val="22"/>
        </w:rPr>
        <w:t>Odpovědnost za škodu</w:t>
      </w:r>
    </w:p>
    <w:p w14:paraId="18F708F8" w14:textId="1D840991" w:rsidR="00CA11F7" w:rsidRPr="006F50AE" w:rsidRDefault="00E750E3">
      <w:pPr>
        <w:keepLines/>
        <w:numPr>
          <w:ilvl w:val="0"/>
          <w:numId w:val="7"/>
        </w:numPr>
        <w:pBdr>
          <w:top w:val="nil"/>
          <w:left w:val="nil"/>
          <w:bottom w:val="nil"/>
          <w:right w:val="nil"/>
          <w:between w:val="nil"/>
        </w:pBdr>
        <w:spacing w:before="120" w:line="276" w:lineRule="auto"/>
        <w:jc w:val="both"/>
      </w:pPr>
      <w:r w:rsidRPr="007B2978">
        <w:rPr>
          <w:rFonts w:ascii="Arial" w:eastAsia="Arial" w:hAnsi="Arial" w:cs="Arial"/>
          <w:color w:val="000000"/>
          <w:sz w:val="20"/>
          <w:szCs w:val="20"/>
        </w:rPr>
        <w:t xml:space="preserve">Smluvní strany nejsou odpovědné za poškození předmětu vzájemného plnění způsobeného vandalismem, živelnou pohromou, událostí v provozu </w:t>
      </w:r>
      <w:r w:rsidR="00565F67">
        <w:rPr>
          <w:rFonts w:ascii="Arial" w:eastAsia="Arial" w:hAnsi="Arial" w:cs="Arial"/>
          <w:color w:val="000000"/>
          <w:sz w:val="20"/>
          <w:szCs w:val="20"/>
        </w:rPr>
        <w:t>Císařských lázní</w:t>
      </w:r>
      <w:r w:rsidRPr="007B2978">
        <w:rPr>
          <w:rFonts w:ascii="Arial" w:eastAsia="Arial" w:hAnsi="Arial" w:cs="Arial"/>
          <w:color w:val="000000"/>
          <w:sz w:val="20"/>
          <w:szCs w:val="20"/>
        </w:rPr>
        <w:t xml:space="preserve"> nebo vzniklého jinak bez úmyslného nebo nedbalostního jednání smluvní strany.</w:t>
      </w:r>
    </w:p>
    <w:p w14:paraId="0D80B809" w14:textId="137AAA4C" w:rsidR="006F50AE" w:rsidRPr="007B2978" w:rsidRDefault="006F50AE" w:rsidP="006F50AE">
      <w:pPr>
        <w:keepLines/>
        <w:numPr>
          <w:ilvl w:val="0"/>
          <w:numId w:val="7"/>
        </w:numPr>
        <w:pBdr>
          <w:top w:val="nil"/>
          <w:left w:val="nil"/>
          <w:bottom w:val="nil"/>
          <w:right w:val="nil"/>
          <w:between w:val="nil"/>
        </w:pBdr>
        <w:spacing w:before="120" w:line="276" w:lineRule="auto"/>
        <w:jc w:val="both"/>
      </w:pPr>
      <w:r w:rsidRPr="006F50AE">
        <w:rPr>
          <w:rFonts w:ascii="Arial" w:hAnsi="Arial" w:cs="Arial"/>
          <w:sz w:val="20"/>
          <w:szCs w:val="20"/>
        </w:rPr>
        <w:t>Pronajaté prostory a technické vybavení prostor Císařských lázní jsou pojištěny CL. KSO se zavazuje pojistit proti běžným rizikům věci ve svém vlastnictví, nacházející se po dobu nájmu v pronajatých prostorách. CL nezodpovídá za škodu na věcech nájemce, která nájemci vznikne v důsledku porušení závazku uvedeného v předcházející větě.</w:t>
      </w:r>
    </w:p>
    <w:p w14:paraId="5A91258C" w14:textId="77777777" w:rsidR="00CA11F7" w:rsidRPr="007B2978" w:rsidRDefault="00E750E3">
      <w:pPr>
        <w:pStyle w:val="Nadpis2"/>
        <w:numPr>
          <w:ilvl w:val="0"/>
          <w:numId w:val="13"/>
        </w:numPr>
        <w:spacing w:before="120"/>
        <w:ind w:hanging="227"/>
        <w:jc w:val="center"/>
        <w:rPr>
          <w:sz w:val="22"/>
        </w:rPr>
      </w:pPr>
      <w:r w:rsidRPr="007B2978">
        <w:rPr>
          <w:sz w:val="22"/>
        </w:rPr>
        <w:lastRenderedPageBreak/>
        <w:t>Ukončení smlouvy</w:t>
      </w:r>
    </w:p>
    <w:p w14:paraId="0D5A4B79" w14:textId="77777777" w:rsidR="00CA11F7" w:rsidRPr="007B2978" w:rsidRDefault="00E750E3">
      <w:pPr>
        <w:keepLines/>
        <w:numPr>
          <w:ilvl w:val="0"/>
          <w:numId w:val="6"/>
        </w:numPr>
        <w:pBdr>
          <w:top w:val="nil"/>
          <w:left w:val="nil"/>
          <w:bottom w:val="nil"/>
          <w:right w:val="nil"/>
          <w:between w:val="nil"/>
        </w:pBdr>
        <w:spacing w:before="120" w:line="276" w:lineRule="auto"/>
        <w:jc w:val="both"/>
      </w:pPr>
      <w:r w:rsidRPr="007B2978">
        <w:rPr>
          <w:rFonts w:ascii="Arial" w:eastAsia="Arial" w:hAnsi="Arial" w:cs="Arial"/>
          <w:color w:val="000000"/>
          <w:sz w:val="20"/>
          <w:szCs w:val="20"/>
        </w:rPr>
        <w:t>Závazek podle této Smlouvy je závazkem fixním, tj. pokud nebude v termínu podle této Smlouvy plnění Smluvní stranou poskytnuto, závazek poskytnout toto plnění zaniká a Smluvní strana je povinna uhradit druhé Smluvní straně cenu jí poskytnutého plnění.</w:t>
      </w:r>
    </w:p>
    <w:p w14:paraId="5C0E0BBD" w14:textId="6A8706FF" w:rsidR="00CA11F7" w:rsidRPr="007B2978" w:rsidRDefault="0095615F">
      <w:pPr>
        <w:keepLines/>
        <w:numPr>
          <w:ilvl w:val="0"/>
          <w:numId w:val="6"/>
        </w:numPr>
        <w:pBdr>
          <w:top w:val="nil"/>
          <w:left w:val="nil"/>
          <w:bottom w:val="nil"/>
          <w:right w:val="nil"/>
          <w:between w:val="nil"/>
        </w:pBdr>
        <w:spacing w:before="120" w:line="276" w:lineRule="auto"/>
        <w:jc w:val="both"/>
      </w:pPr>
      <w:r w:rsidRPr="0095615F">
        <w:rPr>
          <w:rFonts w:ascii="Arial" w:eastAsia="Arial" w:hAnsi="Arial" w:cs="Arial"/>
          <w:color w:val="000000"/>
          <w:sz w:val="20"/>
          <w:szCs w:val="20"/>
        </w:rPr>
        <w:t>Oba partneři jsou</w:t>
      </w:r>
      <w:r w:rsidR="00E750E3" w:rsidRPr="007B2978">
        <w:rPr>
          <w:rFonts w:ascii="Arial" w:eastAsia="Arial" w:hAnsi="Arial" w:cs="Arial"/>
          <w:color w:val="000000"/>
          <w:sz w:val="20"/>
          <w:szCs w:val="20"/>
        </w:rPr>
        <w:t xml:space="preserve"> oprávněn</w:t>
      </w:r>
      <w:r>
        <w:rPr>
          <w:rFonts w:ascii="Arial" w:eastAsia="Arial" w:hAnsi="Arial" w:cs="Arial"/>
          <w:color w:val="000000"/>
          <w:sz w:val="20"/>
          <w:szCs w:val="20"/>
        </w:rPr>
        <w:t>i</w:t>
      </w:r>
      <w:r w:rsidR="00E750E3" w:rsidRPr="007B2978">
        <w:rPr>
          <w:rFonts w:ascii="Arial" w:eastAsia="Arial" w:hAnsi="Arial" w:cs="Arial"/>
          <w:color w:val="000000"/>
          <w:sz w:val="20"/>
          <w:szCs w:val="20"/>
        </w:rPr>
        <w:t xml:space="preserve"> od Smlouvy odstoupit, pokud byl </w:t>
      </w:r>
      <w:r>
        <w:rPr>
          <w:rFonts w:ascii="Arial" w:eastAsia="Arial" w:hAnsi="Arial" w:cs="Arial"/>
          <w:color w:val="000000"/>
          <w:sz w:val="20"/>
          <w:szCs w:val="20"/>
        </w:rPr>
        <w:t>kterákoli ze smluvních stran byla</w:t>
      </w:r>
      <w:r w:rsidR="00E750E3" w:rsidRPr="007B2978">
        <w:rPr>
          <w:rFonts w:ascii="Arial" w:eastAsia="Arial" w:hAnsi="Arial" w:cs="Arial"/>
          <w:color w:val="000000"/>
          <w:sz w:val="20"/>
          <w:szCs w:val="20"/>
        </w:rPr>
        <w:t xml:space="preserve"> pravomocně odsouzen</w:t>
      </w:r>
      <w:r>
        <w:rPr>
          <w:rFonts w:ascii="Arial" w:eastAsia="Arial" w:hAnsi="Arial" w:cs="Arial"/>
          <w:color w:val="000000"/>
          <w:sz w:val="20"/>
          <w:szCs w:val="20"/>
        </w:rPr>
        <w:t>a</w:t>
      </w:r>
      <w:r w:rsidR="00E750E3" w:rsidRPr="007B2978">
        <w:rPr>
          <w:rFonts w:ascii="Arial" w:eastAsia="Arial" w:hAnsi="Arial" w:cs="Arial"/>
          <w:color w:val="000000"/>
          <w:sz w:val="20"/>
          <w:szCs w:val="20"/>
        </w:rPr>
        <w:t xml:space="preserve"> za trestný čin podle zákona o trestní odpovědnosti právnických osob, nebo se ocitne v prodlení se splněním jakéhokoliv svého závazku podle této Smlouvy delším než 10 dnů.</w:t>
      </w:r>
    </w:p>
    <w:p w14:paraId="73E18FB5" w14:textId="4B398A89" w:rsidR="00CA11F7" w:rsidRPr="007B2978" w:rsidRDefault="0095615F">
      <w:pPr>
        <w:keepLines/>
        <w:numPr>
          <w:ilvl w:val="0"/>
          <w:numId w:val="6"/>
        </w:numPr>
        <w:pBdr>
          <w:top w:val="nil"/>
          <w:left w:val="nil"/>
          <w:bottom w:val="nil"/>
          <w:right w:val="nil"/>
          <w:between w:val="nil"/>
        </w:pBdr>
        <w:spacing w:before="120" w:line="276" w:lineRule="auto"/>
        <w:jc w:val="both"/>
      </w:pPr>
      <w:r>
        <w:rPr>
          <w:rFonts w:ascii="Arial" w:eastAsia="Arial" w:hAnsi="Arial" w:cs="Arial"/>
          <w:color w:val="000000"/>
          <w:sz w:val="20"/>
          <w:szCs w:val="20"/>
        </w:rPr>
        <w:t>Kterákoli ze smluvních stran</w:t>
      </w:r>
      <w:r w:rsidR="00E750E3" w:rsidRPr="007B2978">
        <w:rPr>
          <w:rFonts w:ascii="Arial" w:eastAsia="Arial" w:hAnsi="Arial" w:cs="Arial"/>
          <w:color w:val="000000"/>
          <w:sz w:val="20"/>
          <w:szCs w:val="20"/>
        </w:rPr>
        <w:t xml:space="preserve"> je oprávněn</w:t>
      </w:r>
      <w:r>
        <w:rPr>
          <w:rFonts w:ascii="Arial" w:eastAsia="Arial" w:hAnsi="Arial" w:cs="Arial"/>
          <w:color w:val="000000"/>
          <w:sz w:val="20"/>
          <w:szCs w:val="20"/>
        </w:rPr>
        <w:t>a</w:t>
      </w:r>
      <w:r w:rsidR="00E750E3" w:rsidRPr="007B2978">
        <w:rPr>
          <w:rFonts w:ascii="Arial" w:eastAsia="Arial" w:hAnsi="Arial" w:cs="Arial"/>
          <w:color w:val="000000"/>
          <w:sz w:val="20"/>
          <w:szCs w:val="20"/>
        </w:rPr>
        <w:t xml:space="preserve"> od této Smlouvy či její části odstoupit, pokud zjistí, že na </w:t>
      </w:r>
      <w:r>
        <w:rPr>
          <w:rFonts w:ascii="Arial" w:eastAsia="Arial" w:hAnsi="Arial" w:cs="Arial"/>
          <w:color w:val="000000"/>
          <w:sz w:val="20"/>
          <w:szCs w:val="20"/>
        </w:rPr>
        <w:t>druhou stranu</w:t>
      </w:r>
      <w:r w:rsidR="00E750E3" w:rsidRPr="007B2978">
        <w:rPr>
          <w:rFonts w:ascii="Arial" w:eastAsia="Arial" w:hAnsi="Arial" w:cs="Arial"/>
          <w:color w:val="000000"/>
          <w:sz w:val="20"/>
          <w:szCs w:val="20"/>
        </w:rPr>
        <w:t xml:space="preserve"> či </w:t>
      </w:r>
      <w:r>
        <w:rPr>
          <w:rFonts w:ascii="Arial" w:eastAsia="Arial" w:hAnsi="Arial" w:cs="Arial"/>
          <w:color w:val="000000"/>
          <w:sz w:val="20"/>
          <w:szCs w:val="20"/>
        </w:rPr>
        <w:t xml:space="preserve">její </w:t>
      </w:r>
      <w:r w:rsidR="00E750E3" w:rsidRPr="007B2978">
        <w:rPr>
          <w:rFonts w:ascii="Arial" w:eastAsia="Arial" w:hAnsi="Arial" w:cs="Arial"/>
          <w:color w:val="000000"/>
          <w:sz w:val="20"/>
          <w:szCs w:val="20"/>
        </w:rPr>
        <w:t xml:space="preserve">ovládající osoby dopadají, přímo či zprostředkovaně, sankce. Pokud sankce dopadají na jakoukoli osobu, kterou </w:t>
      </w:r>
      <w:r>
        <w:rPr>
          <w:rFonts w:ascii="Arial" w:eastAsia="Arial" w:hAnsi="Arial" w:cs="Arial"/>
          <w:color w:val="000000"/>
          <w:sz w:val="20"/>
          <w:szCs w:val="20"/>
        </w:rPr>
        <w:t>smluvní strana</w:t>
      </w:r>
      <w:r w:rsidR="00E750E3" w:rsidRPr="007B2978">
        <w:rPr>
          <w:rFonts w:ascii="Arial" w:eastAsia="Arial" w:hAnsi="Arial" w:cs="Arial"/>
          <w:color w:val="000000"/>
          <w:sz w:val="20"/>
          <w:szCs w:val="20"/>
        </w:rPr>
        <w:t xml:space="preserve"> používá k plnění Smlouvy, včetně poddodavatelů, je povinen o takové skutečnosti nejpozději následující pracovní den poté, co ji zjistí, </w:t>
      </w:r>
      <w:r>
        <w:rPr>
          <w:rFonts w:ascii="Arial" w:eastAsia="Arial" w:hAnsi="Arial" w:cs="Arial"/>
          <w:color w:val="000000"/>
          <w:sz w:val="20"/>
          <w:szCs w:val="20"/>
        </w:rPr>
        <w:t xml:space="preserve">druhou stranu </w:t>
      </w:r>
      <w:r w:rsidR="00E750E3" w:rsidRPr="007B2978">
        <w:rPr>
          <w:rFonts w:ascii="Arial" w:eastAsia="Arial" w:hAnsi="Arial" w:cs="Arial"/>
          <w:color w:val="000000"/>
          <w:sz w:val="20"/>
          <w:szCs w:val="20"/>
        </w:rPr>
        <w:t xml:space="preserve">informovat a do 14 dní je povinen zjednat nápravu a takovou osobu nahradit, přičemž pokud tak neučiní, je </w:t>
      </w:r>
      <w:r>
        <w:rPr>
          <w:rFonts w:ascii="Arial" w:eastAsia="Arial" w:hAnsi="Arial" w:cs="Arial"/>
          <w:color w:val="000000"/>
          <w:sz w:val="20"/>
          <w:szCs w:val="20"/>
        </w:rPr>
        <w:t>druhá strana</w:t>
      </w:r>
      <w:r w:rsidR="00E750E3" w:rsidRPr="007B2978">
        <w:rPr>
          <w:rFonts w:ascii="Arial" w:eastAsia="Arial" w:hAnsi="Arial" w:cs="Arial"/>
          <w:color w:val="000000"/>
          <w:sz w:val="20"/>
          <w:szCs w:val="20"/>
        </w:rPr>
        <w:t xml:space="preserve"> oprávněn</w:t>
      </w:r>
      <w:r>
        <w:rPr>
          <w:rFonts w:ascii="Arial" w:eastAsia="Arial" w:hAnsi="Arial" w:cs="Arial"/>
          <w:color w:val="000000"/>
          <w:sz w:val="20"/>
          <w:szCs w:val="20"/>
        </w:rPr>
        <w:t>a</w:t>
      </w:r>
      <w:r w:rsidR="00E750E3" w:rsidRPr="007B2978">
        <w:rPr>
          <w:rFonts w:ascii="Arial" w:eastAsia="Arial" w:hAnsi="Arial" w:cs="Arial"/>
          <w:color w:val="000000"/>
          <w:sz w:val="20"/>
          <w:szCs w:val="20"/>
        </w:rPr>
        <w:t xml:space="preserve"> od Smlouvy či její části odstoupit. </w:t>
      </w:r>
    </w:p>
    <w:p w14:paraId="2F530240" w14:textId="77777777" w:rsidR="00CA11F7" w:rsidRPr="007B2978" w:rsidRDefault="00E750E3">
      <w:pPr>
        <w:keepLines/>
        <w:numPr>
          <w:ilvl w:val="0"/>
          <w:numId w:val="6"/>
        </w:numPr>
        <w:pBdr>
          <w:top w:val="nil"/>
          <w:left w:val="nil"/>
          <w:bottom w:val="nil"/>
          <w:right w:val="nil"/>
          <w:between w:val="nil"/>
        </w:pBdr>
        <w:spacing w:before="120" w:line="276" w:lineRule="auto"/>
        <w:jc w:val="both"/>
      </w:pPr>
      <w:r w:rsidRPr="007B2978">
        <w:rPr>
          <w:rFonts w:ascii="Arial" w:eastAsia="Arial" w:hAnsi="Arial" w:cs="Arial"/>
          <w:color w:val="000000"/>
          <w:sz w:val="20"/>
          <w:szCs w:val="20"/>
        </w:rPr>
        <w:t>Odstoupení od smlouvy je účinné okamžikem doručení druhé Smluvní straně.</w:t>
      </w:r>
    </w:p>
    <w:p w14:paraId="1E8A0F85" w14:textId="77777777" w:rsidR="00CA11F7" w:rsidRPr="007B2978" w:rsidRDefault="00E750E3">
      <w:pPr>
        <w:keepLines/>
        <w:numPr>
          <w:ilvl w:val="0"/>
          <w:numId w:val="6"/>
        </w:numPr>
        <w:pBdr>
          <w:top w:val="nil"/>
          <w:left w:val="nil"/>
          <w:bottom w:val="nil"/>
          <w:right w:val="nil"/>
          <w:between w:val="nil"/>
        </w:pBdr>
        <w:spacing w:before="120" w:line="276" w:lineRule="auto"/>
        <w:jc w:val="both"/>
      </w:pPr>
      <w:r w:rsidRPr="007B2978">
        <w:rPr>
          <w:rFonts w:ascii="Arial" w:eastAsia="Arial" w:hAnsi="Arial" w:cs="Arial"/>
          <w:color w:val="000000"/>
          <w:sz w:val="20"/>
          <w:szCs w:val="20"/>
        </w:rPr>
        <w:t>Při odstoupení od Smlouvy si smluvní strany uhradí dosud poskytnutá plnění podle cenových ujednání uvedených v této Smlouvě.</w:t>
      </w:r>
    </w:p>
    <w:p w14:paraId="4E8E9758" w14:textId="77777777" w:rsidR="00CA11F7" w:rsidRPr="007B2978" w:rsidRDefault="00CA11F7">
      <w:pPr>
        <w:keepLines/>
        <w:pBdr>
          <w:top w:val="nil"/>
          <w:left w:val="nil"/>
          <w:bottom w:val="nil"/>
          <w:right w:val="nil"/>
          <w:between w:val="nil"/>
        </w:pBdr>
        <w:spacing w:line="276" w:lineRule="auto"/>
        <w:ind w:left="360" w:hanging="360"/>
        <w:jc w:val="both"/>
        <w:rPr>
          <w:rFonts w:ascii="Arial" w:eastAsia="Arial" w:hAnsi="Arial" w:cs="Arial"/>
          <w:color w:val="000000"/>
          <w:sz w:val="20"/>
          <w:szCs w:val="20"/>
        </w:rPr>
      </w:pPr>
    </w:p>
    <w:p w14:paraId="4F50DB37" w14:textId="77777777" w:rsidR="00CA11F7" w:rsidRPr="007B2978" w:rsidRDefault="00E750E3">
      <w:pPr>
        <w:pStyle w:val="Nadpis2"/>
        <w:numPr>
          <w:ilvl w:val="0"/>
          <w:numId w:val="13"/>
        </w:numPr>
        <w:spacing w:before="120"/>
        <w:ind w:hanging="227"/>
        <w:jc w:val="center"/>
        <w:rPr>
          <w:sz w:val="22"/>
        </w:rPr>
      </w:pPr>
      <w:r w:rsidRPr="007B2978">
        <w:rPr>
          <w:sz w:val="22"/>
        </w:rPr>
        <w:t>Závěrečná ujednání</w:t>
      </w:r>
    </w:p>
    <w:p w14:paraId="6BF6BB6C" w14:textId="77777777" w:rsidR="00CA11F7" w:rsidRPr="007B2978" w:rsidRDefault="00E750E3">
      <w:pPr>
        <w:keepLines/>
        <w:numPr>
          <w:ilvl w:val="0"/>
          <w:numId w:val="8"/>
        </w:numPr>
        <w:pBdr>
          <w:top w:val="nil"/>
          <w:left w:val="nil"/>
          <w:bottom w:val="nil"/>
          <w:right w:val="nil"/>
          <w:between w:val="nil"/>
        </w:pBdr>
        <w:spacing w:before="120" w:line="276" w:lineRule="auto"/>
        <w:jc w:val="both"/>
      </w:pPr>
      <w:r w:rsidRPr="007B2978">
        <w:rPr>
          <w:rFonts w:ascii="Arial" w:eastAsia="Arial" w:hAnsi="Arial" w:cs="Arial"/>
          <w:color w:val="000000"/>
          <w:sz w:val="20"/>
          <w:szCs w:val="20"/>
        </w:rPr>
        <w:t>Pro vyloučení pochybností smluvní strany výslovně potvrzují, že jsou podnikateli, uzavírají tuto smlouvu při svém podnikání, a na tuto smlouvu se tudíž neuplatní ustanovení § 1793 a násl. občanského zákoníku o neúměrném zkrácení.</w:t>
      </w:r>
    </w:p>
    <w:p w14:paraId="73811465" w14:textId="77777777" w:rsidR="00CA11F7" w:rsidRPr="007B2978" w:rsidRDefault="00E750E3">
      <w:pPr>
        <w:keepLines/>
        <w:numPr>
          <w:ilvl w:val="0"/>
          <w:numId w:val="8"/>
        </w:numPr>
        <w:pBdr>
          <w:top w:val="nil"/>
          <w:left w:val="nil"/>
          <w:bottom w:val="nil"/>
          <w:right w:val="nil"/>
          <w:between w:val="nil"/>
        </w:pBdr>
        <w:spacing w:before="120" w:line="276" w:lineRule="auto"/>
        <w:jc w:val="both"/>
      </w:pPr>
      <w:r w:rsidRPr="007B2978">
        <w:rPr>
          <w:rFonts w:ascii="Arial" w:eastAsia="Arial" w:hAnsi="Arial" w:cs="Arial"/>
          <w:color w:val="000000"/>
          <w:sz w:val="20"/>
          <w:szCs w:val="20"/>
        </w:rPr>
        <w:t>Změny této Smlouvy je možné činit jen formou písemných, nepřerušovanou číselnou řadou označených dodatků podepsaných oprávněnými zástupci obou Smluvních stran. Za písemnou formu pro tento účel nebude považována výměna e-mailových či jiných elektronických zpráv. Smluvní strany mohou namítnout neplatnost dodatku k této Smlouvě z důvodu nedodržení formy kdykoli, a to i když již bylo započato s plněním.</w:t>
      </w:r>
    </w:p>
    <w:p w14:paraId="39F851C4" w14:textId="77777777" w:rsidR="00CA11F7" w:rsidRPr="007B2978" w:rsidRDefault="00E750E3">
      <w:pPr>
        <w:keepLines/>
        <w:numPr>
          <w:ilvl w:val="0"/>
          <w:numId w:val="8"/>
        </w:numPr>
        <w:pBdr>
          <w:top w:val="nil"/>
          <w:left w:val="nil"/>
          <w:bottom w:val="nil"/>
          <w:right w:val="nil"/>
          <w:between w:val="nil"/>
        </w:pBdr>
        <w:spacing w:before="120" w:line="276" w:lineRule="auto"/>
        <w:jc w:val="both"/>
      </w:pPr>
      <w:r w:rsidRPr="007B2978">
        <w:rPr>
          <w:rFonts w:ascii="Arial" w:eastAsia="Arial" w:hAnsi="Arial" w:cs="Arial"/>
          <w:color w:val="000000"/>
          <w:sz w:val="20"/>
          <w:szCs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w:t>
      </w:r>
    </w:p>
    <w:p w14:paraId="06659569" w14:textId="77777777" w:rsidR="00CA11F7" w:rsidRPr="007B2978" w:rsidRDefault="00E750E3">
      <w:pPr>
        <w:keepLines/>
        <w:numPr>
          <w:ilvl w:val="0"/>
          <w:numId w:val="8"/>
        </w:numPr>
        <w:pBdr>
          <w:top w:val="nil"/>
          <w:left w:val="nil"/>
          <w:bottom w:val="nil"/>
          <w:right w:val="nil"/>
          <w:between w:val="nil"/>
        </w:pBdr>
        <w:spacing w:before="120" w:line="276" w:lineRule="auto"/>
        <w:jc w:val="both"/>
      </w:pPr>
      <w:r w:rsidRPr="007B2978">
        <w:rPr>
          <w:rFonts w:ascii="Arial" w:eastAsia="Arial" w:hAnsi="Arial" w:cs="Arial"/>
          <w:color w:val="000000"/>
          <w:sz w:val="20"/>
          <w:szCs w:val="20"/>
        </w:rPr>
        <w:t>Práva vzniklá z této Smlouvy nesmí být postoupena bez předchozího písemného souhlasu (statutárního orgánu) druhé smluvní strany. Za písemnou formu nebude pro tento účel považována výměna e-mailových, či jiných elektronických zpráv. Pro případ postoupení této Smlouvy si strany ujednaly, že postoupená strana nemůže odmítnout osvobození postupitele za žádných okolností.</w:t>
      </w:r>
    </w:p>
    <w:p w14:paraId="0221A262" w14:textId="4924DD5E" w:rsidR="00CA11F7" w:rsidRPr="007B2978" w:rsidRDefault="00E750E3">
      <w:pPr>
        <w:keepLines/>
        <w:numPr>
          <w:ilvl w:val="0"/>
          <w:numId w:val="8"/>
        </w:numPr>
        <w:pBdr>
          <w:top w:val="nil"/>
          <w:left w:val="nil"/>
          <w:bottom w:val="nil"/>
          <w:right w:val="nil"/>
          <w:between w:val="nil"/>
        </w:pBdr>
        <w:spacing w:before="120" w:line="276" w:lineRule="auto"/>
        <w:jc w:val="both"/>
      </w:pPr>
      <w:r w:rsidRPr="007B2978">
        <w:rPr>
          <w:rFonts w:ascii="Arial" w:eastAsia="Arial" w:hAnsi="Arial" w:cs="Arial"/>
          <w:color w:val="000000"/>
          <w:sz w:val="20"/>
          <w:szCs w:val="20"/>
        </w:rPr>
        <w:t>Smluvní strany prohlašují, že skutečnosti uvedené v této Smlouvě nepovažují za obchodní tajemství ve smyslu ustanovení § 504 občanského zákoníku. Partner bere na vědomí, že</w:t>
      </w:r>
      <w:r w:rsidR="0095615F">
        <w:rPr>
          <w:rFonts w:ascii="Arial" w:eastAsia="Arial" w:hAnsi="Arial" w:cs="Arial"/>
          <w:color w:val="000000"/>
          <w:sz w:val="20"/>
          <w:szCs w:val="20"/>
        </w:rPr>
        <w:t xml:space="preserve"> </w:t>
      </w:r>
      <w:r w:rsidR="001A7945">
        <w:rPr>
          <w:rFonts w:ascii="Arial" w:eastAsia="Arial" w:hAnsi="Arial" w:cs="Arial"/>
          <w:color w:val="000000"/>
          <w:sz w:val="20"/>
          <w:szCs w:val="20"/>
        </w:rPr>
        <w:t>CL</w:t>
      </w:r>
      <w:r w:rsidRPr="007B2978">
        <w:rPr>
          <w:rFonts w:ascii="Arial" w:eastAsia="Arial" w:hAnsi="Arial" w:cs="Arial"/>
          <w:color w:val="000000"/>
          <w:sz w:val="20"/>
          <w:szCs w:val="20"/>
        </w:rPr>
        <w:t xml:space="preserve"> j</w:t>
      </w:r>
      <w:r w:rsidR="0045492F">
        <w:rPr>
          <w:rFonts w:ascii="Arial" w:eastAsia="Arial" w:hAnsi="Arial" w:cs="Arial"/>
          <w:color w:val="000000"/>
          <w:sz w:val="20"/>
          <w:szCs w:val="20"/>
        </w:rPr>
        <w:t>sou</w:t>
      </w:r>
      <w:r w:rsidRPr="007B2978">
        <w:rPr>
          <w:rFonts w:ascii="Arial" w:eastAsia="Arial" w:hAnsi="Arial" w:cs="Arial"/>
          <w:color w:val="000000"/>
          <w:sz w:val="20"/>
          <w:szCs w:val="20"/>
        </w:rPr>
        <w:t xml:space="preserve"> povin</w:t>
      </w:r>
      <w:r w:rsidR="0045492F">
        <w:rPr>
          <w:rFonts w:ascii="Arial" w:eastAsia="Arial" w:hAnsi="Arial" w:cs="Arial"/>
          <w:color w:val="000000"/>
          <w:sz w:val="20"/>
          <w:szCs w:val="20"/>
        </w:rPr>
        <w:t>ni</w:t>
      </w:r>
      <w:r w:rsidRPr="007B2978">
        <w:rPr>
          <w:rFonts w:ascii="Arial" w:eastAsia="Arial" w:hAnsi="Arial" w:cs="Arial"/>
          <w:color w:val="000000"/>
          <w:sz w:val="20"/>
          <w:szCs w:val="20"/>
        </w:rPr>
        <w:t xml:space="preserve"> na žádost třetí osoby poskytovat informace podle zákona č. 106/1999 Sb., o svobodném přístupu k informacím a bere na vědomí, že informace týkající se plnění této Smlouvy mohou být poskytnuty třetím osobám, za podmínek tímto zákonem stanovených.</w:t>
      </w:r>
    </w:p>
    <w:p w14:paraId="5F5F36C8" w14:textId="77777777" w:rsidR="00CA11F7" w:rsidRPr="007B2978" w:rsidRDefault="00E750E3">
      <w:pPr>
        <w:keepLines/>
        <w:numPr>
          <w:ilvl w:val="0"/>
          <w:numId w:val="8"/>
        </w:numPr>
        <w:pBdr>
          <w:top w:val="nil"/>
          <w:left w:val="nil"/>
          <w:bottom w:val="nil"/>
          <w:right w:val="nil"/>
          <w:between w:val="nil"/>
        </w:pBdr>
        <w:spacing w:before="120" w:line="276" w:lineRule="auto"/>
        <w:jc w:val="both"/>
      </w:pPr>
      <w:r w:rsidRPr="007B2978">
        <w:rPr>
          <w:rFonts w:ascii="Arial" w:eastAsia="Arial" w:hAnsi="Arial" w:cs="Arial"/>
          <w:color w:val="000000"/>
          <w:sz w:val="20"/>
          <w:szCs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Práva a povinnosti touto Smlouvou výslovně neupravené se řídí občanským zákoníkem.</w:t>
      </w:r>
    </w:p>
    <w:p w14:paraId="62C584CD" w14:textId="07025761" w:rsidR="00CA11F7" w:rsidRPr="007B2978" w:rsidRDefault="00E750E3">
      <w:pPr>
        <w:keepLines/>
        <w:numPr>
          <w:ilvl w:val="0"/>
          <w:numId w:val="8"/>
        </w:numPr>
        <w:pBdr>
          <w:top w:val="nil"/>
          <w:left w:val="nil"/>
          <w:bottom w:val="nil"/>
          <w:right w:val="nil"/>
          <w:between w:val="nil"/>
        </w:pBdr>
        <w:spacing w:before="120" w:line="276" w:lineRule="auto"/>
        <w:jc w:val="both"/>
      </w:pPr>
      <w:r w:rsidRPr="007B2978">
        <w:rPr>
          <w:rFonts w:ascii="Arial" w:eastAsia="Arial" w:hAnsi="Arial" w:cs="Arial"/>
          <w:color w:val="000000"/>
          <w:sz w:val="20"/>
          <w:szCs w:val="20"/>
        </w:rPr>
        <w:t xml:space="preserve">Veškeré soudní spory vzniklé z této Smlouvy budou ve smyslu ustanovení § 89a zákona č. 99/1963 Sb., občanský soudní řád, ve znění pozdějších předpisů, rozhodovány soudem místně příslušným podle sídla </w:t>
      </w:r>
      <w:r w:rsidR="00C64347">
        <w:rPr>
          <w:rFonts w:ascii="Arial" w:eastAsia="Arial" w:hAnsi="Arial" w:cs="Arial"/>
          <w:color w:val="000000"/>
          <w:sz w:val="20"/>
          <w:szCs w:val="20"/>
        </w:rPr>
        <w:t>KSO</w:t>
      </w:r>
      <w:r w:rsidRPr="007B2978">
        <w:rPr>
          <w:rFonts w:ascii="Arial" w:eastAsia="Arial" w:hAnsi="Arial" w:cs="Arial"/>
          <w:color w:val="000000"/>
          <w:sz w:val="20"/>
          <w:szCs w:val="20"/>
        </w:rPr>
        <w:t>.</w:t>
      </w:r>
    </w:p>
    <w:p w14:paraId="50A53441" w14:textId="77777777" w:rsidR="00CA11F7" w:rsidRPr="007B2978" w:rsidRDefault="00E750E3">
      <w:pPr>
        <w:keepLines/>
        <w:numPr>
          <w:ilvl w:val="0"/>
          <w:numId w:val="8"/>
        </w:numPr>
        <w:pBdr>
          <w:top w:val="nil"/>
          <w:left w:val="nil"/>
          <w:bottom w:val="nil"/>
          <w:right w:val="nil"/>
          <w:between w:val="nil"/>
        </w:pBdr>
        <w:spacing w:before="120" w:line="276" w:lineRule="auto"/>
        <w:jc w:val="both"/>
      </w:pPr>
      <w:r w:rsidRPr="007B2978">
        <w:rPr>
          <w:rFonts w:ascii="Arial" w:eastAsia="Arial" w:hAnsi="Arial" w:cs="Arial"/>
          <w:color w:val="000000"/>
          <w:sz w:val="20"/>
          <w:szCs w:val="20"/>
        </w:rPr>
        <w:t>Pokud není tato Smlouva podepsána elektronicky, je vyhotovena ve dvou vyhotoveních, z nichž každá ze smluvních stran obdrží po jednom.</w:t>
      </w:r>
    </w:p>
    <w:p w14:paraId="25CF23E2" w14:textId="776DE2B8" w:rsidR="00144EDF" w:rsidRPr="007B2978" w:rsidRDefault="00E750E3" w:rsidP="00B0596D">
      <w:pPr>
        <w:keepLines/>
        <w:numPr>
          <w:ilvl w:val="0"/>
          <w:numId w:val="8"/>
        </w:numPr>
        <w:pBdr>
          <w:top w:val="nil"/>
          <w:left w:val="nil"/>
          <w:bottom w:val="nil"/>
          <w:right w:val="nil"/>
          <w:between w:val="nil"/>
        </w:pBdr>
        <w:spacing w:before="120" w:line="276" w:lineRule="auto"/>
        <w:jc w:val="both"/>
        <w:rPr>
          <w:rFonts w:ascii="Arial" w:eastAsia="Arial" w:hAnsi="Arial" w:cs="Arial"/>
          <w:sz w:val="20"/>
          <w:szCs w:val="20"/>
        </w:rPr>
      </w:pPr>
      <w:r w:rsidRPr="007B2978">
        <w:rPr>
          <w:rFonts w:ascii="Arial" w:eastAsia="Arial" w:hAnsi="Arial" w:cs="Arial"/>
          <w:color w:val="000000"/>
          <w:sz w:val="20"/>
          <w:szCs w:val="20"/>
        </w:rPr>
        <w:lastRenderedPageBreak/>
        <w:t>Smluvní strany prohlašují, že si tuto Smlouvu před jejím podpisem přečetly, že byla uzavřena po vzájemném projednání podle jejich pravé a svobodné vůle, určitě, vážně a srozumitelně, nikoliv v tísni ani za nápadně nevýhodných podmínek. Na důkaz souhlasu s jejím obsahem připojují své podpisy.</w:t>
      </w:r>
    </w:p>
    <w:p w14:paraId="0019BAA8" w14:textId="25F40B19" w:rsidR="00CA11F7" w:rsidRPr="007B2978" w:rsidRDefault="00E750E3">
      <w:pPr>
        <w:tabs>
          <w:tab w:val="left" w:pos="4962"/>
        </w:tabs>
        <w:spacing w:before="600" w:after="1560"/>
        <w:jc w:val="both"/>
        <w:rPr>
          <w:rFonts w:ascii="Arial" w:eastAsia="Arial" w:hAnsi="Arial" w:cs="Arial"/>
          <w:sz w:val="20"/>
          <w:szCs w:val="20"/>
        </w:rPr>
      </w:pPr>
      <w:r w:rsidRPr="007B2978">
        <w:rPr>
          <w:rFonts w:ascii="Arial" w:eastAsia="Arial" w:hAnsi="Arial" w:cs="Arial"/>
          <w:sz w:val="20"/>
          <w:szCs w:val="20"/>
        </w:rPr>
        <w:t>V</w:t>
      </w:r>
      <w:r w:rsidR="0095615F">
        <w:rPr>
          <w:rFonts w:ascii="Arial" w:eastAsia="Arial" w:hAnsi="Arial" w:cs="Arial"/>
          <w:sz w:val="20"/>
          <w:szCs w:val="20"/>
        </w:rPr>
        <w:t> Karlových Varech</w:t>
      </w:r>
      <w:r w:rsidRPr="007B2978">
        <w:rPr>
          <w:rFonts w:ascii="Arial" w:eastAsia="Arial" w:hAnsi="Arial" w:cs="Arial"/>
          <w:sz w:val="20"/>
          <w:szCs w:val="20"/>
        </w:rPr>
        <w:t xml:space="preserve"> dne </w:t>
      </w:r>
      <w:r w:rsidR="001E20B6">
        <w:rPr>
          <w:rFonts w:ascii="Arial" w:eastAsia="Arial" w:hAnsi="Arial" w:cs="Arial"/>
          <w:sz w:val="20"/>
          <w:szCs w:val="20"/>
        </w:rPr>
        <w:t>11. 9. 2023</w:t>
      </w:r>
      <w:r w:rsidRPr="007B2978">
        <w:rPr>
          <w:rFonts w:ascii="Arial" w:eastAsia="Arial" w:hAnsi="Arial" w:cs="Arial"/>
          <w:sz w:val="20"/>
          <w:szCs w:val="20"/>
        </w:rPr>
        <w:t>     </w:t>
      </w:r>
      <w:r w:rsidRPr="007B2978">
        <w:rPr>
          <w:rFonts w:ascii="Arial" w:eastAsia="Arial" w:hAnsi="Arial" w:cs="Arial"/>
          <w:sz w:val="20"/>
          <w:szCs w:val="20"/>
        </w:rPr>
        <w:tab/>
      </w:r>
      <w:r w:rsidRPr="007B2978">
        <w:rPr>
          <w:rFonts w:ascii="Arial" w:eastAsia="Arial" w:hAnsi="Arial" w:cs="Arial"/>
          <w:sz w:val="20"/>
          <w:szCs w:val="20"/>
        </w:rPr>
        <w:tab/>
        <w:t xml:space="preserve">      V</w:t>
      </w:r>
      <w:r w:rsidR="00204F79">
        <w:rPr>
          <w:rFonts w:ascii="Arial" w:eastAsia="Arial" w:hAnsi="Arial" w:cs="Arial"/>
          <w:sz w:val="20"/>
          <w:szCs w:val="20"/>
        </w:rPr>
        <w:t> Karlových Varech</w:t>
      </w:r>
      <w:bookmarkStart w:id="4" w:name="bookmark=id.2et92p0" w:colFirst="0" w:colLast="0"/>
      <w:bookmarkEnd w:id="4"/>
      <w:r w:rsidR="00204F79">
        <w:rPr>
          <w:rFonts w:ascii="Arial" w:eastAsia="Arial" w:hAnsi="Arial" w:cs="Arial"/>
          <w:sz w:val="20"/>
          <w:szCs w:val="20"/>
        </w:rPr>
        <w:t xml:space="preserve"> </w:t>
      </w:r>
      <w:r w:rsidRPr="007B2978">
        <w:rPr>
          <w:rFonts w:ascii="Arial" w:eastAsia="Arial" w:hAnsi="Arial" w:cs="Arial"/>
          <w:sz w:val="20"/>
          <w:szCs w:val="20"/>
        </w:rPr>
        <w:t xml:space="preserve">dne </w:t>
      </w:r>
      <w:bookmarkStart w:id="5" w:name="bookmark=id.tyjcwt" w:colFirst="0" w:colLast="0"/>
      <w:bookmarkEnd w:id="5"/>
      <w:r w:rsidR="001E20B6">
        <w:rPr>
          <w:rFonts w:ascii="Arial" w:eastAsia="Arial" w:hAnsi="Arial" w:cs="Arial"/>
          <w:sz w:val="20"/>
          <w:szCs w:val="20"/>
        </w:rPr>
        <w:t>11. 9. 2023</w:t>
      </w:r>
      <w:r w:rsidRPr="007B2978">
        <w:rPr>
          <w:rFonts w:ascii="Arial" w:eastAsia="Arial" w:hAnsi="Arial" w:cs="Arial"/>
          <w:sz w:val="20"/>
          <w:szCs w:val="20"/>
        </w:rPr>
        <w:t>    </w:t>
      </w:r>
    </w:p>
    <w:tbl>
      <w:tblPr>
        <w:tblW w:w="9639" w:type="dxa"/>
        <w:jc w:val="center"/>
        <w:tblLayout w:type="fixed"/>
        <w:tblCellMar>
          <w:left w:w="115" w:type="dxa"/>
          <w:right w:w="115" w:type="dxa"/>
        </w:tblCellMar>
        <w:tblLook w:val="0000" w:firstRow="0" w:lastRow="0" w:firstColumn="0" w:lastColumn="0" w:noHBand="0" w:noVBand="0"/>
      </w:tblPr>
      <w:tblGrid>
        <w:gridCol w:w="4380"/>
        <w:gridCol w:w="877"/>
        <w:gridCol w:w="4382"/>
      </w:tblGrid>
      <w:tr w:rsidR="00CA11F7" w:rsidRPr="007B2978" w14:paraId="7777E07A" w14:textId="77777777">
        <w:trPr>
          <w:jc w:val="center"/>
        </w:trPr>
        <w:tc>
          <w:tcPr>
            <w:tcW w:w="4380" w:type="dxa"/>
            <w:tcBorders>
              <w:top w:val="dotted" w:sz="8" w:space="0" w:color="000000"/>
            </w:tcBorders>
            <w:shd w:val="clear" w:color="auto" w:fill="auto"/>
          </w:tcPr>
          <w:p w14:paraId="71B89F1A" w14:textId="2C0EE484" w:rsidR="00CA11F7" w:rsidRPr="0095615F" w:rsidRDefault="002A2D79">
            <w:pPr>
              <w:rPr>
                <w:rFonts w:ascii="Arial" w:eastAsia="Arial" w:hAnsi="Arial" w:cs="Arial"/>
                <w:b/>
                <w:sz w:val="20"/>
                <w:szCs w:val="20"/>
              </w:rPr>
            </w:pPr>
            <w:r>
              <w:rPr>
                <w:rFonts w:ascii="Arial" w:eastAsia="Arial" w:hAnsi="Arial" w:cs="Arial"/>
                <w:b/>
                <w:sz w:val="20"/>
                <w:szCs w:val="20"/>
              </w:rPr>
              <w:t>Císařské lázně, příspěvková organizace</w:t>
            </w:r>
          </w:p>
        </w:tc>
        <w:tc>
          <w:tcPr>
            <w:tcW w:w="877" w:type="dxa"/>
            <w:shd w:val="clear" w:color="auto" w:fill="auto"/>
          </w:tcPr>
          <w:p w14:paraId="52BC989D" w14:textId="77777777" w:rsidR="00CA11F7" w:rsidRPr="007B2978" w:rsidRDefault="00CA11F7">
            <w:pPr>
              <w:jc w:val="center"/>
              <w:rPr>
                <w:rFonts w:ascii="Arial" w:eastAsia="Arial" w:hAnsi="Arial" w:cs="Arial"/>
                <w:sz w:val="20"/>
                <w:szCs w:val="20"/>
              </w:rPr>
            </w:pPr>
          </w:p>
        </w:tc>
        <w:tc>
          <w:tcPr>
            <w:tcW w:w="4382" w:type="dxa"/>
            <w:tcBorders>
              <w:top w:val="dotted" w:sz="8" w:space="0" w:color="000000"/>
            </w:tcBorders>
            <w:shd w:val="clear" w:color="auto" w:fill="auto"/>
          </w:tcPr>
          <w:p w14:paraId="43AC6AE2" w14:textId="29018F97" w:rsidR="000C7CA4" w:rsidRPr="00B0596D" w:rsidRDefault="00114FC8" w:rsidP="000C7CA4">
            <w:pPr>
              <w:tabs>
                <w:tab w:val="left" w:pos="1701"/>
              </w:tabs>
              <w:spacing w:line="276" w:lineRule="auto"/>
              <w:rPr>
                <w:rFonts w:ascii="Arial" w:eastAsia="Arial" w:hAnsi="Arial" w:cs="Arial"/>
                <w:b/>
                <w:bCs/>
                <w:sz w:val="20"/>
                <w:szCs w:val="20"/>
              </w:rPr>
            </w:pPr>
            <w:r w:rsidRPr="00114FC8">
              <w:rPr>
                <w:rFonts w:ascii="Arial" w:eastAsia="Arial" w:hAnsi="Arial" w:cs="Arial"/>
                <w:b/>
                <w:bCs/>
                <w:sz w:val="20"/>
                <w:szCs w:val="20"/>
              </w:rPr>
              <w:t>Karlovarský symfonický orchestr, příspěvková organizace</w:t>
            </w:r>
          </w:p>
          <w:p w14:paraId="283795BB" w14:textId="5270949C" w:rsidR="00CA11F7" w:rsidRPr="00B0596D" w:rsidRDefault="00CA11F7">
            <w:pPr>
              <w:rPr>
                <w:rFonts w:ascii="Arial" w:eastAsia="Arial" w:hAnsi="Arial" w:cs="Arial"/>
                <w:sz w:val="20"/>
                <w:szCs w:val="20"/>
              </w:rPr>
            </w:pPr>
          </w:p>
        </w:tc>
      </w:tr>
      <w:tr w:rsidR="00CA11F7" w:rsidRPr="007B2978" w14:paraId="42D86C33" w14:textId="77777777">
        <w:trPr>
          <w:jc w:val="center"/>
        </w:trPr>
        <w:tc>
          <w:tcPr>
            <w:tcW w:w="4380" w:type="dxa"/>
            <w:shd w:val="clear" w:color="auto" w:fill="auto"/>
          </w:tcPr>
          <w:p w14:paraId="4CEB9557" w14:textId="5ABA5202" w:rsidR="00CA11F7" w:rsidRPr="007B2978" w:rsidRDefault="00582FF5">
            <w:pPr>
              <w:rPr>
                <w:rFonts w:ascii="Arial" w:eastAsia="Arial" w:hAnsi="Arial" w:cs="Arial"/>
                <w:sz w:val="20"/>
                <w:szCs w:val="20"/>
              </w:rPr>
            </w:pPr>
            <w:bookmarkStart w:id="6" w:name="bookmark=id.3dy6vkm" w:colFirst="0" w:colLast="0"/>
            <w:bookmarkEnd w:id="6"/>
            <w:r>
              <w:rPr>
                <w:rFonts w:ascii="Arial" w:eastAsia="Arial" w:hAnsi="Arial" w:cs="Arial"/>
                <w:sz w:val="20"/>
                <w:szCs w:val="20"/>
              </w:rPr>
              <w:t>Alexandr Chalupník, ředitel</w:t>
            </w:r>
          </w:p>
        </w:tc>
        <w:tc>
          <w:tcPr>
            <w:tcW w:w="877" w:type="dxa"/>
            <w:shd w:val="clear" w:color="auto" w:fill="auto"/>
          </w:tcPr>
          <w:p w14:paraId="04CD0F8A" w14:textId="77777777" w:rsidR="00CA11F7" w:rsidRPr="007B2978" w:rsidRDefault="00CA11F7">
            <w:pPr>
              <w:jc w:val="center"/>
              <w:rPr>
                <w:rFonts w:ascii="Arial" w:eastAsia="Arial" w:hAnsi="Arial" w:cs="Arial"/>
                <w:sz w:val="20"/>
                <w:szCs w:val="20"/>
              </w:rPr>
            </w:pPr>
          </w:p>
        </w:tc>
        <w:tc>
          <w:tcPr>
            <w:tcW w:w="4382" w:type="dxa"/>
            <w:shd w:val="clear" w:color="auto" w:fill="auto"/>
          </w:tcPr>
          <w:p w14:paraId="54FC3944" w14:textId="44DDBF78" w:rsidR="00CA11F7" w:rsidRDefault="00114FC8">
            <w:pPr>
              <w:rPr>
                <w:rFonts w:ascii="Arial" w:eastAsia="Arial" w:hAnsi="Arial" w:cs="Arial"/>
                <w:sz w:val="20"/>
                <w:szCs w:val="20"/>
              </w:rPr>
            </w:pPr>
            <w:r>
              <w:rPr>
                <w:rFonts w:ascii="Arial" w:eastAsia="Arial" w:hAnsi="Arial" w:cs="Arial"/>
                <w:sz w:val="20"/>
                <w:szCs w:val="20"/>
              </w:rPr>
              <w:t>Michaela Moc Káčerková, ředitelka</w:t>
            </w:r>
          </w:p>
          <w:p w14:paraId="55480719" w14:textId="77777777" w:rsidR="0095615F" w:rsidRDefault="0095615F">
            <w:pPr>
              <w:rPr>
                <w:rFonts w:ascii="Arial" w:eastAsia="Arial" w:hAnsi="Arial" w:cs="Arial"/>
                <w:sz w:val="20"/>
                <w:szCs w:val="20"/>
              </w:rPr>
            </w:pPr>
          </w:p>
          <w:p w14:paraId="49D9C7F2" w14:textId="6B2DC0BD" w:rsidR="0095615F" w:rsidRPr="007B2978" w:rsidRDefault="0095615F">
            <w:pPr>
              <w:rPr>
                <w:rFonts w:ascii="Arial" w:eastAsia="Arial" w:hAnsi="Arial" w:cs="Arial"/>
                <w:sz w:val="20"/>
                <w:szCs w:val="20"/>
              </w:rPr>
            </w:pPr>
          </w:p>
        </w:tc>
      </w:tr>
      <w:tr w:rsidR="00CA11F7" w14:paraId="06AE2E3E" w14:textId="77777777">
        <w:trPr>
          <w:trHeight w:val="440"/>
          <w:jc w:val="center"/>
        </w:trPr>
        <w:tc>
          <w:tcPr>
            <w:tcW w:w="4380" w:type="dxa"/>
            <w:shd w:val="clear" w:color="auto" w:fill="auto"/>
            <w:vAlign w:val="center"/>
          </w:tcPr>
          <w:p w14:paraId="03BBBFD7" w14:textId="71D71F91" w:rsidR="00CA11F7" w:rsidRPr="004C62CD" w:rsidRDefault="00CA11F7">
            <w:pPr>
              <w:rPr>
                <w:rFonts w:ascii="Arial" w:eastAsia="Arial" w:hAnsi="Arial" w:cs="Arial"/>
                <w:sz w:val="20"/>
                <w:szCs w:val="20"/>
              </w:rPr>
            </w:pPr>
            <w:bookmarkStart w:id="7" w:name="bookmark=id.1t3h5sf" w:colFirst="0" w:colLast="0"/>
            <w:bookmarkEnd w:id="7"/>
          </w:p>
        </w:tc>
        <w:tc>
          <w:tcPr>
            <w:tcW w:w="877" w:type="dxa"/>
            <w:shd w:val="clear" w:color="auto" w:fill="auto"/>
            <w:vAlign w:val="center"/>
          </w:tcPr>
          <w:p w14:paraId="54BB5061" w14:textId="77777777" w:rsidR="00CA11F7" w:rsidRPr="004C62CD" w:rsidRDefault="00CA11F7">
            <w:pPr>
              <w:jc w:val="center"/>
              <w:rPr>
                <w:rFonts w:ascii="Arial" w:eastAsia="Arial" w:hAnsi="Arial" w:cs="Arial"/>
                <w:sz w:val="20"/>
                <w:szCs w:val="20"/>
              </w:rPr>
            </w:pPr>
          </w:p>
        </w:tc>
        <w:tc>
          <w:tcPr>
            <w:tcW w:w="4382" w:type="dxa"/>
            <w:shd w:val="clear" w:color="auto" w:fill="auto"/>
            <w:vAlign w:val="center"/>
          </w:tcPr>
          <w:p w14:paraId="310778B3" w14:textId="0174F616" w:rsidR="00CA11F7" w:rsidRPr="000C7CA4" w:rsidRDefault="00CA11F7">
            <w:pPr>
              <w:rPr>
                <w:rFonts w:ascii="Arial" w:eastAsia="Arial" w:hAnsi="Arial" w:cs="Arial"/>
                <w:sz w:val="20"/>
                <w:szCs w:val="20"/>
              </w:rPr>
            </w:pPr>
          </w:p>
        </w:tc>
      </w:tr>
    </w:tbl>
    <w:p w14:paraId="6330B160" w14:textId="47452E69" w:rsidR="00CA11F7" w:rsidRDefault="00CA11F7" w:rsidP="00B62369">
      <w:pPr>
        <w:jc w:val="both"/>
        <w:rPr>
          <w:rFonts w:ascii="Arial" w:eastAsia="Arial" w:hAnsi="Arial" w:cs="Arial"/>
          <w:sz w:val="22"/>
          <w:szCs w:val="22"/>
        </w:rPr>
      </w:pPr>
    </w:p>
    <w:sectPr w:rsidR="00CA11F7">
      <w:headerReference w:type="even" r:id="rId10"/>
      <w:headerReference w:type="default" r:id="rId11"/>
      <w:footerReference w:type="default" r:id="rId12"/>
      <w:headerReference w:type="first" r:id="rId13"/>
      <w:footerReference w:type="first" r:id="rId14"/>
      <w:pgSz w:w="11906" w:h="16838"/>
      <w:pgMar w:top="1134" w:right="1133" w:bottom="1560" w:left="1134" w:header="425" w:footer="62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6F04D" w14:textId="77777777" w:rsidR="00D3360D" w:rsidRDefault="00D3360D">
      <w:r>
        <w:separator/>
      </w:r>
    </w:p>
  </w:endnote>
  <w:endnote w:type="continuationSeparator" w:id="0">
    <w:p w14:paraId="140BE7DC" w14:textId="77777777" w:rsidR="00D3360D" w:rsidRDefault="00D3360D">
      <w:r>
        <w:continuationSeparator/>
      </w:r>
    </w:p>
  </w:endnote>
  <w:endnote w:type="continuationNotice" w:id="1">
    <w:p w14:paraId="21F2D8FD" w14:textId="77777777" w:rsidR="00D3360D" w:rsidRDefault="00D33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Mono">
    <w:altName w:val="Cambria"/>
    <w:charset w:val="01"/>
    <w:family w:val="modern"/>
    <w:pitch w:val="fixed"/>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0F2A" w14:textId="49F70A56" w:rsidR="00CA11F7" w:rsidRDefault="00E750E3" w:rsidP="001C356E">
    <w:pPr>
      <w:tabs>
        <w:tab w:val="right" w:pos="8647"/>
        <w:tab w:val="right" w:pos="9781"/>
      </w:tabs>
      <w:spacing w:after="40"/>
      <w:ind w:left="-851" w:right="-851" w:firstLine="567"/>
      <w:rPr>
        <w:rFonts w:ascii="Arial" w:eastAsia="Arial" w:hAnsi="Arial" w:cs="Arial"/>
        <w:b/>
        <w:sz w:val="14"/>
        <w:szCs w:val="14"/>
      </w:rPr>
    </w:pPr>
    <w:r>
      <w:rPr>
        <w:rFonts w:ascii="Arial" w:eastAsia="Arial" w:hAnsi="Arial" w:cs="Arial"/>
        <w:sz w:val="14"/>
        <w:szCs w:val="14"/>
      </w:rPr>
      <w:tab/>
    </w:r>
    <w:r>
      <w:rPr>
        <w:rFonts w:ascii="Arial" w:eastAsia="Arial" w:hAnsi="Arial" w:cs="Arial"/>
        <w:sz w:val="14"/>
        <w:szCs w:val="14"/>
      </w:rPr>
      <w:tab/>
      <w:t xml:space="preserve">Strana </w:t>
    </w:r>
    <w:r>
      <w:rPr>
        <w:rFonts w:ascii="Arial" w:eastAsia="Arial" w:hAnsi="Arial" w:cs="Arial"/>
        <w:sz w:val="14"/>
        <w:szCs w:val="14"/>
      </w:rPr>
      <w:fldChar w:fldCharType="begin"/>
    </w:r>
    <w:r>
      <w:rPr>
        <w:rFonts w:ascii="Arial" w:eastAsia="Arial" w:hAnsi="Arial" w:cs="Arial"/>
        <w:sz w:val="14"/>
        <w:szCs w:val="14"/>
      </w:rPr>
      <w:instrText>PAGE</w:instrText>
    </w:r>
    <w:r>
      <w:rPr>
        <w:rFonts w:ascii="Arial" w:eastAsia="Arial" w:hAnsi="Arial" w:cs="Arial"/>
        <w:sz w:val="14"/>
        <w:szCs w:val="14"/>
      </w:rPr>
      <w:fldChar w:fldCharType="separate"/>
    </w:r>
    <w:r w:rsidR="00B5339B">
      <w:rPr>
        <w:rFonts w:ascii="Arial" w:eastAsia="Arial" w:hAnsi="Arial" w:cs="Arial"/>
        <w:noProof/>
        <w:sz w:val="14"/>
        <w:szCs w:val="14"/>
      </w:rPr>
      <w:t>2</w:t>
    </w:r>
    <w:r>
      <w:rPr>
        <w:rFonts w:ascii="Arial" w:eastAsia="Arial" w:hAnsi="Arial" w:cs="Arial"/>
        <w:sz w:val="14"/>
        <w:szCs w:val="14"/>
      </w:rPr>
      <w:fldChar w:fldCharType="end"/>
    </w:r>
    <w:r>
      <w:rPr>
        <w:rFonts w:ascii="Arial" w:eastAsia="Arial" w:hAnsi="Arial" w:cs="Arial"/>
        <w:sz w:val="14"/>
        <w:szCs w:val="14"/>
      </w:rPr>
      <w:t>/</w:t>
    </w:r>
    <w:r w:rsidR="00A94789">
      <w:rPr>
        <w:rFonts w:ascii="Arial" w:eastAsia="Arial" w:hAnsi="Arial" w:cs="Arial"/>
        <w:sz w:val="14"/>
        <w:szCs w:val="14"/>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9517" w14:textId="4B23661E" w:rsidR="00CA11F7" w:rsidRDefault="00E750E3">
    <w:pPr>
      <w:tabs>
        <w:tab w:val="right" w:pos="8647"/>
      </w:tabs>
      <w:spacing w:after="40"/>
      <w:ind w:left="-851" w:right="-851" w:firstLine="567"/>
      <w:rPr>
        <w:rFonts w:ascii="Arial" w:eastAsia="Arial" w:hAnsi="Arial" w:cs="Arial"/>
        <w:sz w:val="14"/>
        <w:szCs w:val="14"/>
      </w:rPr>
    </w:pPr>
    <w:r>
      <w:rPr>
        <w:rFonts w:ascii="Arial" w:eastAsia="Arial" w:hAnsi="Arial" w:cs="Arial"/>
        <w:sz w:val="14"/>
        <w:szCs w:val="14"/>
      </w:rPr>
      <w:tab/>
      <w:t xml:space="preserve">Strana </w:t>
    </w:r>
    <w:r>
      <w:rPr>
        <w:rFonts w:ascii="Arial" w:eastAsia="Arial" w:hAnsi="Arial" w:cs="Arial"/>
        <w:sz w:val="14"/>
        <w:szCs w:val="14"/>
      </w:rPr>
      <w:fldChar w:fldCharType="begin"/>
    </w:r>
    <w:r>
      <w:rPr>
        <w:rFonts w:ascii="Arial" w:eastAsia="Arial" w:hAnsi="Arial" w:cs="Arial"/>
        <w:sz w:val="14"/>
        <w:szCs w:val="14"/>
      </w:rPr>
      <w:instrText>PAGE</w:instrText>
    </w:r>
    <w:r>
      <w:rPr>
        <w:rFonts w:ascii="Arial" w:eastAsia="Arial" w:hAnsi="Arial" w:cs="Arial"/>
        <w:sz w:val="14"/>
        <w:szCs w:val="14"/>
      </w:rPr>
      <w:fldChar w:fldCharType="separate"/>
    </w:r>
    <w:r w:rsidR="00B5339B">
      <w:rPr>
        <w:rFonts w:ascii="Arial" w:eastAsia="Arial" w:hAnsi="Arial" w:cs="Arial"/>
        <w:noProof/>
        <w:sz w:val="14"/>
        <w:szCs w:val="14"/>
      </w:rPr>
      <w:t>1</w:t>
    </w:r>
    <w:r>
      <w:rPr>
        <w:rFonts w:ascii="Arial" w:eastAsia="Arial" w:hAnsi="Arial" w:cs="Arial"/>
        <w:sz w:val="14"/>
        <w:szCs w:val="14"/>
      </w:rPr>
      <w:fldChar w:fldCharType="end"/>
    </w:r>
    <w:r>
      <w:rPr>
        <w:rFonts w:ascii="Arial" w:eastAsia="Arial" w:hAnsi="Arial" w:cs="Arial"/>
        <w:sz w:val="14"/>
        <w:szCs w:val="14"/>
      </w:rPr>
      <w:t>/</w:t>
    </w:r>
    <w:r w:rsidR="00A94789">
      <w:rPr>
        <w:rFonts w:ascii="Arial" w:eastAsia="Arial" w:hAnsi="Arial" w:cs="Arial"/>
        <w:sz w:val="14"/>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C403" w14:textId="77777777" w:rsidR="00D3360D" w:rsidRDefault="00D3360D">
      <w:r>
        <w:separator/>
      </w:r>
    </w:p>
  </w:footnote>
  <w:footnote w:type="continuationSeparator" w:id="0">
    <w:p w14:paraId="5DF02CDF" w14:textId="77777777" w:rsidR="00D3360D" w:rsidRDefault="00D3360D">
      <w:r>
        <w:continuationSeparator/>
      </w:r>
    </w:p>
  </w:footnote>
  <w:footnote w:type="continuationNotice" w:id="1">
    <w:p w14:paraId="40EEA82D" w14:textId="77777777" w:rsidR="00D3360D" w:rsidRDefault="00D33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4409" w14:textId="77777777" w:rsidR="00CA11F7" w:rsidRDefault="00E750E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4A73F39F" w14:textId="77777777" w:rsidR="00CA11F7" w:rsidRDefault="007752B0">
    <w:pPr>
      <w:pBdr>
        <w:top w:val="nil"/>
        <w:left w:val="nil"/>
        <w:bottom w:val="nil"/>
        <w:right w:val="nil"/>
        <w:between w:val="nil"/>
      </w:pBdr>
      <w:tabs>
        <w:tab w:val="center" w:pos="4536"/>
        <w:tab w:val="right" w:pos="9072"/>
      </w:tabs>
      <w:ind w:right="360"/>
      <w:rPr>
        <w:color w:val="000000"/>
      </w:rPr>
    </w:pPr>
    <w:r>
      <w:rPr>
        <w:color w:val="000000"/>
      </w:rPr>
      <w:pict w14:anchorId="42D7F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95.45pt;height:842.05pt;z-index:-251658752;mso-wrap-edited:f;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F102" w14:textId="695E4294" w:rsidR="00CA11F7" w:rsidRDefault="00CA11F7">
    <w:pPr>
      <w:pBdr>
        <w:top w:val="nil"/>
        <w:left w:val="nil"/>
        <w:bottom w:val="single" w:sz="4" w:space="1" w:color="000000"/>
        <w:right w:val="nil"/>
        <w:between w:val="nil"/>
      </w:pBdr>
      <w:tabs>
        <w:tab w:val="center" w:pos="4536"/>
        <w:tab w:val="right" w:pos="9072"/>
        <w:tab w:val="right" w:pos="9923"/>
      </w:tabs>
      <w:ind w:right="357"/>
      <w:jc w:val="right"/>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9D49" w14:textId="6A967357" w:rsidR="00CA11F7" w:rsidRDefault="00E750E3">
    <w:pPr>
      <w:pBdr>
        <w:top w:val="nil"/>
        <w:left w:val="nil"/>
        <w:bottom w:val="nil"/>
        <w:right w:val="nil"/>
        <w:between w:val="nil"/>
      </w:pBdr>
      <w:tabs>
        <w:tab w:val="center" w:pos="4536"/>
        <w:tab w:val="right" w:pos="9072"/>
      </w:tabs>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F01"/>
    <w:multiLevelType w:val="multilevel"/>
    <w:tmpl w:val="9B7A142C"/>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9712C8"/>
    <w:multiLevelType w:val="multilevel"/>
    <w:tmpl w:val="7A6CDEB0"/>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B637C4"/>
    <w:multiLevelType w:val="multilevel"/>
    <w:tmpl w:val="53CAD3D2"/>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D27DBC"/>
    <w:multiLevelType w:val="multilevel"/>
    <w:tmpl w:val="CAF8384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1F6A8F"/>
    <w:multiLevelType w:val="multilevel"/>
    <w:tmpl w:val="76889DA0"/>
    <w:lvl w:ilvl="0">
      <w:start w:val="1"/>
      <w:numFmt w:val="decimal"/>
      <w:lvlText w:val="%1"/>
      <w:lvlJc w:val="right"/>
      <w:pPr>
        <w:ind w:left="1213" w:hanging="360"/>
      </w:p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5" w15:restartNumberingAfterBreak="0">
    <w:nsid w:val="323D1ADE"/>
    <w:multiLevelType w:val="multilevel"/>
    <w:tmpl w:val="DB443934"/>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1C7559"/>
    <w:multiLevelType w:val="multilevel"/>
    <w:tmpl w:val="609819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40751B95"/>
    <w:multiLevelType w:val="multilevel"/>
    <w:tmpl w:val="B42CB128"/>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F34103"/>
    <w:multiLevelType w:val="multilevel"/>
    <w:tmpl w:val="859052E8"/>
    <w:lvl w:ilvl="0">
      <w:start w:val="1"/>
      <w:numFmt w:val="decimal"/>
      <w:pStyle w:val="slovanodstavec"/>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F419B8"/>
    <w:multiLevelType w:val="multilevel"/>
    <w:tmpl w:val="A2400D90"/>
    <w:lvl w:ilvl="0">
      <w:start w:val="100"/>
      <w:numFmt w:val="bullet"/>
      <w:pStyle w:val="Nadpis1"/>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1EE4B40"/>
    <w:multiLevelType w:val="hybridMultilevel"/>
    <w:tmpl w:val="0FE2C9A0"/>
    <w:lvl w:ilvl="0" w:tplc="896EE1CA">
      <w:start w:val="1"/>
      <w:numFmt w:val="decimal"/>
      <w:lvlText w:val="%1"/>
      <w:lvlJc w:val="left"/>
      <w:pPr>
        <w:ind w:left="502" w:hanging="360"/>
      </w:pPr>
      <w:rPr>
        <w:rFonts w:hint="default"/>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5202590E"/>
    <w:multiLevelType w:val="multilevel"/>
    <w:tmpl w:val="64B02D3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BA44BD"/>
    <w:multiLevelType w:val="multilevel"/>
    <w:tmpl w:val="86E8E3F8"/>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7C65E7"/>
    <w:multiLevelType w:val="multilevel"/>
    <w:tmpl w:val="8A02E8B0"/>
    <w:lvl w:ilvl="0">
      <w:start w:val="1"/>
      <w:numFmt w:val="decimal"/>
      <w:lvlText w:val="%1."/>
      <w:lvlJc w:val="left"/>
      <w:pPr>
        <w:tabs>
          <w:tab w:val="num" w:pos="0"/>
        </w:tabs>
        <w:ind w:left="0" w:firstLine="0"/>
      </w:pPr>
      <w:rPr>
        <w:rFonts w:hint="default"/>
        <w:b/>
        <w:i w:val="0"/>
        <w:sz w:val="22"/>
        <w:u w:val="none"/>
      </w:rPr>
    </w:lvl>
    <w:lvl w:ilvl="1">
      <w:start w:val="1"/>
      <w:numFmt w:val="decimal"/>
      <w:isLgl/>
      <w:lvlText w:val="%1.%2"/>
      <w:lvlJc w:val="left"/>
      <w:pPr>
        <w:tabs>
          <w:tab w:val="num" w:pos="993"/>
        </w:tabs>
        <w:ind w:left="851" w:hanging="709"/>
      </w:pPr>
      <w:rPr>
        <w:rFonts w:ascii="Times New Roman" w:hAnsi="Times New Roman" w:hint="default"/>
        <w:b/>
        <w:i w:val="0"/>
        <w:sz w:val="22"/>
      </w:rPr>
    </w:lvl>
    <w:lvl w:ilvl="2">
      <w:start w:val="1"/>
      <w:numFmt w:val="decimal"/>
      <w:isLgl/>
      <w:lvlText w:val="%1.%2.%3"/>
      <w:lvlJc w:val="left"/>
      <w:pPr>
        <w:tabs>
          <w:tab w:val="num" w:pos="1561"/>
        </w:tabs>
        <w:ind w:left="1561" w:hanging="709"/>
      </w:pPr>
      <w:rPr>
        <w:rFonts w:ascii="Times New Roman" w:hAnsi="Times New Roman"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4164D3B"/>
    <w:multiLevelType w:val="multilevel"/>
    <w:tmpl w:val="164EF8A2"/>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FF4FA8"/>
    <w:multiLevelType w:val="multilevel"/>
    <w:tmpl w:val="30382E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85E10E8"/>
    <w:multiLevelType w:val="hybridMultilevel"/>
    <w:tmpl w:val="8696CAAC"/>
    <w:lvl w:ilvl="0" w:tplc="896EE1CA">
      <w:start w:val="1"/>
      <w:numFmt w:val="decimal"/>
      <w:lvlText w:val="%1"/>
      <w:lvlJc w:val="left"/>
      <w:pPr>
        <w:ind w:left="36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94159734">
    <w:abstractNumId w:val="0"/>
  </w:num>
  <w:num w:numId="2" w16cid:durableId="200291284">
    <w:abstractNumId w:val="14"/>
  </w:num>
  <w:num w:numId="3" w16cid:durableId="2124567992">
    <w:abstractNumId w:val="9"/>
  </w:num>
  <w:num w:numId="4" w16cid:durableId="867916557">
    <w:abstractNumId w:val="8"/>
  </w:num>
  <w:num w:numId="5" w16cid:durableId="907346351">
    <w:abstractNumId w:val="5"/>
  </w:num>
  <w:num w:numId="6" w16cid:durableId="1207915797">
    <w:abstractNumId w:val="7"/>
  </w:num>
  <w:num w:numId="7" w16cid:durableId="997927120">
    <w:abstractNumId w:val="1"/>
  </w:num>
  <w:num w:numId="8" w16cid:durableId="1046300082">
    <w:abstractNumId w:val="12"/>
  </w:num>
  <w:num w:numId="9" w16cid:durableId="1262299984">
    <w:abstractNumId w:val="2"/>
  </w:num>
  <w:num w:numId="10" w16cid:durableId="1394159530">
    <w:abstractNumId w:val="6"/>
  </w:num>
  <w:num w:numId="11" w16cid:durableId="1824226938">
    <w:abstractNumId w:val="11"/>
  </w:num>
  <w:num w:numId="12" w16cid:durableId="1810122046">
    <w:abstractNumId w:val="15"/>
  </w:num>
  <w:num w:numId="13" w16cid:durableId="2047483532">
    <w:abstractNumId w:val="4"/>
  </w:num>
  <w:num w:numId="14" w16cid:durableId="574783298">
    <w:abstractNumId w:val="16"/>
  </w:num>
  <w:num w:numId="15" w16cid:durableId="1351905749">
    <w:abstractNumId w:val="3"/>
  </w:num>
  <w:num w:numId="16" w16cid:durableId="567615515">
    <w:abstractNumId w:val="13"/>
  </w:num>
  <w:num w:numId="17" w16cid:durableId="699359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1F7"/>
    <w:rsid w:val="00001709"/>
    <w:rsid w:val="0001301C"/>
    <w:rsid w:val="00024D27"/>
    <w:rsid w:val="000558B3"/>
    <w:rsid w:val="000651D9"/>
    <w:rsid w:val="000668AC"/>
    <w:rsid w:val="00072C35"/>
    <w:rsid w:val="00084EB7"/>
    <w:rsid w:val="00091FDF"/>
    <w:rsid w:val="000926AD"/>
    <w:rsid w:val="000A3BDB"/>
    <w:rsid w:val="000B6F3B"/>
    <w:rsid w:val="000C380F"/>
    <w:rsid w:val="000C7CA4"/>
    <w:rsid w:val="000D5B01"/>
    <w:rsid w:val="000D7758"/>
    <w:rsid w:val="000E30BA"/>
    <w:rsid w:val="000E469D"/>
    <w:rsid w:val="000F5FCB"/>
    <w:rsid w:val="001117FE"/>
    <w:rsid w:val="00114FC8"/>
    <w:rsid w:val="00144EDF"/>
    <w:rsid w:val="00160E88"/>
    <w:rsid w:val="0017460D"/>
    <w:rsid w:val="00185238"/>
    <w:rsid w:val="001A7945"/>
    <w:rsid w:val="001B267B"/>
    <w:rsid w:val="001B5124"/>
    <w:rsid w:val="001B74D2"/>
    <w:rsid w:val="001C356E"/>
    <w:rsid w:val="001E0130"/>
    <w:rsid w:val="001E20B6"/>
    <w:rsid w:val="001E4855"/>
    <w:rsid w:val="001F00A1"/>
    <w:rsid w:val="001F3827"/>
    <w:rsid w:val="001F723B"/>
    <w:rsid w:val="00204F79"/>
    <w:rsid w:val="00220B1F"/>
    <w:rsid w:val="00225A7D"/>
    <w:rsid w:val="00235630"/>
    <w:rsid w:val="002463D0"/>
    <w:rsid w:val="00251904"/>
    <w:rsid w:val="00263BBF"/>
    <w:rsid w:val="002647A8"/>
    <w:rsid w:val="0026494A"/>
    <w:rsid w:val="00265F63"/>
    <w:rsid w:val="002667A3"/>
    <w:rsid w:val="002740EE"/>
    <w:rsid w:val="002835A3"/>
    <w:rsid w:val="00284E0F"/>
    <w:rsid w:val="00295FC5"/>
    <w:rsid w:val="00296F07"/>
    <w:rsid w:val="002A2D79"/>
    <w:rsid w:val="002C3E3C"/>
    <w:rsid w:val="002C70B6"/>
    <w:rsid w:val="002D72D0"/>
    <w:rsid w:val="002F2783"/>
    <w:rsid w:val="002F4A1F"/>
    <w:rsid w:val="00305A8A"/>
    <w:rsid w:val="00312DF1"/>
    <w:rsid w:val="00325F60"/>
    <w:rsid w:val="003301F1"/>
    <w:rsid w:val="00332F18"/>
    <w:rsid w:val="00333EAA"/>
    <w:rsid w:val="00334922"/>
    <w:rsid w:val="00336527"/>
    <w:rsid w:val="00355E8D"/>
    <w:rsid w:val="00356E03"/>
    <w:rsid w:val="003576E0"/>
    <w:rsid w:val="00360236"/>
    <w:rsid w:val="0036204A"/>
    <w:rsid w:val="003759C7"/>
    <w:rsid w:val="00386A7A"/>
    <w:rsid w:val="003A059A"/>
    <w:rsid w:val="003A0960"/>
    <w:rsid w:val="003A6DDE"/>
    <w:rsid w:val="003A79AC"/>
    <w:rsid w:val="003D0734"/>
    <w:rsid w:val="003D7EE6"/>
    <w:rsid w:val="003E197F"/>
    <w:rsid w:val="003E1A4E"/>
    <w:rsid w:val="003E1B02"/>
    <w:rsid w:val="003F6D0D"/>
    <w:rsid w:val="0040359E"/>
    <w:rsid w:val="00417020"/>
    <w:rsid w:val="00423E57"/>
    <w:rsid w:val="00441D5F"/>
    <w:rsid w:val="004441B2"/>
    <w:rsid w:val="0045419F"/>
    <w:rsid w:val="0045492F"/>
    <w:rsid w:val="004615A2"/>
    <w:rsid w:val="004723FB"/>
    <w:rsid w:val="004A53B7"/>
    <w:rsid w:val="004B1F70"/>
    <w:rsid w:val="004B3058"/>
    <w:rsid w:val="004C2701"/>
    <w:rsid w:val="004C62CD"/>
    <w:rsid w:val="004C6CB2"/>
    <w:rsid w:val="004D39F4"/>
    <w:rsid w:val="004E160D"/>
    <w:rsid w:val="005006FA"/>
    <w:rsid w:val="00503206"/>
    <w:rsid w:val="00507809"/>
    <w:rsid w:val="0053334B"/>
    <w:rsid w:val="00537C2C"/>
    <w:rsid w:val="005612A7"/>
    <w:rsid w:val="00565F67"/>
    <w:rsid w:val="00572078"/>
    <w:rsid w:val="00582FF5"/>
    <w:rsid w:val="005872B2"/>
    <w:rsid w:val="00590711"/>
    <w:rsid w:val="005937E8"/>
    <w:rsid w:val="005971A6"/>
    <w:rsid w:val="005A3521"/>
    <w:rsid w:val="005A52AA"/>
    <w:rsid w:val="005B08D6"/>
    <w:rsid w:val="005B318A"/>
    <w:rsid w:val="005B3C1C"/>
    <w:rsid w:val="005E3D46"/>
    <w:rsid w:val="00612997"/>
    <w:rsid w:val="00617AF4"/>
    <w:rsid w:val="00622BD6"/>
    <w:rsid w:val="00631D7C"/>
    <w:rsid w:val="00632996"/>
    <w:rsid w:val="00665341"/>
    <w:rsid w:val="00680ED2"/>
    <w:rsid w:val="006A1143"/>
    <w:rsid w:val="006D491D"/>
    <w:rsid w:val="006E00C1"/>
    <w:rsid w:val="006E0793"/>
    <w:rsid w:val="006F50AE"/>
    <w:rsid w:val="00714D2C"/>
    <w:rsid w:val="00722BFC"/>
    <w:rsid w:val="00723678"/>
    <w:rsid w:val="00723AF1"/>
    <w:rsid w:val="00724DF2"/>
    <w:rsid w:val="0073230C"/>
    <w:rsid w:val="007423A2"/>
    <w:rsid w:val="007467DD"/>
    <w:rsid w:val="0075786E"/>
    <w:rsid w:val="0076123F"/>
    <w:rsid w:val="00763672"/>
    <w:rsid w:val="007752B0"/>
    <w:rsid w:val="00795E7B"/>
    <w:rsid w:val="00796CCC"/>
    <w:rsid w:val="007A270A"/>
    <w:rsid w:val="007A3D02"/>
    <w:rsid w:val="007B2978"/>
    <w:rsid w:val="007B3999"/>
    <w:rsid w:val="007E4DDE"/>
    <w:rsid w:val="007F3F67"/>
    <w:rsid w:val="0080591D"/>
    <w:rsid w:val="008148DE"/>
    <w:rsid w:val="00825075"/>
    <w:rsid w:val="008337F7"/>
    <w:rsid w:val="008364CA"/>
    <w:rsid w:val="00837070"/>
    <w:rsid w:val="00850500"/>
    <w:rsid w:val="00852C28"/>
    <w:rsid w:val="00853F20"/>
    <w:rsid w:val="00855CEE"/>
    <w:rsid w:val="00862BC0"/>
    <w:rsid w:val="00862E89"/>
    <w:rsid w:val="008702D6"/>
    <w:rsid w:val="00874B08"/>
    <w:rsid w:val="0087680B"/>
    <w:rsid w:val="0089454F"/>
    <w:rsid w:val="008A101F"/>
    <w:rsid w:val="008A391B"/>
    <w:rsid w:val="008A3B80"/>
    <w:rsid w:val="008C085A"/>
    <w:rsid w:val="008C224E"/>
    <w:rsid w:val="008C354B"/>
    <w:rsid w:val="008D0D46"/>
    <w:rsid w:val="008E0CB5"/>
    <w:rsid w:val="008E4C90"/>
    <w:rsid w:val="008F3F2D"/>
    <w:rsid w:val="00912F47"/>
    <w:rsid w:val="00924565"/>
    <w:rsid w:val="00926F7E"/>
    <w:rsid w:val="0095615F"/>
    <w:rsid w:val="009604C4"/>
    <w:rsid w:val="009626A9"/>
    <w:rsid w:val="009713C7"/>
    <w:rsid w:val="009720B5"/>
    <w:rsid w:val="00974B13"/>
    <w:rsid w:val="00994740"/>
    <w:rsid w:val="009974E9"/>
    <w:rsid w:val="00997EA2"/>
    <w:rsid w:val="009A55C4"/>
    <w:rsid w:val="009C151F"/>
    <w:rsid w:val="009E6169"/>
    <w:rsid w:val="00A03E46"/>
    <w:rsid w:val="00A1065D"/>
    <w:rsid w:val="00A204D3"/>
    <w:rsid w:val="00A36D44"/>
    <w:rsid w:val="00A3712D"/>
    <w:rsid w:val="00A4238E"/>
    <w:rsid w:val="00A42828"/>
    <w:rsid w:val="00A42C9D"/>
    <w:rsid w:val="00A54AA0"/>
    <w:rsid w:val="00A94789"/>
    <w:rsid w:val="00AA4362"/>
    <w:rsid w:val="00AD2C0E"/>
    <w:rsid w:val="00AE10E6"/>
    <w:rsid w:val="00B03832"/>
    <w:rsid w:val="00B0596D"/>
    <w:rsid w:val="00B112C8"/>
    <w:rsid w:val="00B261F8"/>
    <w:rsid w:val="00B42CA8"/>
    <w:rsid w:val="00B437D8"/>
    <w:rsid w:val="00B5339B"/>
    <w:rsid w:val="00B62369"/>
    <w:rsid w:val="00B64FA6"/>
    <w:rsid w:val="00B66403"/>
    <w:rsid w:val="00B80E6D"/>
    <w:rsid w:val="00BB4B23"/>
    <w:rsid w:val="00BC3B2C"/>
    <w:rsid w:val="00BC49F0"/>
    <w:rsid w:val="00BC52A6"/>
    <w:rsid w:val="00BC586B"/>
    <w:rsid w:val="00BE2D46"/>
    <w:rsid w:val="00C01412"/>
    <w:rsid w:val="00C2092A"/>
    <w:rsid w:val="00C4347B"/>
    <w:rsid w:val="00C604EB"/>
    <w:rsid w:val="00C63E17"/>
    <w:rsid w:val="00C64347"/>
    <w:rsid w:val="00C678E4"/>
    <w:rsid w:val="00C77025"/>
    <w:rsid w:val="00C90F12"/>
    <w:rsid w:val="00C97BF2"/>
    <w:rsid w:val="00C97E11"/>
    <w:rsid w:val="00CA11F7"/>
    <w:rsid w:val="00CA2F38"/>
    <w:rsid w:val="00CB1731"/>
    <w:rsid w:val="00CB6646"/>
    <w:rsid w:val="00CD0B93"/>
    <w:rsid w:val="00CE048A"/>
    <w:rsid w:val="00CE49CB"/>
    <w:rsid w:val="00CF1744"/>
    <w:rsid w:val="00D03ACE"/>
    <w:rsid w:val="00D3360D"/>
    <w:rsid w:val="00D36BD3"/>
    <w:rsid w:val="00D56556"/>
    <w:rsid w:val="00D9696A"/>
    <w:rsid w:val="00DA2F6C"/>
    <w:rsid w:val="00DB21D7"/>
    <w:rsid w:val="00DD2ADB"/>
    <w:rsid w:val="00DD5058"/>
    <w:rsid w:val="00DD591C"/>
    <w:rsid w:val="00DE5EA9"/>
    <w:rsid w:val="00DF53EA"/>
    <w:rsid w:val="00E10EE6"/>
    <w:rsid w:val="00E117C4"/>
    <w:rsid w:val="00E12E89"/>
    <w:rsid w:val="00E16FDD"/>
    <w:rsid w:val="00E40562"/>
    <w:rsid w:val="00E449DB"/>
    <w:rsid w:val="00E47F43"/>
    <w:rsid w:val="00E62873"/>
    <w:rsid w:val="00E63D80"/>
    <w:rsid w:val="00E6769A"/>
    <w:rsid w:val="00E750E3"/>
    <w:rsid w:val="00E75DF8"/>
    <w:rsid w:val="00E77191"/>
    <w:rsid w:val="00E8385C"/>
    <w:rsid w:val="00E83C0C"/>
    <w:rsid w:val="00E83E7B"/>
    <w:rsid w:val="00E8547B"/>
    <w:rsid w:val="00E95E66"/>
    <w:rsid w:val="00E972FF"/>
    <w:rsid w:val="00EB1DAB"/>
    <w:rsid w:val="00ED1B2C"/>
    <w:rsid w:val="00ED5876"/>
    <w:rsid w:val="00EF4E70"/>
    <w:rsid w:val="00F108CF"/>
    <w:rsid w:val="00F15B2A"/>
    <w:rsid w:val="00F227D3"/>
    <w:rsid w:val="00F30FDC"/>
    <w:rsid w:val="00F552E4"/>
    <w:rsid w:val="00F7067D"/>
    <w:rsid w:val="00F71553"/>
    <w:rsid w:val="00F7754C"/>
    <w:rsid w:val="00F86F70"/>
    <w:rsid w:val="00F95346"/>
    <w:rsid w:val="00FA0374"/>
    <w:rsid w:val="00FA6A11"/>
    <w:rsid w:val="00FB0895"/>
    <w:rsid w:val="00FC1009"/>
    <w:rsid w:val="00FD0D5B"/>
    <w:rsid w:val="00FD301B"/>
    <w:rsid w:val="00FD3413"/>
    <w:rsid w:val="00FE00BB"/>
    <w:rsid w:val="00FE61C0"/>
    <w:rsid w:val="00FF45DB"/>
    <w:rsid w:val="00FF68B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D27F8"/>
  <w15:docId w15:val="{56FE8431-1B7B-4AE1-A474-065407DD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2"/>
    <w:next w:val="Normln"/>
    <w:link w:val="Nadpis1Char"/>
    <w:uiPriority w:val="9"/>
    <w:qFormat/>
    <w:rsid w:val="00016C49"/>
    <w:pPr>
      <w:numPr>
        <w:numId w:val="3"/>
      </w:numPr>
      <w:spacing w:before="120"/>
      <w:jc w:val="center"/>
      <w:outlineLvl w:val="0"/>
    </w:pPr>
    <w:rPr>
      <w:rFonts w:cs="Arial"/>
      <w:sz w:val="22"/>
    </w:rPr>
  </w:style>
  <w:style w:type="paragraph" w:styleId="Nadpis2">
    <w:name w:val="heading 2"/>
    <w:basedOn w:val="Normln"/>
    <w:next w:val="Normln"/>
    <w:link w:val="Nadpis2Char"/>
    <w:uiPriority w:val="9"/>
    <w:unhideWhenUsed/>
    <w:qFormat/>
    <w:rsid w:val="004A7C21"/>
    <w:pPr>
      <w:keepLines/>
      <w:spacing w:after="120" w:line="276" w:lineRule="auto"/>
      <w:ind w:left="850" w:hanging="357"/>
      <w:jc w:val="both"/>
      <w:outlineLvl w:val="1"/>
    </w:pPr>
    <w:rPr>
      <w:rFonts w:ascii="Arial" w:hAnsi="Arial"/>
      <w:b/>
      <w:szCs w:val="22"/>
    </w:rPr>
  </w:style>
  <w:style w:type="paragraph" w:styleId="Nadpis3">
    <w:name w:val="heading 3"/>
    <w:basedOn w:val="Normln"/>
    <w:next w:val="Normln"/>
    <w:link w:val="Nadpis3Char"/>
    <w:uiPriority w:val="9"/>
    <w:unhideWhenUsed/>
    <w:qFormat/>
    <w:rsid w:val="004A7C21"/>
    <w:pPr>
      <w:keepNext/>
      <w:spacing w:before="240" w:after="60" w:line="276" w:lineRule="auto"/>
      <w:ind w:left="850" w:hanging="357"/>
      <w:jc w:val="both"/>
      <w:outlineLvl w:val="2"/>
    </w:pPr>
    <w:rPr>
      <w:rFonts w:ascii="Cambria" w:hAnsi="Cambria"/>
      <w:b/>
      <w:bCs/>
      <w:sz w:val="26"/>
      <w:szCs w:val="26"/>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paragraph" w:styleId="Prosttext">
    <w:name w:val="Plain Text"/>
    <w:basedOn w:val="Normln"/>
    <w:link w:val="ProsttextChar"/>
    <w:uiPriority w:val="99"/>
    <w:rsid w:val="00DA4AEC"/>
    <w:rPr>
      <w:rFonts w:ascii="Courier New" w:hAnsi="Courier New" w:cs="Courier New"/>
      <w:sz w:val="20"/>
      <w:szCs w:val="20"/>
    </w:rPr>
  </w:style>
  <w:style w:type="paragraph" w:customStyle="1" w:styleId="Pa0">
    <w:name w:val="Pa0"/>
    <w:basedOn w:val="Normln"/>
    <w:next w:val="Normln"/>
    <w:rsid w:val="00DA4AEC"/>
    <w:pPr>
      <w:autoSpaceDE w:val="0"/>
      <w:autoSpaceDN w:val="0"/>
      <w:adjustRightInd w:val="0"/>
      <w:spacing w:line="241" w:lineRule="atLeast"/>
    </w:pPr>
    <w:rPr>
      <w:rFonts w:ascii="Helvetica" w:hAnsi="Helvetica"/>
    </w:rPr>
  </w:style>
  <w:style w:type="character" w:customStyle="1" w:styleId="A1">
    <w:name w:val="A1"/>
    <w:rsid w:val="00DA4AEC"/>
    <w:rPr>
      <w:rFonts w:cs="Helvetica"/>
      <w:b/>
      <w:bCs/>
      <w:color w:val="000000"/>
      <w:sz w:val="22"/>
      <w:szCs w:val="22"/>
    </w:rPr>
  </w:style>
  <w:style w:type="character" w:customStyle="1" w:styleId="A0">
    <w:name w:val="A0"/>
    <w:rsid w:val="008737E3"/>
    <w:rPr>
      <w:rFonts w:cs="Arial"/>
      <w:color w:val="000000"/>
      <w:sz w:val="17"/>
      <w:szCs w:val="17"/>
    </w:rPr>
  </w:style>
  <w:style w:type="paragraph" w:styleId="Zhlav">
    <w:name w:val="header"/>
    <w:basedOn w:val="Normln"/>
    <w:link w:val="ZhlavChar"/>
    <w:uiPriority w:val="99"/>
    <w:rsid w:val="00720B4F"/>
    <w:pPr>
      <w:tabs>
        <w:tab w:val="center" w:pos="4536"/>
        <w:tab w:val="right" w:pos="9072"/>
      </w:tabs>
    </w:pPr>
  </w:style>
  <w:style w:type="paragraph" w:styleId="Zpat">
    <w:name w:val="footer"/>
    <w:basedOn w:val="Normln"/>
    <w:link w:val="ZpatChar"/>
    <w:rsid w:val="00720B4F"/>
    <w:pPr>
      <w:tabs>
        <w:tab w:val="center" w:pos="4536"/>
        <w:tab w:val="right" w:pos="9072"/>
      </w:tabs>
    </w:pPr>
  </w:style>
  <w:style w:type="table" w:styleId="Mkatabulky">
    <w:name w:val="Table Grid"/>
    <w:basedOn w:val="Normlntabulka"/>
    <w:rsid w:val="0034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6C4ADC"/>
  </w:style>
  <w:style w:type="character" w:customStyle="1" w:styleId="ZpatChar">
    <w:name w:val="Zápatí Char"/>
    <w:link w:val="Zpat"/>
    <w:rsid w:val="008D4485"/>
    <w:rPr>
      <w:sz w:val="24"/>
      <w:szCs w:val="24"/>
    </w:rPr>
  </w:style>
  <w:style w:type="character" w:customStyle="1" w:styleId="Nadpis1Char">
    <w:name w:val="Nadpis 1 Char"/>
    <w:link w:val="Nadpis1"/>
    <w:rsid w:val="00016C49"/>
    <w:rPr>
      <w:rFonts w:ascii="Arial" w:hAnsi="Arial" w:cs="Arial"/>
      <w:b/>
      <w:sz w:val="22"/>
      <w:szCs w:val="22"/>
    </w:rPr>
  </w:style>
  <w:style w:type="character" w:customStyle="1" w:styleId="Nadpis2Char">
    <w:name w:val="Nadpis 2 Char"/>
    <w:link w:val="Nadpis2"/>
    <w:rsid w:val="004A7C21"/>
    <w:rPr>
      <w:rFonts w:ascii="Arial" w:hAnsi="Arial"/>
      <w:b/>
      <w:sz w:val="24"/>
      <w:szCs w:val="22"/>
    </w:rPr>
  </w:style>
  <w:style w:type="character" w:customStyle="1" w:styleId="Nadpis3Char">
    <w:name w:val="Nadpis 3 Char"/>
    <w:link w:val="Nadpis3"/>
    <w:uiPriority w:val="9"/>
    <w:rsid w:val="004A7C21"/>
    <w:rPr>
      <w:rFonts w:ascii="Cambria" w:hAnsi="Cambria"/>
      <w:b/>
      <w:bCs/>
      <w:sz w:val="26"/>
      <w:szCs w:val="26"/>
    </w:rPr>
  </w:style>
  <w:style w:type="paragraph" w:customStyle="1" w:styleId="Normlnsodraenm">
    <w:name w:val="Normální s odražením"/>
    <w:basedOn w:val="Nadpis2"/>
    <w:link w:val="NormlnsodraenmChar"/>
    <w:qFormat/>
    <w:rsid w:val="004A7C21"/>
    <w:rPr>
      <w:rFonts w:ascii="Verdana" w:hAnsi="Verdana"/>
      <w:b w:val="0"/>
      <w:sz w:val="22"/>
    </w:rPr>
  </w:style>
  <w:style w:type="character" w:customStyle="1" w:styleId="NormlnsodraenmChar">
    <w:name w:val="Normální s odražením Char"/>
    <w:link w:val="Normlnsodraenm"/>
    <w:rsid w:val="004A7C21"/>
    <w:rPr>
      <w:rFonts w:ascii="Verdana" w:hAnsi="Verdana"/>
      <w:sz w:val="22"/>
      <w:szCs w:val="22"/>
    </w:rPr>
  </w:style>
  <w:style w:type="character" w:customStyle="1" w:styleId="ProsttextChar">
    <w:name w:val="Prostý text Char"/>
    <w:link w:val="Prosttext"/>
    <w:uiPriority w:val="99"/>
    <w:rsid w:val="004A7C21"/>
    <w:rPr>
      <w:rFonts w:ascii="Courier New" w:hAnsi="Courier New" w:cs="Courier New"/>
    </w:rPr>
  </w:style>
  <w:style w:type="paragraph" w:styleId="Textvbloku">
    <w:name w:val="Block Text"/>
    <w:basedOn w:val="Normln"/>
    <w:rsid w:val="004A7C21"/>
    <w:pPr>
      <w:spacing w:after="120" w:line="276" w:lineRule="auto"/>
      <w:ind w:left="-180" w:right="-108" w:firstLine="180"/>
      <w:jc w:val="both"/>
    </w:pPr>
  </w:style>
  <w:style w:type="character" w:customStyle="1" w:styleId="small">
    <w:name w:val="small"/>
    <w:rsid w:val="004A7C21"/>
  </w:style>
  <w:style w:type="character" w:customStyle="1" w:styleId="ZhlavChar">
    <w:name w:val="Záhlaví Char"/>
    <w:link w:val="Zhlav"/>
    <w:uiPriority w:val="99"/>
    <w:rsid w:val="004A7C21"/>
    <w:rPr>
      <w:sz w:val="24"/>
      <w:szCs w:val="24"/>
    </w:rPr>
  </w:style>
  <w:style w:type="character" w:styleId="Hypertextovodkaz">
    <w:name w:val="Hyperlink"/>
    <w:rsid w:val="004A7C21"/>
    <w:rPr>
      <w:color w:val="0563C1"/>
      <w:u w:val="single"/>
    </w:rPr>
  </w:style>
  <w:style w:type="paragraph" w:customStyle="1" w:styleId="PreformattedText">
    <w:name w:val="Preformatted Text"/>
    <w:basedOn w:val="Normln"/>
    <w:qFormat/>
    <w:rsid w:val="00727010"/>
    <w:pPr>
      <w:widowControl w:val="0"/>
    </w:pPr>
    <w:rPr>
      <w:rFonts w:ascii="Liberation Mono" w:eastAsia="Liberation Mono" w:hAnsi="Liberation Mono" w:cs="Liberation Mono"/>
      <w:sz w:val="20"/>
      <w:szCs w:val="20"/>
      <w:lang w:val="en-US" w:eastAsia="zh-CN" w:bidi="hi-IN"/>
    </w:rPr>
  </w:style>
  <w:style w:type="paragraph" w:styleId="Odstavecseseznamem">
    <w:name w:val="List Paragraph"/>
    <w:basedOn w:val="Normln"/>
    <w:uiPriority w:val="34"/>
    <w:qFormat/>
    <w:rsid w:val="00935FBF"/>
    <w:pPr>
      <w:ind w:left="708"/>
    </w:pPr>
  </w:style>
  <w:style w:type="paragraph" w:styleId="Textbubliny">
    <w:name w:val="Balloon Text"/>
    <w:basedOn w:val="Normln"/>
    <w:link w:val="TextbublinyChar"/>
    <w:rsid w:val="003A1481"/>
    <w:rPr>
      <w:rFonts w:ascii="Segoe UI" w:hAnsi="Segoe UI" w:cs="Segoe UI"/>
      <w:sz w:val="18"/>
      <w:szCs w:val="18"/>
    </w:rPr>
  </w:style>
  <w:style w:type="character" w:customStyle="1" w:styleId="TextbublinyChar">
    <w:name w:val="Text bubliny Char"/>
    <w:link w:val="Textbubliny"/>
    <w:rsid w:val="003A1481"/>
    <w:rPr>
      <w:rFonts w:ascii="Segoe UI" w:hAnsi="Segoe UI" w:cs="Segoe UI"/>
      <w:sz w:val="18"/>
      <w:szCs w:val="18"/>
    </w:rPr>
  </w:style>
  <w:style w:type="character" w:customStyle="1" w:styleId="Nevyeenzmnka1">
    <w:name w:val="Nevyřešená zmínka1"/>
    <w:uiPriority w:val="99"/>
    <w:semiHidden/>
    <w:unhideWhenUsed/>
    <w:rsid w:val="00547F23"/>
    <w:rPr>
      <w:color w:val="605E5C"/>
      <w:shd w:val="clear" w:color="auto" w:fill="E1DFDD"/>
    </w:rPr>
  </w:style>
  <w:style w:type="paragraph" w:customStyle="1" w:styleId="slovanodstavec">
    <w:name w:val="číslovaný odstavec"/>
    <w:basedOn w:val="Normlnsodraenm"/>
    <w:qFormat/>
    <w:rsid w:val="00740A5B"/>
    <w:pPr>
      <w:numPr>
        <w:numId w:val="4"/>
      </w:numPr>
      <w:spacing w:after="0"/>
    </w:pPr>
    <w:rPr>
      <w:rFonts w:ascii="Arial" w:hAnsi="Arial" w:cs="Arial"/>
      <w:sz w:val="20"/>
      <w:szCs w:val="20"/>
    </w:rPr>
  </w:style>
  <w:style w:type="character" w:styleId="Odkaznakoment">
    <w:name w:val="annotation reference"/>
    <w:basedOn w:val="Standardnpsmoodstavce"/>
    <w:rsid w:val="00C35A7E"/>
    <w:rPr>
      <w:sz w:val="16"/>
      <w:szCs w:val="16"/>
    </w:rPr>
  </w:style>
  <w:style w:type="paragraph" w:styleId="Textkomente">
    <w:name w:val="annotation text"/>
    <w:basedOn w:val="Normln"/>
    <w:link w:val="TextkomenteChar"/>
    <w:uiPriority w:val="99"/>
    <w:rsid w:val="00C35A7E"/>
    <w:rPr>
      <w:sz w:val="20"/>
      <w:szCs w:val="20"/>
    </w:rPr>
  </w:style>
  <w:style w:type="character" w:customStyle="1" w:styleId="TextkomenteChar">
    <w:name w:val="Text komentáře Char"/>
    <w:basedOn w:val="Standardnpsmoodstavce"/>
    <w:link w:val="Textkomente"/>
    <w:uiPriority w:val="99"/>
    <w:rsid w:val="00C35A7E"/>
  </w:style>
  <w:style w:type="paragraph" w:styleId="Pedmtkomente">
    <w:name w:val="annotation subject"/>
    <w:basedOn w:val="Textkomente"/>
    <w:next w:val="Textkomente"/>
    <w:link w:val="PedmtkomenteChar"/>
    <w:rsid w:val="00C35A7E"/>
    <w:rPr>
      <w:b/>
      <w:bCs/>
    </w:rPr>
  </w:style>
  <w:style w:type="character" w:customStyle="1" w:styleId="PedmtkomenteChar">
    <w:name w:val="Předmět komentáře Char"/>
    <w:basedOn w:val="TextkomenteChar"/>
    <w:link w:val="Pedmtkomente"/>
    <w:rsid w:val="00C35A7E"/>
    <w:rPr>
      <w:b/>
      <w:bC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Ind w:w="0" w:type="nil"/>
      <w:tblCellMar>
        <w:left w:w="0" w:type="dxa"/>
        <w:right w:w="0" w:type="dxa"/>
      </w:tblCellMar>
    </w:tblPr>
  </w:style>
  <w:style w:type="table" w:customStyle="1" w:styleId="a2">
    <w:basedOn w:val="Normlntabulka"/>
    <w:tblPr>
      <w:tblStyleRowBandSize w:val="1"/>
      <w:tblStyleColBandSize w:val="1"/>
      <w:tblInd w:w="0" w:type="nil"/>
      <w:tblCellMar>
        <w:left w:w="0" w:type="dxa"/>
        <w:right w:w="0" w:type="dxa"/>
      </w:tblCellMar>
    </w:tblPr>
  </w:style>
  <w:style w:type="table" w:customStyle="1" w:styleId="a3">
    <w:basedOn w:val="Normlntabulka"/>
    <w:tblPr>
      <w:tblStyleRowBandSize w:val="1"/>
      <w:tblStyleColBandSize w:val="1"/>
      <w:tblInd w:w="0" w:type="nil"/>
      <w:tblCellMar>
        <w:left w:w="115" w:type="dxa"/>
        <w:right w:w="115" w:type="dxa"/>
      </w:tblCellMar>
    </w:tblPr>
  </w:style>
  <w:style w:type="paragraph" w:styleId="Revize">
    <w:name w:val="Revision"/>
    <w:hidden/>
    <w:uiPriority w:val="99"/>
    <w:semiHidden/>
    <w:rsid w:val="00FC1009"/>
  </w:style>
  <w:style w:type="character" w:styleId="Nevyeenzmnka">
    <w:name w:val="Unresolved Mention"/>
    <w:basedOn w:val="Standardnpsmoodstavce"/>
    <w:uiPriority w:val="99"/>
    <w:semiHidden/>
    <w:unhideWhenUsed/>
    <w:rsid w:val="00E12E89"/>
    <w:rPr>
      <w:color w:val="605E5C"/>
      <w:shd w:val="clear" w:color="auto" w:fill="E1DFDD"/>
    </w:rPr>
  </w:style>
  <w:style w:type="character" w:customStyle="1" w:styleId="fn">
    <w:name w:val="fn"/>
    <w:basedOn w:val="Standardnpsmoodstavce"/>
    <w:rsid w:val="00BB4B23"/>
  </w:style>
  <w:style w:type="character" w:customStyle="1" w:styleId="il">
    <w:name w:val="il"/>
    <w:basedOn w:val="Standardnpsmoodstavce"/>
    <w:rsid w:val="00185238"/>
  </w:style>
  <w:style w:type="table" w:customStyle="1" w:styleId="TableNormal">
    <w:name w:val="Table Normal"/>
    <w:rsid w:val="00FD341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58525">
      <w:bodyDiv w:val="1"/>
      <w:marLeft w:val="0"/>
      <w:marRight w:val="0"/>
      <w:marTop w:val="0"/>
      <w:marBottom w:val="0"/>
      <w:divBdr>
        <w:top w:val="none" w:sz="0" w:space="0" w:color="auto"/>
        <w:left w:val="none" w:sz="0" w:space="0" w:color="auto"/>
        <w:bottom w:val="none" w:sz="0" w:space="0" w:color="auto"/>
        <w:right w:val="none" w:sz="0" w:space="0" w:color="auto"/>
      </w:divBdr>
    </w:div>
    <w:div w:id="2094622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era.simeth@cisarskelazne.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xhzj3KpsY4TSFHIEbutf+67Nsw==">AMUW2mWKymB4u+d4Sm9kLCjzFVUqALbcWKWVlNNtYv70brb24gsaOYAvP9vVmWAFkjQeRw9ybS/AeDrFQFABZqCRcCv/6dc7UPIFL2K/DMGFXCSxoWMTAA6UrcyT/D5c3BEDOmWBseDYjRQKjj76KTcSk7dCgeZbeTdDzJCyGJubbUTPuKUaNSYuvx5cUawaD8UMtr197KpSCDS8BwwQEqKuTP9rbkO2FKjtP/97uX/pMWrDbGXbJ3s=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361D91-03D5-4F82-87D3-E9B1B5BC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1669</Words>
  <Characters>9848</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j_prucha</dc:creator>
  <cp:keywords/>
  <cp:lastModifiedBy>Andrea Vrchotová</cp:lastModifiedBy>
  <cp:revision>3</cp:revision>
  <cp:lastPrinted>2023-09-14T19:15:00Z</cp:lastPrinted>
  <dcterms:created xsi:type="dcterms:W3CDTF">2023-09-22T08:59:00Z</dcterms:created>
  <dcterms:modified xsi:type="dcterms:W3CDTF">2023-09-22T09:00:00Z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132900.000000000</vt:lpwstr>
  </property>
  <property fmtid="{D5CDD505-2E9C-101B-9397-08002B2CF9AE}" pid="3" name="Garant">
    <vt:lpwstr>900700</vt:lpwstr>
  </property>
  <property fmtid="{D5CDD505-2E9C-101B-9397-08002B2CF9AE}" pid="4" name="Evidence">
    <vt:lpwstr>27.0000000000000</vt:lpwstr>
  </property>
  <property fmtid="{D5CDD505-2E9C-101B-9397-08002B2CF9AE}" pid="5" name="Run">
    <vt:lpwstr>1</vt:lpwstr>
  </property>
  <property fmtid="{D5CDD505-2E9C-101B-9397-08002B2CF9AE}" pid="6" name="WorkflowCreationPath">
    <vt:lpwstr>bc798c3e-4b3a-4e64-96c3-fbd47ad8d7c9,12;ad6d0366-9bea-4935-b726-82623bb70c19,22;ad6d0366-9bea-4935-b726-82623bb70c19,24;ad6d0366-9bea-4935-b726-82623bb70c19,26;a7f55597-ad9b-4244-bfe9-0f0a6799d3ce,27;a7f55597-ad9b-4244-bfe9-0f0a6799d3ce,29;a7f55597-ad9b-4</vt:lpwstr>
  </property>
  <property fmtid="{D5CDD505-2E9C-101B-9397-08002B2CF9AE}" pid="7" name="PublishingExpirationDate">
    <vt:lpwstr/>
  </property>
  <property fmtid="{D5CDD505-2E9C-101B-9397-08002B2CF9AE}" pid="8" name="PublishingStartDate">
    <vt:lpwstr/>
  </property>
  <property fmtid="{D5CDD505-2E9C-101B-9397-08002B2CF9AE}" pid="9" name="ContentType">
    <vt:lpwstr>Dokument</vt:lpwstr>
  </property>
  <property fmtid="{D5CDD505-2E9C-101B-9397-08002B2CF9AE}" pid="10" name="Cílové skupiny">
    <vt:lpwstr/>
  </property>
  <property fmtid="{D5CDD505-2E9C-101B-9397-08002B2CF9AE}" pid="11" name="_dlc_DocId">
    <vt:lpwstr>VDQ3DCUZ6V27-69-192</vt:lpwstr>
  </property>
  <property fmtid="{D5CDD505-2E9C-101B-9397-08002B2CF9AE}" pid="12" name="_dlc_DocIdItemGuid">
    <vt:lpwstr>b0c51094-e627-410b-91bd-cf7167aa1415</vt:lpwstr>
  </property>
  <property fmtid="{D5CDD505-2E9C-101B-9397-08002B2CF9AE}" pid="13" name="_dlc_DocIdUrl">
    <vt:lpwstr>https://iportal.dpp.cz/sablony_dokumentu/_layouts/15/DocIdRedir.aspx?ID=VDQ3DCUZ6V27-69-192, VDQ3DCUZ6V27-69-192</vt:lpwstr>
  </property>
  <property fmtid="{D5CDD505-2E9C-101B-9397-08002B2CF9AE}" pid="14" name="display_urn:schemas-microsoft-com:office:office#Editor">
    <vt:lpwstr>Smolíková Božena 500080</vt:lpwstr>
  </property>
  <property fmtid="{D5CDD505-2E9C-101B-9397-08002B2CF9AE}" pid="15" name="display_urn:schemas-microsoft-com:office:office#Author">
    <vt:lpwstr>Kožnar David 410300</vt:lpwstr>
  </property>
  <property fmtid="{D5CDD505-2E9C-101B-9397-08002B2CF9AE}" pid="16" name="WorkflowChangePath">
    <vt:lpwstr>1fbccbda-2264-4d0c-99ba-3e33e4f53bba,6;1fbccbda-2264-4d0c-99ba-3e33e4f53bba,10;1fbccbda-2264-4d0c-99ba-3e33e4f53bba,2;</vt:lpwstr>
  </property>
  <property fmtid="{D5CDD505-2E9C-101B-9397-08002B2CF9AE}" pid="17" name="ContentTypeId">
    <vt:lpwstr>0x0101001A3D457C6D271D4E937D9CE4ACB85683</vt:lpwstr>
  </property>
</Properties>
</file>