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72" w:firstLine="0"/>
        <w:spacing w:before="0" w:after="0" w:line="204" w:lineRule="auto"/>
        <w:jc w:val="left"/>
        <w:rPr>
          <w:b w:val="true"/>
          <w:color w:val="#000000"/>
          <w:sz w:val="27"/>
          <w:lang w:val="cs-CZ"/>
          <w:spacing w:val="34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450.7pt;height:132.85pt;z-index:-1000;margin-left:-0.7pt;margin-top:421.2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4284"/>
                    <w:gridCol w:w="4730"/>
                  </w:tblGrid>
                  <w:tr>
                    <w:trPr>
                      <w:trHeight w:val="2657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4284" w:type="auto"/>
                        <w:textDirection w:val="lrTb"/>
                        <w:vAlign w:val="top"/>
                      </w:tcPr>
                      <w:p>
                        <w:pPr>
                          <w:ind w:right="2348" w:left="0" w:firstLine="0"/>
                          <w:spacing w:before="396" w:after="0" w:line="240" w:lineRule="auto"/>
                          <w:jc w:val="right"/>
                          <w:rPr>
                            <w:color w:val="#000000"/>
                            <w:sz w:val="27"/>
                            <w:lang w:val="cs-CZ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color w:val="#000000"/>
                            <w:sz w:val="27"/>
                            <w:lang w:val="cs-CZ"/>
                            <w:spacing w:val="-6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Datum: 30.1.2017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9014" w:type="auto"/>
                        <w:textDirection w:val="lrTb"/>
                        <w:vAlign w:val="top"/>
                      </w:tcPr>
                      <w:p>
                        <w:pPr>
                          <w:ind w:right="234" w:left="0"/>
                          <w:spacing w:before="0" w:after="0" w:line="240" w:lineRule="auto"/>
                          <w:jc w:val="left"/>
                        </w:pPr>
                        <w:r>
                          <w:drawing>
                            <wp:inline>
                              <wp:extent cx="2854960" cy="1687195"/>
                              <wp:docPr id="1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test1"/>
                                      <pic:cNvPicPr preferRelativeResize="false"/>
                                    </pic:nvPicPr>
                                    <pic:blipFill>
                                      <a:blip r:embed="drId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54960" cy="16871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  <w:r>
        <w:pict>
          <v:line strokeweight="0.55pt" strokecolor="#000000" from="502.9pt,186.65pt" to="502.9pt,242.7pt" style="position:absolute;mso-position-horizontal-relative:text;mso-position-vertical-relative:text;">
            <v:stroke dashstyle="shortdot"/>
          </v:line>
        </w:pict>
      </w:r>
      <w:r>
        <w:rPr>
          <w:b w:val="true"/>
          <w:color w:val="#000000"/>
          <w:sz w:val="27"/>
          <w:lang w:val="cs-CZ"/>
          <w:spacing w:val="34"/>
          <w:w w:val="100"/>
          <w:strike w:val="false"/>
          <w:vertAlign w:val="baseline"/>
          <w:rFonts w:ascii="Times New Roman" w:hAnsi="Times New Roman"/>
        </w:rPr>
        <w:t xml:space="preserve">REKAPITULACE:</w:t>
      </w:r>
    </w:p>
    <w:p>
      <w:pPr>
        <w:ind w:right="0" w:left="72" w:firstLine="0"/>
        <w:spacing w:before="936" w:after="0" w:line="240" w:lineRule="auto"/>
        <w:jc w:val="left"/>
        <w:rPr>
          <w:b w:val="true"/>
          <w:color w:val="#000000"/>
          <w:sz w:val="27"/>
          <w:lang w:val="cs-CZ"/>
          <w:spacing w:val="-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7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Stanovuji cenu obvyklou vozidla na:</w:t>
      </w:r>
    </w:p>
    <w:p>
      <w:pPr>
        <w:ind w:right="0" w:left="4104" w:firstLine="0"/>
        <w:spacing w:before="1260" w:after="0" w:line="240" w:lineRule="auto"/>
        <w:jc w:val="left"/>
        <w:rPr>
          <w:b w:val="true"/>
          <w:color w:val="#000000"/>
          <w:sz w:val="27"/>
          <w:lang w:val="cs-CZ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7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102 000,-K</w:t>
      </w:r>
      <w:r>
        <w:rPr>
          <w:b w:val="true"/>
          <w:color w:val="#000000"/>
          <w:sz w:val="27"/>
          <w:lang w:val="cs-CZ"/>
          <w:spacing w:val="4"/>
          <w:w w:val="100"/>
          <w:strike w:val="false"/>
          <w:vertAlign w:val="baseline"/>
          <w:rFonts w:ascii="Times New Roman" w:hAnsi="Times New Roman"/>
        </w:rPr>
        <w:t xml:space="preserve">č vč. DPH</w:t>
      </w:r>
    </w:p>
    <w:p>
      <w:pPr>
        <w:ind w:right="0" w:left="0" w:firstLine="0"/>
        <w:spacing w:before="1836" w:after="0" w:line="211" w:lineRule="auto"/>
        <w:jc w:val="left"/>
        <w:rPr>
          <w:color w:val="#000000"/>
          <w:sz w:val="27"/>
          <w:lang w:val="cs-CZ"/>
          <w:spacing w:val="0"/>
          <w:w w:val="100"/>
          <w:strike w:val="false"/>
          <w:u w:val="single"/>
          <w:vertAlign w:val="baseline"/>
          <w:rFonts w:ascii="Times New Roman" w:hAnsi="Times New Roman"/>
        </w:rPr>
      </w:pPr>
      <w:r>
        <w:rPr>
          <w:color w:val="#000000"/>
          <w:sz w:val="27"/>
          <w:lang w:val="cs-CZ"/>
          <w:spacing w:val="0"/>
          <w:w w:val="100"/>
          <w:strike w:val="false"/>
          <w:u w:val="single"/>
          <w:vertAlign w:val="baseline"/>
          <w:rFonts w:ascii="Times New Roman" w:hAnsi="Times New Roman"/>
        </w:rPr>
        <w:t xml:space="preserve">Znalecká doložka:</w:t>
      </w:r>
    </w:p>
    <w:p>
      <w:pPr>
        <w:ind w:right="144" w:left="0" w:firstLine="0"/>
        <w:spacing w:before="324" w:after="0" w:line="240" w:lineRule="auto"/>
        <w:jc w:val="both"/>
        <w:rPr>
          <w:color w:val="#000000"/>
          <w:sz w:val="27"/>
          <w:lang w:val="cs-CZ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7"/>
          <w:lang w:val="cs-CZ"/>
          <w:spacing w:val="2"/>
          <w:w w:val="100"/>
          <w:strike w:val="false"/>
          <w:vertAlign w:val="baseline"/>
          <w:rFonts w:ascii="Times New Roman" w:hAnsi="Times New Roman"/>
        </w:rPr>
        <w:t xml:space="preserve">Znalecký posudek jsem podal jako znalec jmenovaný rozhodnutím Krajského </w:t>
      </w:r>
      <w:r>
        <w:rPr>
          <w:color w:val="#000000"/>
          <w:sz w:val="27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soudu v </w:t>
      </w:r>
      <w:r>
        <w:rPr>
          <w:color w:val="#000000"/>
          <w:sz w:val="27"/>
          <w:lang w:val="cs-CZ"/>
          <w:spacing w:val="6"/>
          <w:w w:val="100"/>
          <w:strike w:val="false"/>
          <w:vertAlign w:val="baseline"/>
          <w:rFonts w:ascii="Times New Roman" w:hAnsi="Times New Roman"/>
        </w:rPr>
        <w:t xml:space="preserve">Českých Budějovicích ze dne 29.10.1997, pod Č. j. 1548/z, oboru </w:t>
      </w:r>
      <w:r>
        <w:rPr>
          <w:color w:val="#000000"/>
          <w:sz w:val="27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ekonomika, odvětví ceny a odhady pro oceňování motorových vozidel, zemědělské </w:t>
      </w:r>
      <w:r>
        <w:rPr>
          <w:color w:val="#000000"/>
          <w:sz w:val="27"/>
          <w:lang w:val="cs-CZ"/>
          <w:spacing w:val="-4"/>
          <w:w w:val="100"/>
          <w:strike w:val="false"/>
          <w:vertAlign w:val="baseline"/>
          <w:rFonts w:ascii="Times New Roman" w:hAnsi="Times New Roman"/>
        </w:rPr>
        <w:t xml:space="preserve">mechanizace, všeobecné strojírenství včetně posuzování technického stavu a věcí </w:t>
      </w:r>
      <w:r>
        <w:rPr>
          <w:color w:val="#000000"/>
          <w:sz w:val="27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movitých. Doprava městská a silniční.</w:t>
      </w:r>
    </w:p>
    <w:p>
      <w:pPr>
        <w:ind w:right="1008" w:left="0" w:firstLine="0"/>
        <w:spacing w:before="252" w:after="0" w:line="240" w:lineRule="auto"/>
        <w:jc w:val="left"/>
        <w:rPr>
          <w:color w:val="#000000"/>
          <w:sz w:val="27"/>
          <w:lang w:val="cs-CZ"/>
          <w:spacing w:val="-6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7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Znalecký posudek byl zapsán do znaleckého deníku podpo</w:t>
      </w:r>
      <w:r>
        <w:rPr>
          <w:color w:val="#000000"/>
          <w:sz w:val="27"/>
          <w:lang w:val="cs-CZ"/>
          <w:spacing w:val="-6"/>
          <w:w w:val="100"/>
          <w:strike w:val="false"/>
          <w:vertAlign w:val="baseline"/>
          <w:rFonts w:ascii="Times New Roman" w:hAnsi="Times New Roman"/>
        </w:rPr>
        <w:t xml:space="preserve">ř.č.9-1331/2017. </w:t>
      </w:r>
      <w:r>
        <w:rPr>
          <w:color w:val="#000000"/>
          <w:sz w:val="27"/>
          <w:lang w:val="cs-CZ"/>
          <w:spacing w:val="-2"/>
          <w:w w:val="100"/>
          <w:strike w:val="false"/>
          <w:vertAlign w:val="baseline"/>
          <w:rFonts w:ascii="Times New Roman" w:hAnsi="Times New Roman"/>
        </w:rPr>
        <w:t xml:space="preserve">Znalečné a náhradu nákladů účtuji dle připojené faktury.</w:t>
      </w:r>
    </w:p>
    <w:sectPr>
      <w:pgSz w:w="11918" w:h="16854" w:orient="portrait"/>
      <w:type w:val="nextPage"/>
      <w:textDirection w:val="lrTb"/>
      <w:pgMar w:bottom="6264" w:top="1836" w:right="1327" w:left="1531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