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31"/>
          <w:lang w:val="cs-CZ"/>
          <w:spacing w:val="70"/>
          <w:w w:val="95"/>
          <w:strike w:val="false"/>
          <w:vertAlign w:val="baseline"/>
          <w:rFonts w:ascii="Times New Roman" w:hAnsi="Times New Roman"/>
        </w:rPr>
      </w:pPr>
      <w:r>
        <w:pict>
          <v:line strokeweight="0.55pt" strokecolor="#000000" from="466.4pt,291.55pt" to="466.4pt,320.4pt" style="position:absolute;mso-position-horizontal-relative:text;mso-position-vertical-relative:text;">
            <v:stroke dashstyle="shortdot"/>
          </v:line>
        </w:pict>
      </w:r>
      <w:r>
        <w:pict>
          <v:line strokeweight="0.35pt" strokecolor="#000000" from="465.7pt,481.8pt" to="465.7pt,502.3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31"/>
          <w:lang w:val="cs-CZ"/>
          <w:spacing w:val="70"/>
          <w:w w:val="95"/>
          <w:strike w:val="false"/>
          <w:vertAlign w:val="baseline"/>
          <w:rFonts w:ascii="Times New Roman" w:hAnsi="Times New Roman"/>
        </w:rPr>
        <w:t xml:space="preserve">NÁLEZ</w:t>
      </w:r>
    </w:p>
    <w:p>
      <w:pPr>
        <w:ind w:right="0" w:left="72" w:firstLine="0"/>
        <w:spacing w:before="828" w:after="0" w:line="240" w:lineRule="auto"/>
        <w:jc w:val="left"/>
        <w:rPr>
          <w:b w:val="true"/>
          <w:color w:val="#000000"/>
          <w:sz w:val="27"/>
          <w:lang w:val="cs-CZ"/>
          <w:spacing w:val="-4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7"/>
          <w:lang w:val="cs-CZ"/>
          <w:spacing w:val="-4"/>
          <w:w w:val="100"/>
          <w:strike w:val="false"/>
          <w:u w:val="single"/>
          <w:vertAlign w:val="baseline"/>
          <w:rFonts w:ascii="Times New Roman" w:hAnsi="Times New Roman"/>
        </w:rPr>
        <w:t xml:space="preserve">Podklady pro posudek: </w:t>
      </w:r>
    </w:p>
    <w:p>
      <w:pPr>
        <w:ind w:right="72" w:left="72" w:firstLine="0"/>
        <w:spacing w:before="324" w:after="0" w:line="240" w:lineRule="auto"/>
        <w:jc w:val="left"/>
        <w:rPr>
          <w:color w:val="#000000"/>
          <w:sz w:val="23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Stanovení ceny obvyklé motorového vozidla bylo provedeno na základ</w:t>
      </w:r>
      <w:r>
        <w:rPr>
          <w:color w:val="#000000"/>
          <w:sz w:val="23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ě předloženého </w:t>
      </w:r>
      <w:r>
        <w:rPr>
          <w:color w:val="#000000"/>
          <w:sz w:val="23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technického průkazu vozidla a prohlídky vozidla v areálu společnosti v Č.Budějovicích.</w:t>
      </w:r>
    </w:p>
    <w:p>
      <w:pPr>
        <w:ind w:right="72" w:left="0" w:firstLine="0"/>
        <w:spacing w:before="540" w:after="0" w:line="240" w:lineRule="auto"/>
        <w:jc w:val="both"/>
        <w:rPr>
          <w:color w:val="#000000"/>
          <w:sz w:val="23"/>
          <w:lang w:val="cs-CZ"/>
          <w:spacing w:val="3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Ocen</w:t>
      </w:r>
      <w:r>
        <w:rPr>
          <w:color w:val="#000000"/>
          <w:sz w:val="23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ění bylo provedeno dle zák. č. 563/1991 Sb. a zákona 151 /1997 o oceňování </w:t>
      </w:r>
      <w:r>
        <w:rPr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majetku v platném znění a metodických pokynů vydaných Ústavem soudního inženýrství v Brně.</w:t>
      </w:r>
    </w:p>
    <w:p>
      <w:pPr>
        <w:ind w:right="0" w:left="0" w:firstLine="0"/>
        <w:spacing w:before="936" w:after="0" w:line="240" w:lineRule="auto"/>
        <w:jc w:val="left"/>
        <w:rPr>
          <w:b w:val="true"/>
          <w:color w:val="#000000"/>
          <w:sz w:val="27"/>
          <w:lang w:val="cs-CZ"/>
          <w:spacing w:val="-2"/>
          <w:w w:val="100"/>
          <w:strike w:val="false"/>
          <w:u w:val="single"/>
          <w:vertAlign w:val="baseline"/>
          <w:rFonts w:ascii="Times New Roman" w:hAnsi="Times New Roman"/>
        </w:rPr>
      </w:pPr>
      <w:r>
        <w:rPr>
          <w:b w:val="true"/>
          <w:color w:val="#000000"/>
          <w:sz w:val="27"/>
          <w:lang w:val="cs-CZ"/>
          <w:spacing w:val="-2"/>
          <w:w w:val="100"/>
          <w:strike w:val="false"/>
          <w:u w:val="single"/>
          <w:vertAlign w:val="baseline"/>
          <w:rFonts w:ascii="Times New Roman" w:hAnsi="Times New Roman"/>
        </w:rPr>
        <w:t xml:space="preserve">Identifikace p</w:t>
      </w:r>
      <w:r>
        <w:rPr>
          <w:b w:val="true"/>
          <w:color w:val="#000000"/>
          <w:sz w:val="27"/>
          <w:lang w:val="cs-CZ"/>
          <w:spacing w:val="-2"/>
          <w:w w:val="100"/>
          <w:strike w:val="false"/>
          <w:u w:val="single"/>
          <w:vertAlign w:val="baseline"/>
          <w:rFonts w:ascii="Times New Roman" w:hAnsi="Times New Roman"/>
        </w:rPr>
        <w:t xml:space="preserve">ředmětů:</w:t>
      </w:r>
      <w:r>
        <w:rPr>
          <w:color w:val="#000000"/>
          <w:sz w:val="6"/>
          <w:lang w:val="cs-CZ"/>
          <w:spacing w:val="-2"/>
          <w:w w:val="100"/>
          <w:strike w:val="false"/>
          <w:u w:val="single"/>
          <w:vertAlign w:val="baseline"/>
          <w:rFonts w:ascii="Times New Roman" w:hAnsi="Times New Roman"/>
        </w:rPr>
        <w:t xml:space="preserve">,</w:t>
      </w:r>
    </w:p>
    <w:p>
      <w:pPr>
        <w:ind w:right="0" w:left="504" w:firstLine="0"/>
        <w:spacing w:before="612" w:after="0" w:line="240" w:lineRule="auto"/>
        <w:jc w:val="left"/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pict>
          <v:line strokeweight="0.55pt" strokecolor="#000000" from="466.6pt,12.55pt" to="466.6pt,37.8pt" style="position:absolute;mso-position-horizontal-relative:text;mso-position-vertical-relative:text;">
            <v:stroke dashstyle="shortdot"/>
          </v:line>
        </w:pict>
      </w:r>
      <w:r>
        <w:rPr>
          <w:b w:val="true"/>
          <w:color w:val="#000000"/>
          <w:sz w:val="23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- automobil cisternový TATRA T 815 CAS 32T</w:t>
      </w:r>
    </w:p>
    <w:p>
      <w:pPr>
        <w:ind w:right="0" w:left="72" w:firstLine="0"/>
        <w:spacing w:before="2196" w:after="0" w:line="211" w:lineRule="auto"/>
        <w:jc w:val="left"/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Ocen</w:t>
      </w:r>
      <w:r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ění:</w:t>
      </w:r>
    </w:p>
    <w:p>
      <w:pPr>
        <w:ind w:right="144" w:left="72" w:firstLine="0"/>
        <w:spacing w:before="252" w:after="0" w:line="240" w:lineRule="auto"/>
        <w:jc w:val="both"/>
        <w:rPr>
          <w:color w:val="#000000"/>
          <w:sz w:val="23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3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Ocen</w:t>
      </w:r>
      <w:r>
        <w:rPr>
          <w:color w:val="#000000"/>
          <w:sz w:val="23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ění majetku je provedeno stanovením ceny obvyklé ke dni odhadu, stanovením </w:t>
      </w:r>
      <w:r>
        <w:rPr>
          <w:color w:val="#000000"/>
          <w:sz w:val="23"/>
          <w:lang w:val="cs-CZ"/>
          <w:spacing w:val="3"/>
          <w:w w:val="100"/>
          <w:strike w:val="false"/>
          <w:vertAlign w:val="baseline"/>
          <w:rFonts w:ascii="Times New Roman" w:hAnsi="Times New Roman"/>
        </w:rPr>
        <w:t xml:space="preserve">technické hodnoty a tržní ceny. Tato cena vyjadřuje užitnou cenu zařízení ve vztahu </w:t>
      </w:r>
      <w:r>
        <w:rPr>
          <w:color w:val="#000000"/>
          <w:sz w:val="23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k výchozí ceně {pořizovací), při zohlednění provedení celkových oprav, opotřebení, </w:t>
      </w:r>
      <w:r>
        <w:rPr>
          <w:color w:val="#000000"/>
          <w:sz w:val="23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stáří, umístění, případně opravitelnosti a dalšího použití.</w:t>
      </w:r>
    </w:p>
    <w:sectPr>
      <w:pgSz w:w="11918" w:h="16854" w:orient="portrait"/>
      <w:type w:val="nextPage"/>
      <w:textDirection w:val="lrTb"/>
      <w:pgMar w:bottom="4776" w:top="1688" w:right="1722" w:left="185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