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88296" w14:textId="77777777" w:rsidR="004B54C4" w:rsidRPr="0049205E" w:rsidRDefault="004B54C4">
      <w:pPr>
        <w:rPr>
          <w:rFonts w:ascii="Times New Roman" w:hAnsi="Times New Roman" w:cs="Times New Roman"/>
          <w:sz w:val="20"/>
        </w:rPr>
      </w:pPr>
    </w:p>
    <w:p w14:paraId="7C468A48" w14:textId="58B20B80"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A147AC">
        <w:rPr>
          <w:rFonts w:ascii="Times New Roman" w:hAnsi="Times New Roman" w:cs="Times New Roman"/>
          <w:b/>
          <w:sz w:val="28"/>
          <w:szCs w:val="28"/>
        </w:rPr>
        <w:t>23152</w:t>
      </w:r>
    </w:p>
    <w:p w14:paraId="3933EB89"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17DFB885" w14:textId="77777777" w:rsidR="004B54C4" w:rsidRPr="0049205E" w:rsidRDefault="004B54C4">
      <w:pPr>
        <w:jc w:val="center"/>
        <w:rPr>
          <w:rFonts w:ascii="Times New Roman" w:hAnsi="Times New Roman" w:cs="Times New Roman"/>
        </w:rPr>
      </w:pPr>
    </w:p>
    <w:p w14:paraId="7CB6804F"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0065472C" w14:textId="77777777" w:rsidR="004B54C4" w:rsidRPr="0049205E" w:rsidRDefault="004B54C4" w:rsidP="00FF6D0E">
      <w:pPr>
        <w:rPr>
          <w:rFonts w:ascii="Times New Roman" w:hAnsi="Times New Roman" w:cs="Times New Roman"/>
          <w:b/>
          <w:bCs/>
          <w:color w:val="000000"/>
          <w:lang w:eastAsia="cs-CZ" w:bidi="ar-SA"/>
        </w:rPr>
      </w:pPr>
    </w:p>
    <w:p w14:paraId="486808D3" w14:textId="77777777" w:rsidR="00FF6D0E" w:rsidRPr="0049205E" w:rsidRDefault="00FF6D0E" w:rsidP="00FF6D0E">
      <w:pPr>
        <w:rPr>
          <w:rFonts w:ascii="Times New Roman" w:hAnsi="Times New Roman" w:cs="Times New Roman"/>
          <w:b/>
          <w:bCs/>
          <w:color w:val="000000"/>
          <w:lang w:eastAsia="cs-CZ" w:bidi="ar-SA"/>
        </w:rPr>
      </w:pPr>
    </w:p>
    <w:p w14:paraId="5A275614"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321E13CF"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46EABE2C"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368E6CE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10F3FE35"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7B6C0480" w14:textId="77777777" w:rsidR="004B54C4" w:rsidRPr="0049205E" w:rsidRDefault="004B54C4">
      <w:pPr>
        <w:tabs>
          <w:tab w:val="left" w:pos="795"/>
        </w:tabs>
        <w:rPr>
          <w:rFonts w:ascii="Times New Roman" w:hAnsi="Times New Roman" w:cs="Times New Roman"/>
          <w:color w:val="000000"/>
        </w:rPr>
      </w:pPr>
    </w:p>
    <w:p w14:paraId="79F5AD1D"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60FF333C" w14:textId="77777777" w:rsidR="004B54C4" w:rsidRPr="0049205E" w:rsidRDefault="004B54C4">
      <w:pPr>
        <w:tabs>
          <w:tab w:val="left" w:pos="795"/>
        </w:tabs>
        <w:rPr>
          <w:rFonts w:ascii="Times New Roman" w:hAnsi="Times New Roman" w:cs="Times New Roman"/>
          <w:color w:val="000000"/>
        </w:rPr>
      </w:pPr>
    </w:p>
    <w:p w14:paraId="395D6ED2"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07148F4" w14:textId="77777777" w:rsidR="004B54C4" w:rsidRPr="0049205E" w:rsidRDefault="004B54C4">
      <w:pPr>
        <w:tabs>
          <w:tab w:val="left" w:pos="795"/>
        </w:tabs>
        <w:rPr>
          <w:rFonts w:ascii="Times New Roman" w:hAnsi="Times New Roman" w:cs="Times New Roman"/>
          <w:color w:val="000000"/>
        </w:rPr>
      </w:pPr>
    </w:p>
    <w:p w14:paraId="25088A3D" w14:textId="586D77CD" w:rsidR="004B54C4" w:rsidRPr="0049205E" w:rsidRDefault="00A147AC">
      <w:pPr>
        <w:tabs>
          <w:tab w:val="left" w:pos="795"/>
        </w:tabs>
        <w:rPr>
          <w:rFonts w:ascii="Times New Roman" w:hAnsi="Times New Roman" w:cs="Times New Roman"/>
        </w:rPr>
      </w:pPr>
      <w:r>
        <w:rPr>
          <w:rFonts w:ascii="Times New Roman" w:hAnsi="Times New Roman" w:cs="Times New Roman"/>
        </w:rPr>
        <w:t>HITL, s.r.o.</w:t>
      </w:r>
    </w:p>
    <w:p w14:paraId="53AC1895" w14:textId="2E7E2357"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A147AC">
        <w:rPr>
          <w:rFonts w:ascii="Times New Roman" w:hAnsi="Times New Roman" w:cs="Times New Roman"/>
          <w:color w:val="000000"/>
        </w:rPr>
        <w:t>25321765</w:t>
      </w:r>
    </w:p>
    <w:p w14:paraId="0C37DE7B" w14:textId="75FD7B88"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A147AC">
        <w:rPr>
          <w:rFonts w:ascii="Times New Roman" w:hAnsi="Times New Roman" w:cs="Times New Roman"/>
          <w:color w:val="000000"/>
        </w:rPr>
        <w:t>Dobelice 57, 672 01</w:t>
      </w:r>
    </w:p>
    <w:p w14:paraId="565EB9B2" w14:textId="27853B48"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A147AC">
        <w:rPr>
          <w:rFonts w:ascii="Times New Roman" w:hAnsi="Times New Roman" w:cs="Times New Roman"/>
          <w:color w:val="000000"/>
        </w:rPr>
        <w:t>Krajského soudu v Brně, spisová značka C 25296</w:t>
      </w:r>
    </w:p>
    <w:p w14:paraId="0B06D788" w14:textId="673E81BB"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A147AC">
        <w:rPr>
          <w:rFonts w:ascii="Times New Roman" w:hAnsi="Times New Roman" w:cs="Times New Roman"/>
          <w:color w:val="000000"/>
        </w:rPr>
        <w:t xml:space="preserve">jednatelem společnosti Jiřím </w:t>
      </w:r>
      <w:proofErr w:type="spellStart"/>
      <w:r w:rsidR="00A147AC">
        <w:rPr>
          <w:rFonts w:ascii="Times New Roman" w:hAnsi="Times New Roman" w:cs="Times New Roman"/>
          <w:color w:val="000000"/>
        </w:rPr>
        <w:t>Hitlem</w:t>
      </w:r>
      <w:proofErr w:type="spellEnd"/>
    </w:p>
    <w:p w14:paraId="2087252B" w14:textId="77777777" w:rsidR="004B54C4" w:rsidRPr="0049205E" w:rsidRDefault="004B54C4">
      <w:pPr>
        <w:tabs>
          <w:tab w:val="left" w:pos="795"/>
        </w:tabs>
        <w:rPr>
          <w:rFonts w:ascii="Times New Roman" w:hAnsi="Times New Roman" w:cs="Times New Roman"/>
          <w:color w:val="000000"/>
        </w:rPr>
      </w:pPr>
    </w:p>
    <w:p w14:paraId="7BA9B544"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389BD8F5" w14:textId="77777777" w:rsidR="004B54C4" w:rsidRPr="0049205E" w:rsidRDefault="004B54C4">
      <w:pPr>
        <w:tabs>
          <w:tab w:val="left" w:pos="225"/>
          <w:tab w:val="left" w:pos="1695"/>
        </w:tabs>
        <w:jc w:val="both"/>
        <w:rPr>
          <w:rFonts w:ascii="Times New Roman" w:hAnsi="Times New Roman" w:cs="Times New Roman"/>
          <w:color w:val="000000"/>
        </w:rPr>
      </w:pPr>
    </w:p>
    <w:p w14:paraId="4DDEEE2B"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62D95756" w14:textId="77777777" w:rsidR="00981E77" w:rsidRDefault="00981E77" w:rsidP="00532214">
      <w:pPr>
        <w:tabs>
          <w:tab w:val="left" w:pos="795"/>
        </w:tabs>
        <w:spacing w:before="360"/>
        <w:jc w:val="center"/>
        <w:rPr>
          <w:rFonts w:ascii="Times New Roman" w:hAnsi="Times New Roman" w:cs="Times New Roman"/>
          <w:b/>
          <w:bCs/>
          <w:color w:val="000000"/>
        </w:rPr>
      </w:pPr>
    </w:p>
    <w:p w14:paraId="7C63C62D" w14:textId="17D85FA1"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AB6B565"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6E599FB5" w14:textId="4820C277"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A147AC">
        <w:t>2 ks kontejnerů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7F50CF8C"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w:t>
      </w:r>
      <w:r w:rsidR="007D256C">
        <w:rPr>
          <w:rFonts w:ascii="Times New Roman" w:hAnsi="Times New Roman" w:cs="Times New Roman"/>
        </w:rPr>
        <w:t xml:space="preserve">elektrické zapojení, ustavení zboží, zaškolení obsluhy, </w:t>
      </w:r>
      <w:r w:rsidRPr="00A32F5E">
        <w:rPr>
          <w:rFonts w:ascii="Times New Roman" w:hAnsi="Times New Roman" w:cs="Times New Roman"/>
        </w:rPr>
        <w:t xml:space="preserve">provozní dokumentace a veškeré doklady potřebné k převzetí a užívání zboží v českém jazyce, zejména návod k obsluze, doklady </w:t>
      </w:r>
      <w:r w:rsidR="008D1869">
        <w:rPr>
          <w:rFonts w:ascii="Times New Roman" w:hAnsi="Times New Roman" w:cs="Times New Roman"/>
        </w:rPr>
        <w:br/>
      </w:r>
      <w:r w:rsidRPr="00A32F5E">
        <w:rPr>
          <w:rFonts w:ascii="Times New Roman" w:hAnsi="Times New Roman" w:cs="Times New Roman"/>
        </w:rPr>
        <w:t xml:space="preserve">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A37242B"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10737EA2"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39CDCD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275AB10A" w14:textId="77777777" w:rsidR="00A32F5E" w:rsidRDefault="00A32F5E" w:rsidP="00A32F5E">
      <w:pPr>
        <w:pStyle w:val="Odstavecseseznamem"/>
        <w:tabs>
          <w:tab w:val="left" w:pos="795"/>
        </w:tabs>
        <w:jc w:val="both"/>
        <w:rPr>
          <w:rFonts w:ascii="Times New Roman" w:hAnsi="Times New Roman" w:cs="Times New Roman"/>
          <w:color w:val="000000"/>
        </w:rPr>
      </w:pPr>
    </w:p>
    <w:p w14:paraId="5D469D41" w14:textId="06523874"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 xml:space="preserve">Cena bez DPH </w:t>
      </w:r>
      <w:r w:rsidR="00A147AC">
        <w:rPr>
          <w:rFonts w:ascii="Times New Roman" w:hAnsi="Times New Roman" w:cs="Times New Roman"/>
          <w:color w:val="000000"/>
          <w:szCs w:val="24"/>
        </w:rPr>
        <w:t>125 000,</w:t>
      </w:r>
      <w:r w:rsidRPr="00A32F5E">
        <w:rPr>
          <w:rFonts w:ascii="Times New Roman" w:hAnsi="Times New Roman" w:cs="Times New Roman"/>
          <w:color w:val="000000"/>
          <w:szCs w:val="24"/>
        </w:rPr>
        <w:t xml:space="preserve">- Kč (slovy: </w:t>
      </w:r>
      <w:proofErr w:type="spellStart"/>
      <w:r w:rsidR="00A147AC">
        <w:rPr>
          <w:rFonts w:ascii="Times New Roman" w:hAnsi="Times New Roman" w:cs="Times New Roman"/>
          <w:color w:val="000000"/>
          <w:szCs w:val="24"/>
        </w:rPr>
        <w:t>jednostodvacetpěttisíckorunčeských</w:t>
      </w:r>
      <w:proofErr w:type="spellEnd"/>
      <w:r w:rsidRPr="00A32F5E">
        <w:rPr>
          <w:rFonts w:ascii="Times New Roman" w:hAnsi="Times New Roman" w:cs="Times New Roman"/>
          <w:color w:val="000000"/>
          <w:szCs w:val="24"/>
        </w:rPr>
        <w:t>)</w:t>
      </w:r>
    </w:p>
    <w:p w14:paraId="746D06A3" w14:textId="77777777" w:rsidR="00A147AC"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 xml:space="preserve">Celková cena s DPH </w:t>
      </w:r>
      <w:r w:rsidR="00A147AC">
        <w:rPr>
          <w:rFonts w:ascii="Times New Roman" w:hAnsi="Times New Roman" w:cs="Times New Roman"/>
          <w:color w:val="000000"/>
          <w:szCs w:val="24"/>
        </w:rPr>
        <w:t>151 250</w:t>
      </w:r>
      <w:r w:rsidRPr="00A32F5E">
        <w:rPr>
          <w:rFonts w:ascii="Times New Roman" w:hAnsi="Times New Roman" w:cs="Times New Roman"/>
          <w:color w:val="000000"/>
          <w:szCs w:val="24"/>
        </w:rPr>
        <w:t xml:space="preserve">,- Kč </w:t>
      </w:r>
    </w:p>
    <w:p w14:paraId="790BB188" w14:textId="0E372402"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w:t>
      </w:r>
      <w:proofErr w:type="spellStart"/>
      <w:r w:rsidRPr="00A32F5E">
        <w:rPr>
          <w:rFonts w:ascii="Times New Roman" w:hAnsi="Times New Roman" w:cs="Times New Roman"/>
          <w:color w:val="000000"/>
          <w:szCs w:val="24"/>
        </w:rPr>
        <w:t>slovy:</w:t>
      </w:r>
      <w:r w:rsidR="00A147AC">
        <w:rPr>
          <w:rFonts w:ascii="Times New Roman" w:hAnsi="Times New Roman" w:cs="Times New Roman"/>
          <w:color w:val="000000"/>
          <w:szCs w:val="24"/>
        </w:rPr>
        <w:t>jednostopadesátjednatisícdvěstěpadesátkorunčeských</w:t>
      </w:r>
      <w:proofErr w:type="spellEnd"/>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6563AFC1" w14:textId="77777777" w:rsidR="001960AD" w:rsidRDefault="001960AD" w:rsidP="00A32F5E">
      <w:pPr>
        <w:pStyle w:val="Odstavecseseznamem"/>
        <w:tabs>
          <w:tab w:val="left" w:pos="795"/>
        </w:tabs>
        <w:jc w:val="both"/>
        <w:rPr>
          <w:rFonts w:ascii="Times New Roman" w:hAnsi="Times New Roman" w:cs="Times New Roman"/>
          <w:color w:val="000000"/>
          <w:szCs w:val="24"/>
        </w:rPr>
      </w:pPr>
    </w:p>
    <w:p w14:paraId="6EB80740" w14:textId="77777777" w:rsidR="001960AD" w:rsidRPr="00F54FC8" w:rsidRDefault="001960AD" w:rsidP="001960AD">
      <w:pPr>
        <w:pStyle w:val="Odstavecseseznamem"/>
        <w:tabs>
          <w:tab w:val="left" w:pos="795"/>
        </w:tabs>
        <w:jc w:val="both"/>
        <w:rPr>
          <w:rFonts w:ascii="Times New Roman" w:hAnsi="Times New Roman" w:cs="Times New Roman"/>
          <w:color w:val="000000"/>
          <w:kern w:val="0"/>
          <w:szCs w:val="24"/>
          <w:lang w:bidi="ar-SA"/>
        </w:rPr>
      </w:pPr>
      <w:r w:rsidRPr="00F54FC8">
        <w:rPr>
          <w:rFonts w:ascii="Times New Roman" w:hAnsi="Times New Roman" w:cs="Times New Roman"/>
          <w:color w:val="000000"/>
          <w:kern w:val="0"/>
          <w:szCs w:val="24"/>
          <w:lang w:bidi="ar-SA"/>
        </w:rPr>
        <w:t>Rozpis ceny:</w:t>
      </w:r>
    </w:p>
    <w:p w14:paraId="514B4A84" w14:textId="1582E302" w:rsidR="001960AD" w:rsidRPr="00F54FC8" w:rsidRDefault="001960AD" w:rsidP="001960AD">
      <w:pPr>
        <w:autoSpaceDE w:val="0"/>
        <w:autoSpaceDN w:val="0"/>
        <w:adjustRightInd w:val="0"/>
        <w:rPr>
          <w:rFonts w:ascii="Times New Roman" w:hAnsi="Times New Roman" w:cs="Times New Roman"/>
          <w:color w:val="000000"/>
          <w:kern w:val="0"/>
          <w:lang w:bidi="ar-SA"/>
        </w:rPr>
      </w:pPr>
      <w:r w:rsidRPr="00F54FC8">
        <w:rPr>
          <w:rFonts w:ascii="Times New Roman" w:hAnsi="Times New Roman" w:cs="Times New Roman"/>
          <w:color w:val="000000"/>
          <w:kern w:val="0"/>
          <w:lang w:bidi="ar-SA"/>
        </w:rPr>
        <w:tab/>
      </w:r>
      <w:r w:rsidRPr="001960AD">
        <w:rPr>
          <w:rFonts w:ascii="Times New Roman" w:hAnsi="Times New Roman" w:cs="Times New Roman"/>
          <w:color w:val="000000"/>
          <w:kern w:val="0"/>
          <w:lang w:bidi="ar-SA"/>
        </w:rPr>
        <w:t>kontejner o velikosti 3,75 x 2 x 1,5 m (umístění v areálu městské plovárny Louka)</w:t>
      </w:r>
    </w:p>
    <w:p w14:paraId="24FB248D" w14:textId="03F683CA" w:rsidR="001960AD" w:rsidRPr="00F54FC8" w:rsidRDefault="001960AD" w:rsidP="001960AD">
      <w:pPr>
        <w:tabs>
          <w:tab w:val="left" w:pos="795"/>
        </w:tabs>
        <w:rPr>
          <w:rFonts w:ascii="Times New Roman" w:hAnsi="Times New Roman" w:cs="Times New Roman"/>
          <w:color w:val="000000"/>
          <w:kern w:val="0"/>
          <w:lang w:bidi="ar-SA"/>
        </w:rPr>
      </w:pPr>
      <w:r w:rsidRPr="00F54FC8">
        <w:rPr>
          <w:rFonts w:ascii="Times New Roman" w:hAnsi="Times New Roman" w:cs="Times New Roman"/>
          <w:color w:val="000000"/>
          <w:kern w:val="0"/>
          <w:lang w:bidi="ar-SA"/>
        </w:rPr>
        <w:t xml:space="preserve">            cena za kus – 66.500,- Kč bez DPH, celkem včetně DPH 80.465,- Kč.</w:t>
      </w:r>
    </w:p>
    <w:p w14:paraId="51B60A44" w14:textId="77777777" w:rsidR="001960AD" w:rsidRPr="00F54FC8" w:rsidRDefault="001960AD" w:rsidP="001960AD">
      <w:pPr>
        <w:pStyle w:val="Odstavecseseznamem"/>
        <w:tabs>
          <w:tab w:val="left" w:pos="795"/>
        </w:tabs>
        <w:jc w:val="both"/>
        <w:rPr>
          <w:rFonts w:ascii="Times New Roman" w:hAnsi="Times New Roman" w:cs="Times New Roman"/>
          <w:color w:val="000000"/>
          <w:kern w:val="0"/>
          <w:szCs w:val="24"/>
          <w:lang w:bidi="ar-SA"/>
        </w:rPr>
      </w:pPr>
    </w:p>
    <w:p w14:paraId="4FB4B2C3" w14:textId="5B981DE2" w:rsidR="001960AD" w:rsidRPr="00F54FC8" w:rsidRDefault="001960AD" w:rsidP="001960AD">
      <w:pPr>
        <w:pStyle w:val="Default"/>
        <w:ind w:left="705"/>
        <w:jc w:val="both"/>
        <w:rPr>
          <w:rFonts w:eastAsia="NSimSun"/>
          <w:lang w:eastAsia="zh-CN"/>
        </w:rPr>
      </w:pPr>
      <w:r w:rsidRPr="00F54FC8">
        <w:rPr>
          <w:rFonts w:eastAsia="NSimSun"/>
          <w:lang w:eastAsia="zh-CN"/>
        </w:rPr>
        <w:t>kontejner o velikosti 3,75 x 2 x 1 m (umístění v areálu fotbalového hřiště v Horním parku)</w:t>
      </w:r>
      <w:r w:rsidRPr="00F54FC8">
        <w:t xml:space="preserve">, cena za kus </w:t>
      </w:r>
      <w:r w:rsidR="00F54FC8" w:rsidRPr="00F54FC8">
        <w:t>58.500</w:t>
      </w:r>
      <w:r w:rsidRPr="00F54FC8">
        <w:t xml:space="preserve">,- Kč bez DPH, celkem včetně DPH </w:t>
      </w:r>
      <w:r w:rsidR="00F54FC8" w:rsidRPr="00F54FC8">
        <w:t>70.785</w:t>
      </w:r>
      <w:r w:rsidRPr="00F54FC8">
        <w:t>,- Kč</w:t>
      </w:r>
    </w:p>
    <w:p w14:paraId="72A2E855" w14:textId="77777777" w:rsidR="001960AD" w:rsidRDefault="001960AD" w:rsidP="00A32F5E">
      <w:pPr>
        <w:pStyle w:val="Odstavecseseznamem"/>
        <w:tabs>
          <w:tab w:val="left" w:pos="795"/>
        </w:tabs>
        <w:jc w:val="both"/>
        <w:rPr>
          <w:rFonts w:ascii="Times New Roman" w:hAnsi="Times New Roman" w:cs="Times New Roman"/>
          <w:color w:val="000000"/>
          <w:szCs w:val="24"/>
        </w:rPr>
      </w:pPr>
    </w:p>
    <w:p w14:paraId="50A6B653"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26AD7B2D"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44574143" w14:textId="77777777" w:rsidR="00981E77" w:rsidRDefault="00981E77" w:rsidP="00532214">
      <w:pPr>
        <w:keepNext/>
        <w:tabs>
          <w:tab w:val="left" w:pos="795"/>
        </w:tabs>
        <w:spacing w:before="360"/>
        <w:jc w:val="center"/>
        <w:rPr>
          <w:rFonts w:ascii="Times New Roman" w:hAnsi="Times New Roman" w:cs="Times New Roman"/>
          <w:b/>
          <w:bCs/>
          <w:color w:val="000000"/>
        </w:rPr>
      </w:pPr>
    </w:p>
    <w:p w14:paraId="685B2BD6" w14:textId="46F872C1"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0CAD9D51"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7B78E777" w14:textId="6F2DB23E"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B30036">
        <w:rPr>
          <w:rFonts w:ascii="Times New Roman" w:hAnsi="Times New Roman" w:cs="Times New Roman"/>
          <w:color w:val="000000"/>
        </w:rPr>
        <w:t xml:space="preserve">do </w:t>
      </w:r>
      <w:r w:rsidR="007434AB">
        <w:rPr>
          <w:rFonts w:ascii="Times New Roman" w:hAnsi="Times New Roman" w:cs="Times New Roman"/>
          <w:color w:val="000000"/>
        </w:rPr>
        <w:t>2</w:t>
      </w:r>
      <w:r w:rsidR="009C7C04">
        <w:rPr>
          <w:rFonts w:ascii="Times New Roman" w:hAnsi="Times New Roman" w:cs="Times New Roman"/>
          <w:color w:val="000000"/>
        </w:rPr>
        <w:t>9</w:t>
      </w:r>
      <w:r w:rsidR="00B30036">
        <w:rPr>
          <w:rFonts w:ascii="Times New Roman" w:hAnsi="Times New Roman" w:cs="Times New Roman"/>
          <w:color w:val="000000"/>
        </w:rPr>
        <w:t>.0</w:t>
      </w:r>
      <w:r w:rsidR="009C7C04">
        <w:rPr>
          <w:rFonts w:ascii="Times New Roman" w:hAnsi="Times New Roman" w:cs="Times New Roman"/>
          <w:color w:val="000000"/>
        </w:rPr>
        <w:t>9</w:t>
      </w:r>
      <w:r w:rsidR="00B30036">
        <w:rPr>
          <w:rFonts w:ascii="Times New Roman" w:hAnsi="Times New Roman" w:cs="Times New Roman"/>
          <w:color w:val="000000"/>
        </w:rPr>
        <w:t>.2023</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6854C587"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6945E431" w14:textId="77777777" w:rsidR="00981E77" w:rsidRDefault="00981E77" w:rsidP="00532214">
      <w:pPr>
        <w:keepNext/>
        <w:tabs>
          <w:tab w:val="left" w:pos="795"/>
        </w:tabs>
        <w:spacing w:before="360"/>
        <w:jc w:val="center"/>
        <w:rPr>
          <w:rFonts w:ascii="Times New Roman" w:hAnsi="Times New Roman" w:cs="Times New Roman"/>
          <w:b/>
          <w:bCs/>
          <w:color w:val="000000"/>
        </w:rPr>
      </w:pPr>
    </w:p>
    <w:p w14:paraId="172AAB48" w14:textId="626F7770"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AF99776"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34346D73" w14:textId="5E5DC762"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0D2E13">
        <w:rPr>
          <w:rFonts w:ascii="Times New Roman" w:hAnsi="Times New Roman" w:cs="Times New Roman"/>
          <w:color w:val="000000"/>
        </w:rPr>
        <w:t xml:space="preserve">v místě </w:t>
      </w:r>
      <w:r w:rsidR="00E704CB">
        <w:rPr>
          <w:rFonts w:ascii="Times New Roman" w:hAnsi="Times New Roman" w:cs="Times New Roman"/>
          <w:color w:val="000000"/>
        </w:rPr>
        <w:t>–</w:t>
      </w:r>
      <w:r w:rsidR="000D2E13">
        <w:rPr>
          <w:rFonts w:ascii="Times New Roman" w:hAnsi="Times New Roman" w:cs="Times New Roman"/>
          <w:color w:val="000000"/>
        </w:rPr>
        <w:t xml:space="preserve"> </w:t>
      </w:r>
      <w:r w:rsidR="00E704CB">
        <w:rPr>
          <w:rFonts w:ascii="Times New Roman" w:hAnsi="Times New Roman" w:cs="Times New Roman"/>
          <w:color w:val="000000"/>
        </w:rPr>
        <w:t>areál Městské plovárny Louka</w:t>
      </w:r>
      <w:r w:rsidR="000D2E13">
        <w:rPr>
          <w:rFonts w:ascii="Times New Roman" w:hAnsi="Times New Roman" w:cs="Times New Roman"/>
          <w:color w:val="000000"/>
        </w:rPr>
        <w:t xml:space="preserve">, ul. </w:t>
      </w:r>
      <w:proofErr w:type="spellStart"/>
      <w:r w:rsidR="000D2E13">
        <w:rPr>
          <w:rFonts w:ascii="Times New Roman" w:hAnsi="Times New Roman" w:cs="Times New Roman"/>
          <w:color w:val="000000"/>
        </w:rPr>
        <w:t>Melkusova</w:t>
      </w:r>
      <w:proofErr w:type="spellEnd"/>
      <w:r w:rsidR="000D2E13">
        <w:rPr>
          <w:rFonts w:ascii="Times New Roman" w:hAnsi="Times New Roman" w:cs="Times New Roman"/>
          <w:color w:val="000000"/>
        </w:rPr>
        <w:t>, Znojmo</w:t>
      </w:r>
      <w:r w:rsidR="00E704CB">
        <w:rPr>
          <w:rFonts w:ascii="Times New Roman" w:hAnsi="Times New Roman" w:cs="Times New Roman"/>
          <w:color w:val="000000"/>
        </w:rPr>
        <w:t xml:space="preserve"> a areál fotbalového hřiště v Horním parku, Znojmo</w:t>
      </w:r>
      <w:r w:rsidR="000D2E13">
        <w:rPr>
          <w:rFonts w:ascii="Times New Roman" w:hAnsi="Times New Roman" w:cs="Times New Roman"/>
          <w:color w:val="000000"/>
        </w:rPr>
        <w:t>.</w:t>
      </w:r>
    </w:p>
    <w:p w14:paraId="5A57979D"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6D603CC5"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lastRenderedPageBreak/>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008507F"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7A04E695"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290EE92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3C133CEF"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536FF723" w14:textId="0F3C98CF" w:rsidR="00981E77" w:rsidRPr="00981E77" w:rsidRDefault="0078751E" w:rsidP="00981E77">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5506657E" w14:textId="39502A35"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71707813"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02BB60E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6982067D"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3C3FD190"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2C77C959" w14:textId="773EC048" w:rsidR="00981E77" w:rsidRPr="00981E77" w:rsidRDefault="00532214" w:rsidP="00981E77">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6DC69389" w14:textId="0968E949"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lastRenderedPageBreak/>
        <w:t>VI.</w:t>
      </w:r>
    </w:p>
    <w:p w14:paraId="7616DF16"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667933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24A28CD" w14:textId="77777777" w:rsidR="00981E77" w:rsidRDefault="00981E77" w:rsidP="00532214">
      <w:pPr>
        <w:keepNext/>
        <w:tabs>
          <w:tab w:val="left" w:pos="795"/>
        </w:tabs>
        <w:spacing w:before="360"/>
        <w:jc w:val="center"/>
        <w:rPr>
          <w:rFonts w:ascii="Times New Roman" w:hAnsi="Times New Roman" w:cs="Times New Roman"/>
          <w:b/>
          <w:bCs/>
          <w:color w:val="000000"/>
        </w:rPr>
      </w:pPr>
    </w:p>
    <w:p w14:paraId="52BE3280" w14:textId="054F67B4"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65A44D3C"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6B33F6D9"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2C66F846" w14:textId="6CA30E24" w:rsidR="00981E77" w:rsidRPr="00981E77" w:rsidRDefault="0078751E" w:rsidP="00981E77">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4B6FA818" w14:textId="3D637AB3"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15906E3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60E046F5" w14:textId="77777777" w:rsidR="00532214" w:rsidRPr="00EF4AFA"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78E78D69" w14:textId="3EDE5F7E" w:rsidR="00EF4AFA" w:rsidRPr="00EF4AFA" w:rsidRDefault="00EF4AFA" w:rsidP="00EF4AFA">
      <w:pPr>
        <w:numPr>
          <w:ilvl w:val="0"/>
          <w:numId w:val="4"/>
        </w:numPr>
        <w:tabs>
          <w:tab w:val="clear" w:pos="720"/>
          <w:tab w:val="left" w:pos="390"/>
        </w:tabs>
        <w:spacing w:before="240"/>
        <w:ind w:left="340" w:hanging="340"/>
        <w:jc w:val="both"/>
        <w:rPr>
          <w:rFonts w:ascii="Times New Roman" w:hAnsi="Times New Roman" w:cs="Times New Roman"/>
        </w:rPr>
      </w:pPr>
      <w:r w:rsidRPr="00EF4AFA">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EF4AFA">
        <w:rPr>
          <w:rFonts w:ascii="Times New Roman" w:hAnsi="Times New Roman"/>
          <w:szCs w:val="20"/>
        </w:rPr>
        <w:br/>
        <w:t xml:space="preserve">s nařízením </w:t>
      </w:r>
      <w:proofErr w:type="spellStart"/>
      <w:r w:rsidRPr="00EF4AFA">
        <w:rPr>
          <w:rFonts w:ascii="Times New Roman" w:hAnsi="Times New Roman"/>
          <w:szCs w:val="20"/>
        </w:rPr>
        <w:t>eIDAS</w:t>
      </w:r>
      <w:proofErr w:type="spellEnd"/>
      <w:r w:rsidRPr="00EF4AFA">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170F1A32"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396CA6F0"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84D1690" w14:textId="5ADE9CDD"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w:t>
      </w:r>
      <w:r w:rsidR="00EF4AFA">
        <w:rPr>
          <w:rFonts w:ascii="Times New Roman" w:eastAsia="SimSun" w:hAnsi="Times New Roman" w:cs="Times New Roman"/>
        </w:rPr>
        <w:br/>
      </w:r>
      <w:r w:rsidR="00F15766">
        <w:rPr>
          <w:rFonts w:ascii="Times New Roman" w:eastAsia="SimSun" w:hAnsi="Times New Roman" w:cs="Times New Roman"/>
        </w:rPr>
        <w:t>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w:t>
      </w:r>
    </w:p>
    <w:p w14:paraId="766E56B9" w14:textId="21670C00" w:rsidR="004B54C4" w:rsidRPr="00981E77" w:rsidRDefault="0078751E" w:rsidP="00981E77">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0201E7D4" w14:textId="77777777" w:rsidR="004B54C4" w:rsidRPr="0049205E" w:rsidRDefault="004B54C4">
      <w:pPr>
        <w:rPr>
          <w:rFonts w:ascii="Times New Roman" w:hAnsi="Times New Roman" w:cs="Times New Roman"/>
          <w:color w:val="000000"/>
        </w:rPr>
      </w:pPr>
    </w:p>
    <w:p w14:paraId="1E2763CB"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w:t>
      </w:r>
      <w:proofErr w:type="gramStart"/>
      <w:r w:rsidRPr="0049205E">
        <w:rPr>
          <w:rFonts w:ascii="Times New Roman" w:hAnsi="Times New Roman" w:cs="Times New Roman"/>
          <w:color w:val="000000"/>
        </w:rPr>
        <w:t>dne</w:t>
      </w:r>
      <w:r w:rsidR="000D2E13">
        <w:rPr>
          <w:rFonts w:ascii="Times New Roman" w:hAnsi="Times New Roman" w:cs="Times New Roman"/>
          <w:color w:val="000000"/>
        </w:rPr>
        <w:tab/>
      </w:r>
      <w:r w:rsidR="000D2E13">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V ..............  ,  dne</w:t>
      </w:r>
      <w:proofErr w:type="gramEnd"/>
      <w:r w:rsidRPr="0049205E">
        <w:rPr>
          <w:rFonts w:ascii="Times New Roman" w:hAnsi="Times New Roman" w:cs="Times New Roman"/>
          <w:color w:val="000000"/>
        </w:rPr>
        <w:t xml:space="preserve"> </w:t>
      </w:r>
    </w:p>
    <w:p w14:paraId="682C29EE" w14:textId="77777777" w:rsidR="004B54C4" w:rsidRPr="0049205E" w:rsidRDefault="004B54C4">
      <w:pPr>
        <w:tabs>
          <w:tab w:val="center" w:pos="1650"/>
          <w:tab w:val="center" w:pos="4650"/>
        </w:tabs>
        <w:jc w:val="both"/>
        <w:rPr>
          <w:rFonts w:ascii="Times New Roman" w:hAnsi="Times New Roman" w:cs="Times New Roman"/>
          <w:color w:val="000000"/>
        </w:rPr>
      </w:pPr>
    </w:p>
    <w:p w14:paraId="01516F60" w14:textId="77777777" w:rsidR="004B54C4" w:rsidRPr="0049205E" w:rsidRDefault="004B54C4">
      <w:pPr>
        <w:tabs>
          <w:tab w:val="center" w:pos="1650"/>
          <w:tab w:val="center" w:pos="4650"/>
        </w:tabs>
        <w:jc w:val="both"/>
        <w:rPr>
          <w:rFonts w:ascii="Times New Roman" w:hAnsi="Times New Roman" w:cs="Times New Roman"/>
          <w:color w:val="000000"/>
        </w:rPr>
      </w:pPr>
    </w:p>
    <w:p w14:paraId="2C2A562C" w14:textId="77777777" w:rsidR="004B54C4" w:rsidRPr="0049205E" w:rsidRDefault="004B54C4">
      <w:pPr>
        <w:tabs>
          <w:tab w:val="center" w:pos="1650"/>
          <w:tab w:val="center" w:pos="4650"/>
        </w:tabs>
        <w:jc w:val="both"/>
        <w:rPr>
          <w:rFonts w:ascii="Times New Roman" w:hAnsi="Times New Roman" w:cs="Times New Roman"/>
          <w:color w:val="000000"/>
        </w:rPr>
      </w:pPr>
    </w:p>
    <w:p w14:paraId="6F389479" w14:textId="77777777" w:rsidR="004B54C4" w:rsidRPr="0049205E" w:rsidRDefault="004B54C4">
      <w:pPr>
        <w:tabs>
          <w:tab w:val="center" w:pos="1650"/>
          <w:tab w:val="center" w:pos="4650"/>
        </w:tabs>
        <w:jc w:val="both"/>
        <w:rPr>
          <w:rFonts w:ascii="Times New Roman" w:hAnsi="Times New Roman" w:cs="Times New Roman"/>
          <w:color w:val="000000"/>
        </w:rPr>
      </w:pPr>
    </w:p>
    <w:p w14:paraId="68A4DE0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7E6A2B7"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05FCF6BD" w14:textId="337CE7DA"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A147AC">
        <w:rPr>
          <w:rFonts w:ascii="Times New Roman" w:hAnsi="Times New Roman" w:cs="Times New Roman"/>
          <w:color w:val="000000"/>
          <w:lang w:eastAsia="cs-CZ" w:bidi="ar-SA"/>
        </w:rPr>
        <w:t xml:space="preserve">Jiří </w:t>
      </w:r>
      <w:proofErr w:type="spellStart"/>
      <w:r w:rsidR="00A147AC">
        <w:rPr>
          <w:rFonts w:ascii="Times New Roman" w:hAnsi="Times New Roman" w:cs="Times New Roman"/>
          <w:color w:val="000000"/>
          <w:lang w:eastAsia="cs-CZ" w:bidi="ar-SA"/>
        </w:rPr>
        <w:t>Hitl</w:t>
      </w:r>
      <w:proofErr w:type="spellEnd"/>
    </w:p>
    <w:p w14:paraId="5492633C" w14:textId="500A09F2"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w:t>
      </w:r>
      <w:proofErr w:type="gramStart"/>
      <w:r w:rsidRPr="0049205E">
        <w:rPr>
          <w:rFonts w:ascii="Times New Roman" w:hAnsi="Times New Roman" w:cs="Times New Roman"/>
          <w:color w:val="000000"/>
          <w:lang w:eastAsia="cs-CZ" w:bidi="ar-SA"/>
        </w:rPr>
        <w:t xml:space="preserve">Znojma,                                      </w:t>
      </w:r>
      <w:r w:rsidR="007F41E5" w:rsidRPr="0049205E">
        <w:rPr>
          <w:rFonts w:ascii="Times New Roman" w:hAnsi="Times New Roman" w:cs="Times New Roman"/>
          <w:color w:val="000000"/>
          <w:lang w:eastAsia="cs-CZ" w:bidi="ar-SA"/>
        </w:rPr>
        <w:t xml:space="preserve"> </w:t>
      </w:r>
      <w:r w:rsidR="00A147AC">
        <w:rPr>
          <w:rFonts w:ascii="Times New Roman" w:hAnsi="Times New Roman" w:cs="Times New Roman"/>
          <w:color w:val="000000"/>
          <w:lang w:eastAsia="cs-CZ" w:bidi="ar-SA"/>
        </w:rPr>
        <w:t>jednatel</w:t>
      </w:r>
      <w:proofErr w:type="gramEnd"/>
      <w:r w:rsidR="00A147AC">
        <w:rPr>
          <w:rFonts w:ascii="Times New Roman" w:hAnsi="Times New Roman" w:cs="Times New Roman"/>
          <w:color w:val="000000"/>
          <w:lang w:eastAsia="cs-CZ" w:bidi="ar-SA"/>
        </w:rPr>
        <w:t xml:space="preserve"> společnosti HITL, s.r.o.</w:t>
      </w:r>
    </w:p>
    <w:p w14:paraId="0EF5E5F1"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t xml:space="preserve">     </w:t>
      </w:r>
    </w:p>
    <w:p w14:paraId="6089C5D9" w14:textId="77360158" w:rsidR="00F15766" w:rsidRPr="0049205E" w:rsidRDefault="0078751E" w:rsidP="00B5554F">
      <w:pPr>
        <w:tabs>
          <w:tab w:val="center" w:pos="1650"/>
          <w:tab w:val="center" w:pos="4650"/>
        </w:tabs>
        <w:jc w:val="both"/>
        <w:rPr>
          <w:rFonts w:ascii="Times New Roman" w:hAnsi="Times New Roman" w:cs="Times New Roman"/>
        </w:rPr>
      </w:pPr>
      <w:r w:rsidRPr="0049205E">
        <w:rPr>
          <w:rFonts w:ascii="Times New Roman" w:hAnsi="Times New Roman" w:cs="Times New Roman"/>
          <w:lang w:eastAsia="en-US" w:bidi="ar-SA"/>
        </w:rPr>
        <w:t>ředitel organizace</w:t>
      </w:r>
      <w:bookmarkStart w:id="0" w:name="_GoBack"/>
      <w:bookmarkEnd w:id="0"/>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A819F9"/>
    <w:multiLevelType w:val="hybridMultilevel"/>
    <w:tmpl w:val="FCB2D104"/>
    <w:lvl w:ilvl="0" w:tplc="8ACA0AE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11"/>
  </w:num>
  <w:num w:numId="6">
    <w:abstractNumId w:val="10"/>
  </w:num>
  <w:num w:numId="7">
    <w:abstractNumId w:val="13"/>
  </w:num>
  <w:num w:numId="8">
    <w:abstractNumId w:val="3"/>
  </w:num>
  <w:num w:numId="9">
    <w:abstractNumId w:val="8"/>
  </w:num>
  <w:num w:numId="10">
    <w:abstractNumId w:val="4"/>
  </w:num>
  <w:num w:numId="11">
    <w:abstractNumId w:val="12"/>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D2E13"/>
    <w:rsid w:val="00136BE3"/>
    <w:rsid w:val="001960AD"/>
    <w:rsid w:val="003232ED"/>
    <w:rsid w:val="0049205E"/>
    <w:rsid w:val="004B54C4"/>
    <w:rsid w:val="004F761E"/>
    <w:rsid w:val="00532214"/>
    <w:rsid w:val="0059765F"/>
    <w:rsid w:val="006C21F3"/>
    <w:rsid w:val="007434AB"/>
    <w:rsid w:val="0078751E"/>
    <w:rsid w:val="007D256C"/>
    <w:rsid w:val="007F3C78"/>
    <w:rsid w:val="007F41E5"/>
    <w:rsid w:val="008241A8"/>
    <w:rsid w:val="008D1869"/>
    <w:rsid w:val="00981E77"/>
    <w:rsid w:val="009C7C04"/>
    <w:rsid w:val="00A147AC"/>
    <w:rsid w:val="00A32F5E"/>
    <w:rsid w:val="00B30036"/>
    <w:rsid w:val="00B5554F"/>
    <w:rsid w:val="00C373FE"/>
    <w:rsid w:val="00C84754"/>
    <w:rsid w:val="00DA5A66"/>
    <w:rsid w:val="00E704CB"/>
    <w:rsid w:val="00EF4AFA"/>
    <w:rsid w:val="00F15766"/>
    <w:rsid w:val="00F54FC8"/>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1483</Words>
  <Characters>8751</Characters>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2020-09-25T10:28:00Z</cp:lastPrinted>
  <dcterms:created xsi:type="dcterms:W3CDTF">2023-09-20T10:35:00Z</dcterms:created>
  <dcterms:modified xsi:type="dcterms:W3CDTF">2023-09-21T10:42:00Z</dcterms:modified>
</cp:coreProperties>
</file>