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82E1F" w14:textId="3CA724A3" w:rsidR="00477ACB" w:rsidRPr="00E92B2D" w:rsidRDefault="00477ACB" w:rsidP="00420DB7">
      <w:pPr>
        <w:spacing w:after="0" w:line="252" w:lineRule="auto"/>
        <w:jc w:val="center"/>
        <w:rPr>
          <w:rFonts w:cstheme="minorHAnsi"/>
          <w:b/>
          <w:sz w:val="32"/>
          <w:szCs w:val="32"/>
        </w:rPr>
      </w:pPr>
      <w:r w:rsidRPr="00E92B2D">
        <w:rPr>
          <w:rFonts w:cstheme="minorHAnsi"/>
          <w:b/>
          <w:sz w:val="32"/>
          <w:szCs w:val="32"/>
        </w:rPr>
        <w:t>Dohoda o narovnání</w:t>
      </w:r>
    </w:p>
    <w:p w14:paraId="5E525805" w14:textId="77777777" w:rsidR="00477ACB" w:rsidRPr="00E92B2D" w:rsidRDefault="00477ACB" w:rsidP="00420DB7">
      <w:pPr>
        <w:spacing w:after="0" w:line="252" w:lineRule="auto"/>
        <w:jc w:val="center"/>
        <w:rPr>
          <w:rFonts w:cstheme="minorHAnsi"/>
          <w:b/>
          <w:sz w:val="24"/>
          <w:szCs w:val="24"/>
        </w:rPr>
      </w:pPr>
    </w:p>
    <w:p w14:paraId="437E4C2E" w14:textId="77777777" w:rsidR="00477ACB" w:rsidRPr="00E92B2D" w:rsidRDefault="00477ACB" w:rsidP="00420DB7">
      <w:pPr>
        <w:spacing w:after="0" w:line="252" w:lineRule="auto"/>
        <w:rPr>
          <w:rFonts w:cstheme="minorHAnsi"/>
          <w:sz w:val="24"/>
          <w:szCs w:val="24"/>
        </w:rPr>
      </w:pPr>
    </w:p>
    <w:p w14:paraId="5F3D505C" w14:textId="77777777" w:rsidR="00477ACB" w:rsidRPr="00E92B2D" w:rsidRDefault="00477ACB" w:rsidP="00420DB7">
      <w:pPr>
        <w:spacing w:after="0" w:line="252" w:lineRule="auto"/>
        <w:rPr>
          <w:rFonts w:cstheme="minorHAnsi"/>
          <w:b/>
          <w:sz w:val="24"/>
          <w:szCs w:val="24"/>
        </w:rPr>
      </w:pPr>
      <w:r w:rsidRPr="00E92B2D">
        <w:rPr>
          <w:rFonts w:cstheme="minorHAnsi"/>
          <w:b/>
          <w:sz w:val="24"/>
          <w:szCs w:val="24"/>
        </w:rPr>
        <w:t>Město Kutná Hora</w:t>
      </w:r>
    </w:p>
    <w:p w14:paraId="4E40B67B" w14:textId="77777777" w:rsidR="00477ACB" w:rsidRPr="00E92B2D" w:rsidRDefault="00477ACB" w:rsidP="00420DB7">
      <w:pPr>
        <w:spacing w:after="0" w:line="252" w:lineRule="auto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>sídlem Havlíčkovo náměstí 552/1, Kutná Hora</w:t>
      </w:r>
    </w:p>
    <w:p w14:paraId="23A57D74" w14:textId="77777777" w:rsidR="00477ACB" w:rsidRPr="00E92B2D" w:rsidRDefault="00477ACB" w:rsidP="00420DB7">
      <w:pPr>
        <w:spacing w:after="0" w:line="252" w:lineRule="auto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>zastoupeno Mgr. Lukášem Seifertem, starostou města</w:t>
      </w:r>
    </w:p>
    <w:p w14:paraId="1ECA8CC8" w14:textId="77777777" w:rsidR="00477ACB" w:rsidRPr="00E92B2D" w:rsidRDefault="00477ACB" w:rsidP="00420DB7">
      <w:pPr>
        <w:spacing w:after="0" w:line="252" w:lineRule="auto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>IČ 00236195</w:t>
      </w:r>
    </w:p>
    <w:p w14:paraId="5B878CA0" w14:textId="77777777" w:rsidR="00477ACB" w:rsidRPr="00E92B2D" w:rsidRDefault="00477ACB" w:rsidP="00420DB7">
      <w:pPr>
        <w:spacing w:after="0" w:line="252" w:lineRule="auto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>DIČ CZ00236195</w:t>
      </w:r>
    </w:p>
    <w:p w14:paraId="7A2ACA43" w14:textId="77777777" w:rsidR="00477ACB" w:rsidRPr="00E92B2D" w:rsidRDefault="00477ACB" w:rsidP="00420DB7">
      <w:pPr>
        <w:spacing w:after="0" w:line="252" w:lineRule="auto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>(dále jen „půjčitel“)</w:t>
      </w:r>
    </w:p>
    <w:p w14:paraId="569E5B02" w14:textId="77777777" w:rsidR="00477ACB" w:rsidRPr="00E92B2D" w:rsidRDefault="00477ACB" w:rsidP="00420DB7">
      <w:pPr>
        <w:spacing w:after="0" w:line="252" w:lineRule="auto"/>
        <w:rPr>
          <w:rFonts w:cstheme="minorHAnsi"/>
          <w:sz w:val="24"/>
          <w:szCs w:val="24"/>
        </w:rPr>
      </w:pPr>
    </w:p>
    <w:p w14:paraId="14164082" w14:textId="77777777" w:rsidR="00477ACB" w:rsidRPr="00E92B2D" w:rsidRDefault="00477ACB" w:rsidP="00420DB7">
      <w:pPr>
        <w:spacing w:after="0" w:line="252" w:lineRule="auto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 xml:space="preserve">a </w:t>
      </w:r>
    </w:p>
    <w:p w14:paraId="34B57A78" w14:textId="77777777" w:rsidR="00477ACB" w:rsidRPr="00E92B2D" w:rsidRDefault="00477ACB" w:rsidP="00420DB7">
      <w:pPr>
        <w:spacing w:after="0" w:line="252" w:lineRule="auto"/>
        <w:rPr>
          <w:rFonts w:cstheme="minorHAnsi"/>
          <w:sz w:val="24"/>
          <w:szCs w:val="24"/>
        </w:rPr>
      </w:pPr>
    </w:p>
    <w:p w14:paraId="31280CC2" w14:textId="77777777" w:rsidR="00477ACB" w:rsidRPr="00E92B2D" w:rsidRDefault="00477ACB" w:rsidP="00420DB7">
      <w:pPr>
        <w:spacing w:after="0" w:line="252" w:lineRule="auto"/>
        <w:rPr>
          <w:rFonts w:cstheme="minorHAnsi"/>
          <w:b/>
          <w:sz w:val="24"/>
          <w:szCs w:val="24"/>
        </w:rPr>
      </w:pPr>
      <w:r w:rsidRPr="00E92B2D">
        <w:rPr>
          <w:rFonts w:cstheme="minorHAnsi"/>
          <w:b/>
          <w:sz w:val="24"/>
          <w:szCs w:val="24"/>
        </w:rPr>
        <w:t>Prostor Plus, o.p.s.</w:t>
      </w:r>
    </w:p>
    <w:p w14:paraId="687E4D09" w14:textId="77777777" w:rsidR="00477ACB" w:rsidRPr="00E92B2D" w:rsidRDefault="00477ACB" w:rsidP="00420DB7">
      <w:pPr>
        <w:spacing w:after="0" w:line="252" w:lineRule="auto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>sídlem Na Pustině 1068, Kolín</w:t>
      </w:r>
    </w:p>
    <w:p w14:paraId="505E34F3" w14:textId="77777777" w:rsidR="00477ACB" w:rsidRPr="00E92B2D" w:rsidRDefault="00477ACB" w:rsidP="00420DB7">
      <w:pPr>
        <w:spacing w:after="0" w:line="252" w:lineRule="auto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>zastoupeno Mgr. Petrem Steklým, ředitelem</w:t>
      </w:r>
    </w:p>
    <w:p w14:paraId="49223095" w14:textId="77777777" w:rsidR="00477ACB" w:rsidRPr="00E92B2D" w:rsidRDefault="00477ACB" w:rsidP="00420DB7">
      <w:pPr>
        <w:spacing w:after="0" w:line="252" w:lineRule="auto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>IČ 26594633</w:t>
      </w:r>
    </w:p>
    <w:p w14:paraId="3FAEA9F5" w14:textId="77777777" w:rsidR="00477ACB" w:rsidRPr="00E92B2D" w:rsidRDefault="00477ACB" w:rsidP="00420DB7">
      <w:pPr>
        <w:spacing w:after="0" w:line="252" w:lineRule="auto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>DIČ CZ26594633</w:t>
      </w:r>
    </w:p>
    <w:p w14:paraId="2ABAF013" w14:textId="77777777" w:rsidR="00477ACB" w:rsidRPr="00E92B2D" w:rsidRDefault="00477ACB" w:rsidP="00420DB7">
      <w:pPr>
        <w:spacing w:after="0" w:line="252" w:lineRule="auto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>(dále jen „vypůjčitel“)</w:t>
      </w:r>
    </w:p>
    <w:p w14:paraId="6098DB19" w14:textId="77777777" w:rsidR="00477ACB" w:rsidRPr="00E92B2D" w:rsidRDefault="00477ACB" w:rsidP="00420DB7">
      <w:pPr>
        <w:spacing w:after="0" w:line="252" w:lineRule="auto"/>
        <w:rPr>
          <w:rFonts w:cstheme="minorHAnsi"/>
          <w:sz w:val="24"/>
          <w:szCs w:val="24"/>
        </w:rPr>
      </w:pPr>
    </w:p>
    <w:p w14:paraId="78AA60EE" w14:textId="77777777" w:rsidR="00477ACB" w:rsidRPr="00E92B2D" w:rsidRDefault="00477ACB" w:rsidP="00420DB7">
      <w:pPr>
        <w:spacing w:after="0" w:line="252" w:lineRule="auto"/>
        <w:rPr>
          <w:rFonts w:cstheme="minorHAnsi"/>
          <w:sz w:val="24"/>
          <w:szCs w:val="24"/>
        </w:rPr>
      </w:pPr>
    </w:p>
    <w:p w14:paraId="631A31E2" w14:textId="77777777" w:rsidR="00477ACB" w:rsidRPr="00E92B2D" w:rsidRDefault="00477ACB" w:rsidP="00420DB7">
      <w:pPr>
        <w:spacing w:after="0" w:line="252" w:lineRule="auto"/>
        <w:rPr>
          <w:rFonts w:cstheme="minorHAnsi"/>
          <w:b/>
          <w:sz w:val="24"/>
          <w:szCs w:val="24"/>
        </w:rPr>
      </w:pPr>
      <w:r w:rsidRPr="00E92B2D">
        <w:rPr>
          <w:rFonts w:cstheme="minorHAnsi"/>
          <w:sz w:val="24"/>
          <w:szCs w:val="24"/>
        </w:rPr>
        <w:tab/>
      </w:r>
      <w:r w:rsidRPr="00E92B2D">
        <w:rPr>
          <w:rFonts w:cstheme="minorHAnsi"/>
          <w:sz w:val="24"/>
          <w:szCs w:val="24"/>
        </w:rPr>
        <w:tab/>
      </w:r>
      <w:r w:rsidRPr="00E92B2D">
        <w:rPr>
          <w:rFonts w:cstheme="minorHAnsi"/>
          <w:sz w:val="24"/>
          <w:szCs w:val="24"/>
        </w:rPr>
        <w:tab/>
      </w:r>
      <w:r w:rsidRPr="00E92B2D">
        <w:rPr>
          <w:rFonts w:cstheme="minorHAnsi"/>
          <w:sz w:val="24"/>
          <w:szCs w:val="24"/>
        </w:rPr>
        <w:tab/>
      </w:r>
      <w:r w:rsidRPr="00E92B2D">
        <w:rPr>
          <w:rFonts w:cstheme="minorHAnsi"/>
          <w:sz w:val="24"/>
          <w:szCs w:val="24"/>
        </w:rPr>
        <w:tab/>
      </w:r>
      <w:r w:rsidRPr="00E92B2D">
        <w:rPr>
          <w:rFonts w:cstheme="minorHAnsi"/>
          <w:sz w:val="24"/>
          <w:szCs w:val="24"/>
        </w:rPr>
        <w:tab/>
      </w:r>
      <w:r w:rsidRPr="00E92B2D">
        <w:rPr>
          <w:rFonts w:cstheme="minorHAnsi"/>
          <w:b/>
          <w:sz w:val="24"/>
          <w:szCs w:val="24"/>
        </w:rPr>
        <w:t>I.</w:t>
      </w:r>
    </w:p>
    <w:p w14:paraId="7DDEBDA2" w14:textId="77777777" w:rsidR="00477ACB" w:rsidRPr="00E92B2D" w:rsidRDefault="00477ACB" w:rsidP="00420DB7">
      <w:pPr>
        <w:spacing w:after="0" w:line="252" w:lineRule="auto"/>
        <w:rPr>
          <w:rFonts w:cstheme="minorHAnsi"/>
          <w:b/>
          <w:sz w:val="24"/>
          <w:szCs w:val="24"/>
        </w:rPr>
      </w:pPr>
    </w:p>
    <w:p w14:paraId="18D25023" w14:textId="4105B430" w:rsidR="00477ACB" w:rsidRPr="00E92B2D" w:rsidRDefault="00477ACB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>Strany prohlašují, že dne 30. 1. 2020 uzavřely smlouvu o výpůjčce č. KH/0111114/2020, jejímž předmětem byla výpůjčka autobusu tov. zn. IRISBUS, typ SFR 16, CROSWAY, VIN VNESFR1600M006877, SPZ 3SA0935. Autobus byl po podpisu předán do užívání vypůjčiteli.</w:t>
      </w:r>
    </w:p>
    <w:p w14:paraId="7A8806A7" w14:textId="77777777" w:rsidR="00477ACB" w:rsidRPr="00E92B2D" w:rsidRDefault="00477ACB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7F29B0D9" w14:textId="430B8CD4" w:rsidR="00477ACB" w:rsidRPr="00E92B2D" w:rsidRDefault="00477ACB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 xml:space="preserve">Dne 24. 1. 2022 nastala škodní událost na autobusu, kdy došlo ke zničení převodovky autobusu. Ze znaleckého posudku č. 909-53/2022, znalce Ing. Hasoně (obory ekonomika, strojírenství vyšlo najevo, že převodovka byla poškozena nadměrným tepelným ovlivněním, extrémním opotřebením tvrzeného povrchu ozubení a došlo k rozlomení klece ložiska výstupního hřídele ke spojce kardanu. Při kontrole bylo zjištěno prorezlé víko retardéru a únik oleje z převodovky. Znalec konstatoval, že ke škodě došlo z důvodu nedostatku mazacího oleje v převodovce a došlo k zanedbání kontroly stavu víka čerpadla oleje, které dle znalce podléhalo rzi postupně a dlouhodobě.  Znalec dovozoval, že víko a stav oleje měl být kontrolován </w:t>
      </w:r>
      <w:r w:rsidR="0015015D" w:rsidRPr="00E92B2D">
        <w:rPr>
          <w:rFonts w:cstheme="minorHAnsi"/>
          <w:sz w:val="24"/>
          <w:szCs w:val="24"/>
        </w:rPr>
        <w:t>v rámci běžné kontroly před každou jízdou.</w:t>
      </w:r>
    </w:p>
    <w:p w14:paraId="7BD86614" w14:textId="77777777" w:rsidR="0015015D" w:rsidRPr="00E92B2D" w:rsidRDefault="0015015D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665B303D" w14:textId="0C1748E1" w:rsidR="0015015D" w:rsidRPr="00E92B2D" w:rsidRDefault="0015015D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 xml:space="preserve">Znalec vypracoval dne 6. 2. 2023 dodatek ke znaleckému posudku a v něm připustil, že kontrolu stavu převodovky a oleje by bylo možné realizovat pouze na montážním kanále. Dále dovodil, že únik oleje mohl být rozpoznatelný olejovou stopou, </w:t>
      </w:r>
      <w:r w:rsidR="001E39B0" w:rsidRPr="00E92B2D">
        <w:rPr>
          <w:rFonts w:cstheme="minorHAnsi"/>
          <w:sz w:val="24"/>
          <w:szCs w:val="24"/>
        </w:rPr>
        <w:t xml:space="preserve">což však v daném případě </w:t>
      </w:r>
      <w:r w:rsidRPr="00E92B2D">
        <w:rPr>
          <w:rFonts w:cstheme="minorHAnsi"/>
          <w:sz w:val="24"/>
          <w:szCs w:val="24"/>
        </w:rPr>
        <w:t xml:space="preserve">nelze </w:t>
      </w:r>
      <w:r w:rsidR="001E39B0" w:rsidRPr="00E92B2D">
        <w:rPr>
          <w:rFonts w:cstheme="minorHAnsi"/>
          <w:sz w:val="24"/>
          <w:szCs w:val="24"/>
        </w:rPr>
        <w:t xml:space="preserve">jednoznačně </w:t>
      </w:r>
      <w:r w:rsidRPr="00E92B2D">
        <w:rPr>
          <w:rFonts w:cstheme="minorHAnsi"/>
          <w:sz w:val="24"/>
          <w:szCs w:val="24"/>
        </w:rPr>
        <w:t xml:space="preserve">potvrdit ani vyvrátit. </w:t>
      </w:r>
      <w:r w:rsidR="001E39B0" w:rsidRPr="00E92B2D">
        <w:rPr>
          <w:rFonts w:cstheme="minorHAnsi"/>
          <w:sz w:val="24"/>
          <w:szCs w:val="24"/>
        </w:rPr>
        <w:t xml:space="preserve">Nedostatek oleje se dle znalce projevuje zvýšenou hlučností převodovky a zhoršeným řazením rychlostních stupňů. </w:t>
      </w:r>
      <w:r w:rsidRPr="00E92B2D">
        <w:rPr>
          <w:rFonts w:cstheme="minorHAnsi"/>
          <w:sz w:val="24"/>
          <w:szCs w:val="24"/>
        </w:rPr>
        <w:t xml:space="preserve">Znalec dále doplnil, že přesnou dobu úniku oleje nelze specifikovat a k úniku docházelo postupně a během jízdy. Znalec dále dovodil, že závada mohla být včas zjištěna při běžných servisních a technických prohlídkách. V závěru znalec učinil závěr o tom, že novou převodovkou došlo ke zvýšení technické hodnoty </w:t>
      </w:r>
      <w:r w:rsidRPr="00E92B2D">
        <w:rPr>
          <w:rFonts w:cstheme="minorHAnsi"/>
          <w:sz w:val="24"/>
          <w:szCs w:val="24"/>
        </w:rPr>
        <w:lastRenderedPageBreak/>
        <w:t>autobusu a dále se vyjádřil, že byla možná i výměna za pouze repasovanou převodovku, kdy toto následně označil za nevhodné řešení.</w:t>
      </w:r>
    </w:p>
    <w:p w14:paraId="5D42F506" w14:textId="77777777" w:rsidR="002B0BFE" w:rsidRPr="00E92B2D" w:rsidRDefault="002B0BFE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11777B3F" w14:textId="520E57AF" w:rsidR="002B0BFE" w:rsidRPr="00E92B2D" w:rsidRDefault="002B0BFE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>Půjčitel provedl na svůj náklad výměnu převodovky za nový díl</w:t>
      </w:r>
      <w:r w:rsidR="003B7C67" w:rsidRPr="00E92B2D">
        <w:rPr>
          <w:rFonts w:cstheme="minorHAnsi"/>
          <w:sz w:val="24"/>
          <w:szCs w:val="24"/>
        </w:rPr>
        <w:t xml:space="preserve">, přičemž náklady s tímto spojené činily celkem </w:t>
      </w:r>
      <w:r w:rsidR="009B458F" w:rsidRPr="00E92B2D">
        <w:rPr>
          <w:rFonts w:cstheme="minorHAnsi"/>
          <w:sz w:val="24"/>
          <w:szCs w:val="24"/>
        </w:rPr>
        <w:t xml:space="preserve">432.118,47 </w:t>
      </w:r>
      <w:r w:rsidRPr="00E92B2D">
        <w:rPr>
          <w:rFonts w:cstheme="minorHAnsi"/>
          <w:sz w:val="24"/>
          <w:szCs w:val="24"/>
        </w:rPr>
        <w:t xml:space="preserve">Kč. Dále </w:t>
      </w:r>
      <w:r w:rsidR="003B7C67" w:rsidRPr="00E92B2D">
        <w:rPr>
          <w:rFonts w:cstheme="minorHAnsi"/>
          <w:sz w:val="24"/>
          <w:szCs w:val="24"/>
        </w:rPr>
        <w:t xml:space="preserve">půjčitel </w:t>
      </w:r>
      <w:r w:rsidRPr="00E92B2D">
        <w:rPr>
          <w:rFonts w:cstheme="minorHAnsi"/>
          <w:sz w:val="24"/>
          <w:szCs w:val="24"/>
        </w:rPr>
        <w:t>v</w:t>
      </w:r>
      <w:r w:rsidR="003B7C67" w:rsidRPr="00E92B2D">
        <w:rPr>
          <w:rFonts w:cstheme="minorHAnsi"/>
          <w:sz w:val="24"/>
          <w:szCs w:val="24"/>
        </w:rPr>
        <w:t>ynaložil na znalečném v souhrnu</w:t>
      </w:r>
      <w:r w:rsidR="00A37C9D" w:rsidRPr="00E92B2D">
        <w:rPr>
          <w:rFonts w:cstheme="minorHAnsi"/>
          <w:sz w:val="24"/>
          <w:szCs w:val="24"/>
        </w:rPr>
        <w:t xml:space="preserve"> </w:t>
      </w:r>
      <w:r w:rsidRPr="00E92B2D">
        <w:rPr>
          <w:rFonts w:cstheme="minorHAnsi"/>
          <w:sz w:val="24"/>
          <w:szCs w:val="24"/>
        </w:rPr>
        <w:t>část</w:t>
      </w:r>
      <w:r w:rsidR="003B7C67" w:rsidRPr="00E92B2D">
        <w:rPr>
          <w:rFonts w:cstheme="minorHAnsi"/>
          <w:sz w:val="24"/>
          <w:szCs w:val="24"/>
        </w:rPr>
        <w:t>ku</w:t>
      </w:r>
      <w:r w:rsidRPr="00E92B2D">
        <w:rPr>
          <w:rFonts w:cstheme="minorHAnsi"/>
          <w:sz w:val="24"/>
          <w:szCs w:val="24"/>
        </w:rPr>
        <w:t xml:space="preserve"> </w:t>
      </w:r>
      <w:r w:rsidR="009B458F" w:rsidRPr="00E92B2D">
        <w:rPr>
          <w:rFonts w:cstheme="minorHAnsi"/>
          <w:sz w:val="24"/>
          <w:szCs w:val="24"/>
        </w:rPr>
        <w:t>8.422</w:t>
      </w:r>
      <w:r w:rsidRPr="00E92B2D">
        <w:rPr>
          <w:rFonts w:cstheme="minorHAnsi"/>
          <w:sz w:val="24"/>
          <w:szCs w:val="24"/>
        </w:rPr>
        <w:t xml:space="preserve"> Kč</w:t>
      </w:r>
      <w:r w:rsidR="00A37C9D" w:rsidRPr="00E92B2D">
        <w:rPr>
          <w:rFonts w:cstheme="minorHAnsi"/>
          <w:sz w:val="24"/>
          <w:szCs w:val="24"/>
        </w:rPr>
        <w:t>.</w:t>
      </w:r>
      <w:r w:rsidR="003B7C67" w:rsidRPr="00E92B2D">
        <w:rPr>
          <w:rFonts w:cstheme="minorHAnsi"/>
          <w:sz w:val="24"/>
          <w:szCs w:val="24"/>
        </w:rPr>
        <w:t xml:space="preserve"> Strany shodně prohlašují, že půjčitel vydal v</w:t>
      </w:r>
      <w:r w:rsidR="005C6DCD" w:rsidRPr="00E92B2D">
        <w:rPr>
          <w:rFonts w:cstheme="minorHAnsi"/>
          <w:sz w:val="24"/>
          <w:szCs w:val="24"/>
        </w:rPr>
        <w:t xml:space="preserve"> souvislosti s</w:t>
      </w:r>
      <w:r w:rsidR="003B7C67" w:rsidRPr="00E92B2D">
        <w:rPr>
          <w:rFonts w:cstheme="minorHAnsi"/>
          <w:sz w:val="24"/>
          <w:szCs w:val="24"/>
        </w:rPr>
        <w:t> odstraňováním následků</w:t>
      </w:r>
      <w:r w:rsidR="005C6DCD" w:rsidRPr="00E92B2D">
        <w:rPr>
          <w:rFonts w:cstheme="minorHAnsi"/>
          <w:sz w:val="24"/>
          <w:szCs w:val="24"/>
        </w:rPr>
        <w:t xml:space="preserve"> škodní událostí </w:t>
      </w:r>
      <w:r w:rsidRPr="00E92B2D">
        <w:rPr>
          <w:rFonts w:cstheme="minorHAnsi"/>
          <w:sz w:val="24"/>
          <w:szCs w:val="24"/>
        </w:rPr>
        <w:t>částku</w:t>
      </w:r>
      <w:r w:rsidR="003B7C67" w:rsidRPr="00E92B2D">
        <w:rPr>
          <w:rFonts w:cstheme="minorHAnsi"/>
          <w:sz w:val="24"/>
          <w:szCs w:val="24"/>
        </w:rPr>
        <w:t xml:space="preserve"> v celkové výši</w:t>
      </w:r>
      <w:r w:rsidRPr="00E92B2D">
        <w:rPr>
          <w:rFonts w:cstheme="minorHAnsi"/>
          <w:sz w:val="24"/>
          <w:szCs w:val="24"/>
        </w:rPr>
        <w:t xml:space="preserve"> </w:t>
      </w:r>
      <w:r w:rsidR="009B458F" w:rsidRPr="00E92B2D">
        <w:rPr>
          <w:rFonts w:cstheme="minorHAnsi"/>
          <w:sz w:val="24"/>
          <w:szCs w:val="24"/>
        </w:rPr>
        <w:t xml:space="preserve">440.540,47 </w:t>
      </w:r>
      <w:r w:rsidRPr="00E92B2D">
        <w:rPr>
          <w:rFonts w:cstheme="minorHAnsi"/>
          <w:sz w:val="24"/>
          <w:szCs w:val="24"/>
        </w:rPr>
        <w:t>Kč.</w:t>
      </w:r>
    </w:p>
    <w:p w14:paraId="212B1521" w14:textId="77777777" w:rsidR="002B0BFE" w:rsidRPr="00E92B2D" w:rsidRDefault="002B0BFE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1628B493" w14:textId="38826276" w:rsidR="002B0BFE" w:rsidRPr="00E92B2D" w:rsidRDefault="002B0BFE" w:rsidP="00420DB7">
      <w:pPr>
        <w:spacing w:after="0" w:line="252" w:lineRule="auto"/>
        <w:jc w:val="both"/>
        <w:rPr>
          <w:rFonts w:cstheme="minorHAnsi"/>
          <w:b/>
          <w:bCs/>
          <w:sz w:val="24"/>
          <w:szCs w:val="24"/>
        </w:rPr>
      </w:pPr>
      <w:r w:rsidRPr="00E92B2D">
        <w:rPr>
          <w:rFonts w:cstheme="minorHAnsi"/>
          <w:sz w:val="24"/>
          <w:szCs w:val="24"/>
        </w:rPr>
        <w:tab/>
      </w:r>
      <w:r w:rsidRPr="00E92B2D">
        <w:rPr>
          <w:rFonts w:cstheme="minorHAnsi"/>
          <w:sz w:val="24"/>
          <w:szCs w:val="24"/>
        </w:rPr>
        <w:tab/>
      </w:r>
      <w:r w:rsidRPr="00E92B2D">
        <w:rPr>
          <w:rFonts w:cstheme="minorHAnsi"/>
          <w:sz w:val="24"/>
          <w:szCs w:val="24"/>
        </w:rPr>
        <w:tab/>
      </w:r>
      <w:r w:rsidRPr="00E92B2D">
        <w:rPr>
          <w:rFonts w:cstheme="minorHAnsi"/>
          <w:sz w:val="24"/>
          <w:szCs w:val="24"/>
        </w:rPr>
        <w:tab/>
      </w:r>
      <w:r w:rsidRPr="00E92B2D">
        <w:rPr>
          <w:rFonts w:cstheme="minorHAnsi"/>
          <w:sz w:val="24"/>
          <w:szCs w:val="24"/>
        </w:rPr>
        <w:tab/>
      </w:r>
      <w:r w:rsidRPr="00E92B2D">
        <w:rPr>
          <w:rFonts w:cstheme="minorHAnsi"/>
          <w:sz w:val="24"/>
          <w:szCs w:val="24"/>
        </w:rPr>
        <w:tab/>
      </w:r>
      <w:r w:rsidRPr="00E92B2D">
        <w:rPr>
          <w:rFonts w:cstheme="minorHAnsi"/>
          <w:b/>
          <w:bCs/>
          <w:sz w:val="24"/>
          <w:szCs w:val="24"/>
        </w:rPr>
        <w:t>II.</w:t>
      </w:r>
    </w:p>
    <w:p w14:paraId="382EB935" w14:textId="77777777" w:rsidR="002B0BFE" w:rsidRPr="00E92B2D" w:rsidRDefault="002B0BFE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2A1B695C" w14:textId="0B46C63E" w:rsidR="002B0BFE" w:rsidRPr="00E92B2D" w:rsidRDefault="002B0BFE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 xml:space="preserve">Půjčitel zaujal stanovisko, že za veškerou škodu nese odpovědnost vypůjčitel, neboť dle </w:t>
      </w:r>
      <w:r w:rsidR="005C6DCD" w:rsidRPr="00E92B2D">
        <w:rPr>
          <w:rFonts w:cstheme="minorHAnsi"/>
          <w:sz w:val="24"/>
          <w:szCs w:val="24"/>
        </w:rPr>
        <w:t xml:space="preserve">půjčitelova </w:t>
      </w:r>
      <w:r w:rsidRPr="00E92B2D">
        <w:rPr>
          <w:rFonts w:cstheme="minorHAnsi"/>
          <w:sz w:val="24"/>
          <w:szCs w:val="24"/>
        </w:rPr>
        <w:t xml:space="preserve">názoru </w:t>
      </w:r>
      <w:r w:rsidR="005C6DCD" w:rsidRPr="00E92B2D">
        <w:rPr>
          <w:rFonts w:cstheme="minorHAnsi"/>
          <w:sz w:val="24"/>
          <w:szCs w:val="24"/>
        </w:rPr>
        <w:t xml:space="preserve">vypůjčitel </w:t>
      </w:r>
      <w:r w:rsidRPr="00E92B2D">
        <w:rPr>
          <w:rFonts w:cstheme="minorHAnsi"/>
          <w:sz w:val="24"/>
          <w:szCs w:val="24"/>
        </w:rPr>
        <w:t>zanedbal běžnou kontrolu autobusu před jízdou, popř. si měl všimnout olejové skvrny, horší ovladatelnosti převodovky či vyšší hlučnosti autobusu a jednat preventivně</w:t>
      </w:r>
      <w:r w:rsidR="005C6DCD" w:rsidRPr="00E92B2D">
        <w:rPr>
          <w:rFonts w:cstheme="minorHAnsi"/>
          <w:sz w:val="24"/>
          <w:szCs w:val="24"/>
        </w:rPr>
        <w:t> za účelem předejití</w:t>
      </w:r>
      <w:r w:rsidRPr="00E92B2D">
        <w:rPr>
          <w:rFonts w:cstheme="minorHAnsi"/>
          <w:sz w:val="24"/>
          <w:szCs w:val="24"/>
        </w:rPr>
        <w:t xml:space="preserve"> vzniku škody</w:t>
      </w:r>
      <w:r w:rsidR="0085370F" w:rsidRPr="00E92B2D">
        <w:rPr>
          <w:rFonts w:cstheme="minorHAnsi"/>
          <w:sz w:val="24"/>
          <w:szCs w:val="24"/>
        </w:rPr>
        <w:t xml:space="preserve"> </w:t>
      </w:r>
      <w:r w:rsidR="005C6DCD" w:rsidRPr="00E92B2D">
        <w:rPr>
          <w:rFonts w:cstheme="minorHAnsi"/>
          <w:sz w:val="24"/>
          <w:szCs w:val="24"/>
        </w:rPr>
        <w:t>– autobus nepoužívat a neprodleně oznámit zjištěné skutečnosti</w:t>
      </w:r>
      <w:r w:rsidR="0085370F" w:rsidRPr="00E92B2D">
        <w:rPr>
          <w:rFonts w:cstheme="minorHAnsi"/>
          <w:sz w:val="24"/>
          <w:szCs w:val="24"/>
        </w:rPr>
        <w:t xml:space="preserve"> půjčiteli</w:t>
      </w:r>
      <w:r w:rsidRPr="00E92B2D">
        <w:rPr>
          <w:rFonts w:cstheme="minorHAnsi"/>
          <w:sz w:val="24"/>
          <w:szCs w:val="24"/>
        </w:rPr>
        <w:t>.</w:t>
      </w:r>
    </w:p>
    <w:p w14:paraId="1B860EB4" w14:textId="77777777" w:rsidR="002B0BFE" w:rsidRPr="00E92B2D" w:rsidRDefault="002B0BFE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6531D3BD" w14:textId="636E9270" w:rsidR="002B0BFE" w:rsidRPr="00E92B2D" w:rsidRDefault="002B0BFE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 xml:space="preserve">Vypůjčitel zaujal stanovisko, že za škodu na autobusu nenese </w:t>
      </w:r>
      <w:r w:rsidR="0085370F" w:rsidRPr="00E92B2D">
        <w:rPr>
          <w:rFonts w:cstheme="minorHAnsi"/>
          <w:sz w:val="24"/>
          <w:szCs w:val="24"/>
        </w:rPr>
        <w:t xml:space="preserve">žádnou </w:t>
      </w:r>
      <w:r w:rsidRPr="00E92B2D">
        <w:rPr>
          <w:rFonts w:cstheme="minorHAnsi"/>
          <w:sz w:val="24"/>
          <w:szCs w:val="24"/>
        </w:rPr>
        <w:t>odpovědnost, neboť běžnou kontrolou před jízdou nemohl objevit rozvíjející se závadu. Po šetření se zaměstnanci vypůjčitele navíc nabyl přesvědčení, že ti v rámci užívání autobusu nedetekovali žádný hrozící problém ani jinou nápadnost v rámci hrozící závady a škody</w:t>
      </w:r>
      <w:r w:rsidR="0085370F" w:rsidRPr="00E92B2D">
        <w:rPr>
          <w:rFonts w:cstheme="minorHAnsi"/>
          <w:sz w:val="24"/>
          <w:szCs w:val="24"/>
        </w:rPr>
        <w:t xml:space="preserve"> a této nemohli předejít</w:t>
      </w:r>
      <w:r w:rsidRPr="00E92B2D">
        <w:rPr>
          <w:rFonts w:cstheme="minorHAnsi"/>
          <w:sz w:val="24"/>
          <w:szCs w:val="24"/>
        </w:rPr>
        <w:t>. Vypůjčitel odkazoval na závěry znalce v dodatku, který připustil, že kontrolu bylo možné provést pouze na montážním kanálu, což dle vypůjčitele nespadá pod běžnou kontrolou vozidla před jízdou. Dále upozorňoval na možnou odpovědnost stanice technické kontroly</w:t>
      </w:r>
      <w:r w:rsidR="0085370F" w:rsidRPr="00E92B2D">
        <w:rPr>
          <w:rFonts w:cstheme="minorHAnsi"/>
          <w:sz w:val="24"/>
          <w:szCs w:val="24"/>
        </w:rPr>
        <w:t>,</w:t>
      </w:r>
      <w:r w:rsidRPr="00E92B2D">
        <w:rPr>
          <w:rFonts w:cstheme="minorHAnsi"/>
          <w:sz w:val="24"/>
          <w:szCs w:val="24"/>
        </w:rPr>
        <w:t xml:space="preserve"> popř. autorizovaného servisu, kdy ani jeden z těchto subjektů v rámci pravidelných kontrol neodhalil postupující korozi víka čerpadla a únik oleje (poslední kontrola byla provedena jen 271 km před škodní událostí</w:t>
      </w:r>
      <w:r w:rsidR="0085370F" w:rsidRPr="00E92B2D">
        <w:rPr>
          <w:rFonts w:cstheme="minorHAnsi"/>
          <w:sz w:val="24"/>
          <w:szCs w:val="24"/>
        </w:rPr>
        <w:t>, to vše za současného znaleckého závěru, že STK i servis by závadu musel odhalit</w:t>
      </w:r>
      <w:r w:rsidRPr="00E92B2D">
        <w:rPr>
          <w:rFonts w:cstheme="minorHAnsi"/>
          <w:sz w:val="24"/>
          <w:szCs w:val="24"/>
        </w:rPr>
        <w:t xml:space="preserve">). Vypůjčitel měl dále výhrady i </w:t>
      </w:r>
      <w:r w:rsidR="0085370F" w:rsidRPr="00E92B2D">
        <w:rPr>
          <w:rFonts w:cstheme="minorHAnsi"/>
          <w:sz w:val="24"/>
          <w:szCs w:val="24"/>
        </w:rPr>
        <w:t>k </w:t>
      </w:r>
      <w:r w:rsidRPr="00E92B2D">
        <w:rPr>
          <w:rFonts w:cstheme="minorHAnsi"/>
          <w:sz w:val="24"/>
          <w:szCs w:val="24"/>
        </w:rPr>
        <w:t>řešení</w:t>
      </w:r>
      <w:r w:rsidR="0085370F" w:rsidRPr="00E92B2D">
        <w:rPr>
          <w:rFonts w:cstheme="minorHAnsi"/>
          <w:sz w:val="24"/>
          <w:szCs w:val="24"/>
        </w:rPr>
        <w:t xml:space="preserve"> způsobu</w:t>
      </w:r>
      <w:r w:rsidRPr="00E92B2D">
        <w:rPr>
          <w:rFonts w:cstheme="minorHAnsi"/>
          <w:sz w:val="24"/>
          <w:szCs w:val="24"/>
        </w:rPr>
        <w:t xml:space="preserve"> opravy, kdy dle něj nebylo nezbytně nutné pořizovat zcela novou převodovku, ale bylo možné použití repasovaného dílu, který by měl výrazně nižší pořizovací hodnotu, kdy daný postup opravy nebyl s vypůjčitelem vůbec konzultován. Konečně vypůjčitel namítal, že </w:t>
      </w:r>
      <w:r w:rsidR="008D2BEF" w:rsidRPr="00E92B2D">
        <w:rPr>
          <w:rFonts w:cstheme="minorHAnsi"/>
          <w:sz w:val="24"/>
          <w:szCs w:val="24"/>
        </w:rPr>
        <w:t>znalec dovodil zvýšení technické hodnoty po montáži zcela nové převodovky, kdy však rozdíl v nárůstu hodnoty nebyl odečten od tvrzené škody za opravu</w:t>
      </w:r>
      <w:r w:rsidR="0085370F" w:rsidRPr="00E92B2D">
        <w:rPr>
          <w:rFonts w:cstheme="minorHAnsi"/>
          <w:sz w:val="24"/>
          <w:szCs w:val="24"/>
        </w:rPr>
        <w:t xml:space="preserve"> ze strany půjčitele</w:t>
      </w:r>
      <w:r w:rsidR="008D2BEF" w:rsidRPr="00E92B2D">
        <w:rPr>
          <w:rFonts w:cstheme="minorHAnsi"/>
          <w:sz w:val="24"/>
          <w:szCs w:val="24"/>
        </w:rPr>
        <w:t>.</w:t>
      </w:r>
    </w:p>
    <w:p w14:paraId="704C7B00" w14:textId="77777777" w:rsidR="008D2BEF" w:rsidRPr="00E92B2D" w:rsidRDefault="008D2BEF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40482213" w14:textId="7B40E854" w:rsidR="008D2BEF" w:rsidRPr="00E92B2D" w:rsidRDefault="008D2BEF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>Ze stanovisek stran bylo zřejmé, že tyto jsou zcela odlišné. Zároveň obě strany mají vůli věc řešit mimosoudní cestou v rámci zachování dobrých vztahů mezi subjekty a eliminac</w:t>
      </w:r>
      <w:r w:rsidR="00A37C9D" w:rsidRPr="00E92B2D">
        <w:rPr>
          <w:rFonts w:cstheme="minorHAnsi"/>
          <w:sz w:val="24"/>
          <w:szCs w:val="24"/>
        </w:rPr>
        <w:t>e</w:t>
      </w:r>
      <w:r w:rsidRPr="00E92B2D">
        <w:rPr>
          <w:rFonts w:cstheme="minorHAnsi"/>
          <w:sz w:val="24"/>
          <w:szCs w:val="24"/>
        </w:rPr>
        <w:t xml:space="preserve"> další</w:t>
      </w:r>
      <w:r w:rsidR="005C6DCD" w:rsidRPr="00E92B2D">
        <w:rPr>
          <w:rFonts w:cstheme="minorHAnsi"/>
          <w:sz w:val="24"/>
          <w:szCs w:val="24"/>
        </w:rPr>
        <w:t>ch</w:t>
      </w:r>
      <w:r w:rsidRPr="00E92B2D">
        <w:rPr>
          <w:rFonts w:cstheme="minorHAnsi"/>
          <w:sz w:val="24"/>
          <w:szCs w:val="24"/>
        </w:rPr>
        <w:t xml:space="preserve"> nákladů </w:t>
      </w:r>
      <w:r w:rsidR="00A37C9D" w:rsidRPr="00E92B2D">
        <w:rPr>
          <w:rFonts w:cstheme="minorHAnsi"/>
          <w:sz w:val="24"/>
          <w:szCs w:val="24"/>
        </w:rPr>
        <w:t xml:space="preserve">souvisejících </w:t>
      </w:r>
      <w:r w:rsidRPr="00E92B2D">
        <w:rPr>
          <w:rFonts w:cstheme="minorHAnsi"/>
          <w:sz w:val="24"/>
          <w:szCs w:val="24"/>
        </w:rPr>
        <w:t>s vedením sporu</w:t>
      </w:r>
      <w:r w:rsidR="0085370F" w:rsidRPr="00E92B2D">
        <w:rPr>
          <w:rFonts w:cstheme="minorHAnsi"/>
          <w:sz w:val="24"/>
          <w:szCs w:val="24"/>
        </w:rPr>
        <w:t>, kdy nelze předjímat výsledek soudního sporu</w:t>
      </w:r>
      <w:r w:rsidRPr="00E92B2D">
        <w:rPr>
          <w:rFonts w:cstheme="minorHAnsi"/>
          <w:sz w:val="24"/>
          <w:szCs w:val="24"/>
        </w:rPr>
        <w:t>. Z tohoto důvodu se rozhodl</w:t>
      </w:r>
      <w:r w:rsidR="005C6DCD" w:rsidRPr="00E92B2D">
        <w:rPr>
          <w:rFonts w:cstheme="minorHAnsi"/>
          <w:sz w:val="24"/>
          <w:szCs w:val="24"/>
        </w:rPr>
        <w:t>y</w:t>
      </w:r>
      <w:r w:rsidRPr="00E92B2D">
        <w:rPr>
          <w:rFonts w:cstheme="minorHAnsi"/>
          <w:sz w:val="24"/>
          <w:szCs w:val="24"/>
        </w:rPr>
        <w:t xml:space="preserve"> uzavřít tuto dohodu o narovnání</w:t>
      </w:r>
      <w:r w:rsidR="0036497B" w:rsidRPr="00E92B2D">
        <w:rPr>
          <w:rFonts w:cstheme="minorHAnsi"/>
          <w:sz w:val="24"/>
          <w:szCs w:val="24"/>
        </w:rPr>
        <w:t xml:space="preserve"> (dále jen „tato Dohoda“ či „Dohoda“)</w:t>
      </w:r>
      <w:r w:rsidRPr="00E92B2D">
        <w:rPr>
          <w:rFonts w:cstheme="minorHAnsi"/>
          <w:sz w:val="24"/>
          <w:szCs w:val="24"/>
        </w:rPr>
        <w:t>.</w:t>
      </w:r>
    </w:p>
    <w:p w14:paraId="6577EBEC" w14:textId="77777777" w:rsidR="008D2BEF" w:rsidRPr="00E92B2D" w:rsidRDefault="008D2BEF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2F1AD8AF" w14:textId="5658B527" w:rsidR="008D2BEF" w:rsidRPr="00E92B2D" w:rsidRDefault="008D2BEF" w:rsidP="00420DB7">
      <w:pPr>
        <w:spacing w:after="0" w:line="252" w:lineRule="auto"/>
        <w:jc w:val="both"/>
        <w:rPr>
          <w:rFonts w:cstheme="minorHAnsi"/>
          <w:b/>
          <w:bCs/>
          <w:sz w:val="24"/>
          <w:szCs w:val="24"/>
        </w:rPr>
      </w:pPr>
      <w:r w:rsidRPr="00E92B2D">
        <w:rPr>
          <w:rFonts w:cstheme="minorHAnsi"/>
          <w:sz w:val="24"/>
          <w:szCs w:val="24"/>
        </w:rPr>
        <w:tab/>
      </w:r>
      <w:r w:rsidRPr="00E92B2D">
        <w:rPr>
          <w:rFonts w:cstheme="minorHAnsi"/>
          <w:sz w:val="24"/>
          <w:szCs w:val="24"/>
        </w:rPr>
        <w:tab/>
      </w:r>
      <w:r w:rsidRPr="00E92B2D">
        <w:rPr>
          <w:rFonts w:cstheme="minorHAnsi"/>
          <w:sz w:val="24"/>
          <w:szCs w:val="24"/>
        </w:rPr>
        <w:tab/>
      </w:r>
      <w:r w:rsidRPr="00E92B2D">
        <w:rPr>
          <w:rFonts w:cstheme="minorHAnsi"/>
          <w:sz w:val="24"/>
          <w:szCs w:val="24"/>
        </w:rPr>
        <w:tab/>
      </w:r>
      <w:r w:rsidRPr="00E92B2D">
        <w:rPr>
          <w:rFonts w:cstheme="minorHAnsi"/>
          <w:sz w:val="24"/>
          <w:szCs w:val="24"/>
        </w:rPr>
        <w:tab/>
      </w:r>
      <w:r w:rsidRPr="00E92B2D">
        <w:rPr>
          <w:rFonts w:cstheme="minorHAnsi"/>
          <w:sz w:val="24"/>
          <w:szCs w:val="24"/>
        </w:rPr>
        <w:tab/>
      </w:r>
      <w:r w:rsidRPr="00E92B2D">
        <w:rPr>
          <w:rFonts w:cstheme="minorHAnsi"/>
          <w:b/>
          <w:bCs/>
          <w:sz w:val="24"/>
          <w:szCs w:val="24"/>
        </w:rPr>
        <w:t>III.</w:t>
      </w:r>
    </w:p>
    <w:p w14:paraId="4FE3E140" w14:textId="77777777" w:rsidR="008D2BEF" w:rsidRPr="00E92B2D" w:rsidRDefault="008D2BEF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1EE32490" w14:textId="041DD80E" w:rsidR="008D2BEF" w:rsidRPr="00E92B2D" w:rsidRDefault="008D2BEF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>Strany tímto ke dni účinnosti této Dohody ve smyslu § 1903 OZ narovnávají veškerá sporná práva a povinnosti vzniklé v souvislosti se škodn</w:t>
      </w:r>
      <w:r w:rsidR="001E39B0" w:rsidRPr="00E92B2D">
        <w:rPr>
          <w:rFonts w:cstheme="minorHAnsi"/>
          <w:sz w:val="24"/>
          <w:szCs w:val="24"/>
        </w:rPr>
        <w:t>í</w:t>
      </w:r>
      <w:r w:rsidRPr="00E92B2D">
        <w:rPr>
          <w:rFonts w:cstheme="minorHAnsi"/>
          <w:sz w:val="24"/>
          <w:szCs w:val="24"/>
        </w:rPr>
        <w:t xml:space="preserve"> událostí popsanou v článku I. Dohody a nahrazují je těmito novými právy a povinnostmi:</w:t>
      </w:r>
    </w:p>
    <w:p w14:paraId="44FE048C" w14:textId="77777777" w:rsidR="008D2BEF" w:rsidRPr="00E92B2D" w:rsidRDefault="008D2BEF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2D0C842A" w14:textId="71F12D26" w:rsidR="008D2BEF" w:rsidRPr="00E92B2D" w:rsidRDefault="00B93438" w:rsidP="00420DB7">
      <w:pPr>
        <w:spacing w:after="0" w:line="252" w:lineRule="auto"/>
        <w:jc w:val="both"/>
        <w:rPr>
          <w:rFonts w:cstheme="minorHAnsi"/>
          <w:b/>
          <w:bCs/>
          <w:sz w:val="24"/>
          <w:szCs w:val="24"/>
        </w:rPr>
      </w:pPr>
      <w:r w:rsidRPr="00E92B2D">
        <w:rPr>
          <w:rFonts w:cstheme="minorHAnsi"/>
          <w:b/>
          <w:bCs/>
          <w:sz w:val="24"/>
          <w:szCs w:val="24"/>
        </w:rPr>
        <w:lastRenderedPageBreak/>
        <w:t>V rámci stranami dohodnutého kompromisu se v</w:t>
      </w:r>
      <w:r w:rsidR="008D2BEF" w:rsidRPr="00E92B2D">
        <w:rPr>
          <w:rFonts w:cstheme="minorHAnsi"/>
          <w:b/>
          <w:bCs/>
          <w:sz w:val="24"/>
          <w:szCs w:val="24"/>
        </w:rPr>
        <w:t xml:space="preserve">ypůjčitel zavazuje půjčiteli nahradit </w:t>
      </w:r>
      <w:r w:rsidR="003B7C67" w:rsidRPr="00E92B2D">
        <w:rPr>
          <w:rFonts w:cstheme="minorHAnsi"/>
          <w:b/>
          <w:bCs/>
          <w:sz w:val="24"/>
          <w:szCs w:val="24"/>
        </w:rPr>
        <w:t>z </w:t>
      </w:r>
      <w:r w:rsidRPr="00E92B2D">
        <w:rPr>
          <w:rFonts w:cstheme="minorHAnsi"/>
          <w:b/>
          <w:bCs/>
          <w:sz w:val="24"/>
          <w:szCs w:val="24"/>
        </w:rPr>
        <w:t>prostředků</w:t>
      </w:r>
      <w:r w:rsidR="003B7C67" w:rsidRPr="00E92B2D">
        <w:rPr>
          <w:rFonts w:cstheme="minorHAnsi"/>
          <w:b/>
          <w:bCs/>
          <w:sz w:val="24"/>
          <w:szCs w:val="24"/>
        </w:rPr>
        <w:t xml:space="preserve"> vydan</w:t>
      </w:r>
      <w:r w:rsidRPr="00E92B2D">
        <w:rPr>
          <w:rFonts w:cstheme="minorHAnsi"/>
          <w:b/>
          <w:bCs/>
          <w:sz w:val="24"/>
          <w:szCs w:val="24"/>
        </w:rPr>
        <w:t>ých</w:t>
      </w:r>
      <w:r w:rsidR="003B7C67" w:rsidRPr="00E92B2D">
        <w:rPr>
          <w:rFonts w:cstheme="minorHAnsi"/>
          <w:b/>
          <w:bCs/>
          <w:sz w:val="24"/>
          <w:szCs w:val="24"/>
        </w:rPr>
        <w:t xml:space="preserve"> </w:t>
      </w:r>
      <w:r w:rsidRPr="00E92B2D">
        <w:rPr>
          <w:rFonts w:cstheme="minorHAnsi"/>
          <w:b/>
          <w:bCs/>
          <w:sz w:val="24"/>
          <w:szCs w:val="24"/>
        </w:rPr>
        <w:t xml:space="preserve">půjčitelem v souvislosti s odstraňováním následků škodní události </w:t>
      </w:r>
      <w:r w:rsidR="0085370F" w:rsidRPr="00E92B2D">
        <w:rPr>
          <w:rFonts w:cstheme="minorHAnsi"/>
          <w:b/>
          <w:bCs/>
          <w:sz w:val="24"/>
          <w:szCs w:val="24"/>
        </w:rPr>
        <w:t>popsan</w:t>
      </w:r>
      <w:r w:rsidRPr="00E92B2D">
        <w:rPr>
          <w:rFonts w:cstheme="minorHAnsi"/>
          <w:b/>
          <w:bCs/>
          <w:sz w:val="24"/>
          <w:szCs w:val="24"/>
        </w:rPr>
        <w:t>ých</w:t>
      </w:r>
      <w:r w:rsidR="0085370F" w:rsidRPr="00E92B2D">
        <w:rPr>
          <w:rFonts w:cstheme="minorHAnsi"/>
          <w:b/>
          <w:bCs/>
          <w:sz w:val="24"/>
          <w:szCs w:val="24"/>
        </w:rPr>
        <w:t xml:space="preserve"> v článku I. Dohody</w:t>
      </w:r>
      <w:r w:rsidRPr="00E92B2D">
        <w:rPr>
          <w:rFonts w:cstheme="minorHAnsi"/>
          <w:b/>
          <w:bCs/>
          <w:sz w:val="24"/>
          <w:szCs w:val="24"/>
        </w:rPr>
        <w:t xml:space="preserve"> částku ve výši</w:t>
      </w:r>
      <w:r w:rsidR="008D2BEF" w:rsidRPr="00E92B2D">
        <w:rPr>
          <w:rFonts w:cstheme="minorHAnsi"/>
          <w:b/>
          <w:bCs/>
          <w:sz w:val="24"/>
          <w:szCs w:val="24"/>
        </w:rPr>
        <w:t xml:space="preserve"> </w:t>
      </w:r>
      <w:r w:rsidR="009B458F" w:rsidRPr="00E92B2D">
        <w:rPr>
          <w:rFonts w:cstheme="minorHAnsi"/>
          <w:b/>
          <w:bCs/>
          <w:sz w:val="24"/>
          <w:szCs w:val="24"/>
        </w:rPr>
        <w:t>220.270</w:t>
      </w:r>
      <w:r w:rsidR="00130530" w:rsidRPr="00E92B2D">
        <w:rPr>
          <w:rFonts w:cstheme="minorHAnsi"/>
          <w:b/>
          <w:bCs/>
          <w:sz w:val="24"/>
          <w:szCs w:val="24"/>
        </w:rPr>
        <w:t xml:space="preserve"> </w:t>
      </w:r>
      <w:r w:rsidR="008D2BEF" w:rsidRPr="00E92B2D">
        <w:rPr>
          <w:rFonts w:cstheme="minorHAnsi"/>
          <w:b/>
          <w:bCs/>
          <w:sz w:val="24"/>
          <w:szCs w:val="24"/>
        </w:rPr>
        <w:t>Kč</w:t>
      </w:r>
      <w:r w:rsidR="00741A01">
        <w:rPr>
          <w:rFonts w:cstheme="minorHAnsi"/>
          <w:b/>
          <w:bCs/>
          <w:sz w:val="24"/>
          <w:szCs w:val="24"/>
        </w:rPr>
        <w:t xml:space="preserve">. </w:t>
      </w:r>
      <w:r w:rsidR="00811452">
        <w:rPr>
          <w:rFonts w:cstheme="minorHAnsi"/>
          <w:b/>
          <w:bCs/>
          <w:sz w:val="24"/>
          <w:szCs w:val="24"/>
        </w:rPr>
        <w:t>Částka bude uhrazena prostřednictvím 48</w:t>
      </w:r>
      <w:r w:rsidR="007F4B49">
        <w:rPr>
          <w:rFonts w:cstheme="minorHAnsi"/>
          <w:b/>
          <w:bCs/>
          <w:sz w:val="24"/>
          <w:szCs w:val="24"/>
        </w:rPr>
        <w:t xml:space="preserve"> pravidelných</w:t>
      </w:r>
      <w:r w:rsidR="00127B98">
        <w:rPr>
          <w:rFonts w:cstheme="minorHAnsi"/>
          <w:b/>
          <w:bCs/>
          <w:sz w:val="24"/>
          <w:szCs w:val="24"/>
        </w:rPr>
        <w:t xml:space="preserve"> </w:t>
      </w:r>
      <w:r w:rsidR="00811452">
        <w:rPr>
          <w:rFonts w:cstheme="minorHAnsi"/>
          <w:b/>
          <w:bCs/>
          <w:sz w:val="24"/>
          <w:szCs w:val="24"/>
        </w:rPr>
        <w:t>měsíčních splátek</w:t>
      </w:r>
      <w:r w:rsidR="007F4B49">
        <w:rPr>
          <w:rFonts w:cstheme="minorHAnsi"/>
          <w:b/>
          <w:bCs/>
          <w:sz w:val="24"/>
          <w:szCs w:val="24"/>
        </w:rPr>
        <w:t xml:space="preserve"> splatných </w:t>
      </w:r>
      <w:r w:rsidR="00F61B15">
        <w:rPr>
          <w:rFonts w:cstheme="minorHAnsi"/>
          <w:b/>
          <w:bCs/>
          <w:sz w:val="24"/>
          <w:szCs w:val="24"/>
        </w:rPr>
        <w:t>vždy do každého 20. dne v kalendářním měsíci počínaje kalendářním měsícem následujícím p</w:t>
      </w:r>
      <w:r w:rsidR="000E3837">
        <w:rPr>
          <w:rFonts w:cstheme="minorHAnsi"/>
          <w:b/>
          <w:bCs/>
          <w:sz w:val="24"/>
          <w:szCs w:val="24"/>
        </w:rPr>
        <w:t>o</w:t>
      </w:r>
      <w:r w:rsidR="00307E0E">
        <w:rPr>
          <w:rFonts w:cstheme="minorHAnsi"/>
          <w:b/>
          <w:bCs/>
          <w:sz w:val="24"/>
          <w:szCs w:val="24"/>
        </w:rPr>
        <w:t xml:space="preserve"> nabytí účinnosti této </w:t>
      </w:r>
      <w:r w:rsidR="00B00D99">
        <w:rPr>
          <w:rFonts w:cstheme="minorHAnsi"/>
          <w:b/>
          <w:bCs/>
          <w:sz w:val="24"/>
          <w:szCs w:val="24"/>
        </w:rPr>
        <w:t>Dohody</w:t>
      </w:r>
      <w:r w:rsidR="00F61B15">
        <w:rPr>
          <w:rFonts w:cstheme="minorHAnsi"/>
          <w:b/>
          <w:bCs/>
          <w:sz w:val="24"/>
          <w:szCs w:val="24"/>
        </w:rPr>
        <w:t>.</w:t>
      </w:r>
      <w:r w:rsidR="00B00D99">
        <w:rPr>
          <w:rFonts w:cstheme="minorHAnsi"/>
          <w:b/>
          <w:bCs/>
          <w:sz w:val="24"/>
          <w:szCs w:val="24"/>
        </w:rPr>
        <w:t xml:space="preserve"> </w:t>
      </w:r>
      <w:r w:rsidR="00EE6186">
        <w:rPr>
          <w:rFonts w:cstheme="minorHAnsi"/>
          <w:b/>
          <w:bCs/>
          <w:sz w:val="24"/>
          <w:szCs w:val="24"/>
        </w:rPr>
        <w:t>Výše p</w:t>
      </w:r>
      <w:r w:rsidR="00B00D99">
        <w:rPr>
          <w:rFonts w:cstheme="minorHAnsi"/>
          <w:b/>
          <w:bCs/>
          <w:sz w:val="24"/>
          <w:szCs w:val="24"/>
        </w:rPr>
        <w:t xml:space="preserve">rvních 47 splátek bude </w:t>
      </w:r>
      <w:r w:rsidR="00EE6186">
        <w:rPr>
          <w:rFonts w:cstheme="minorHAnsi"/>
          <w:b/>
          <w:bCs/>
          <w:sz w:val="24"/>
          <w:szCs w:val="24"/>
        </w:rPr>
        <w:t>činit</w:t>
      </w:r>
      <w:r w:rsidR="00B00D99">
        <w:rPr>
          <w:rFonts w:cstheme="minorHAnsi"/>
          <w:b/>
          <w:bCs/>
          <w:sz w:val="24"/>
          <w:szCs w:val="24"/>
        </w:rPr>
        <w:t xml:space="preserve"> 4.600 Kč, </w:t>
      </w:r>
      <w:r w:rsidR="00EE6186">
        <w:rPr>
          <w:rFonts w:cstheme="minorHAnsi"/>
          <w:b/>
          <w:bCs/>
          <w:sz w:val="24"/>
          <w:szCs w:val="24"/>
        </w:rPr>
        <w:t xml:space="preserve">výše poslední, tedy 48. splátky </w:t>
      </w:r>
      <w:r w:rsidR="00295ED7">
        <w:rPr>
          <w:rFonts w:cstheme="minorHAnsi"/>
          <w:b/>
          <w:bCs/>
          <w:sz w:val="24"/>
          <w:szCs w:val="24"/>
        </w:rPr>
        <w:t>bude činit 4.070 Kč.</w:t>
      </w:r>
      <w:r w:rsidR="00CC7D13">
        <w:rPr>
          <w:rFonts w:cstheme="minorHAnsi"/>
          <w:b/>
          <w:bCs/>
          <w:sz w:val="24"/>
          <w:szCs w:val="24"/>
        </w:rPr>
        <w:t xml:space="preserve"> </w:t>
      </w:r>
      <w:r w:rsidR="001B63C6">
        <w:rPr>
          <w:rFonts w:cstheme="minorHAnsi"/>
          <w:b/>
          <w:bCs/>
          <w:sz w:val="24"/>
          <w:szCs w:val="24"/>
        </w:rPr>
        <w:t>Strany se v</w:t>
      </w:r>
      <w:r w:rsidR="001D56DD">
        <w:rPr>
          <w:rFonts w:cstheme="minorHAnsi"/>
          <w:b/>
          <w:bCs/>
          <w:sz w:val="24"/>
          <w:szCs w:val="24"/>
        </w:rPr>
        <w:t xml:space="preserve"> souladu s ust. § 1931 </w:t>
      </w:r>
      <w:r w:rsidR="001B63C6">
        <w:rPr>
          <w:rFonts w:cstheme="minorHAnsi"/>
          <w:b/>
          <w:bCs/>
          <w:sz w:val="24"/>
          <w:szCs w:val="24"/>
        </w:rPr>
        <w:t>OZ dohodly na ztrátě</w:t>
      </w:r>
      <w:r w:rsidR="001D56DD">
        <w:rPr>
          <w:rFonts w:cstheme="minorHAnsi"/>
          <w:b/>
          <w:bCs/>
          <w:sz w:val="24"/>
          <w:szCs w:val="24"/>
        </w:rPr>
        <w:t xml:space="preserve"> výhody splátek</w:t>
      </w:r>
      <w:r w:rsidR="00CD296D">
        <w:rPr>
          <w:rFonts w:cstheme="minorHAnsi"/>
          <w:b/>
          <w:bCs/>
          <w:sz w:val="24"/>
          <w:szCs w:val="24"/>
        </w:rPr>
        <w:t>.</w:t>
      </w:r>
    </w:p>
    <w:p w14:paraId="430F2AC6" w14:textId="77777777" w:rsidR="0085370F" w:rsidRPr="00E92B2D" w:rsidRDefault="0085370F" w:rsidP="00420DB7">
      <w:pPr>
        <w:spacing w:after="0" w:line="252" w:lineRule="auto"/>
        <w:jc w:val="both"/>
        <w:rPr>
          <w:rFonts w:cstheme="minorHAnsi"/>
          <w:b/>
          <w:bCs/>
          <w:sz w:val="24"/>
          <w:szCs w:val="24"/>
        </w:rPr>
      </w:pPr>
    </w:p>
    <w:p w14:paraId="000A278B" w14:textId="638A7361" w:rsidR="008D2BEF" w:rsidRPr="00E92B2D" w:rsidRDefault="00B93438" w:rsidP="00420DB7">
      <w:pPr>
        <w:spacing w:after="0" w:line="252" w:lineRule="auto"/>
        <w:jc w:val="both"/>
        <w:rPr>
          <w:rFonts w:cstheme="minorHAnsi"/>
          <w:b/>
          <w:bCs/>
          <w:sz w:val="24"/>
          <w:szCs w:val="24"/>
        </w:rPr>
      </w:pPr>
      <w:r w:rsidRPr="00E92B2D">
        <w:rPr>
          <w:rFonts w:cstheme="minorHAnsi"/>
          <w:b/>
          <w:bCs/>
          <w:sz w:val="24"/>
          <w:szCs w:val="24"/>
        </w:rPr>
        <w:t xml:space="preserve">Strany sjednávají, že </w:t>
      </w:r>
      <w:r w:rsidR="0036497B" w:rsidRPr="00E92B2D">
        <w:rPr>
          <w:rFonts w:cstheme="minorHAnsi"/>
          <w:b/>
          <w:bCs/>
          <w:sz w:val="24"/>
          <w:szCs w:val="24"/>
        </w:rPr>
        <w:t>nabytím účinnosti této Dohody</w:t>
      </w:r>
      <w:r w:rsidRPr="00E92B2D">
        <w:rPr>
          <w:rFonts w:cstheme="minorHAnsi"/>
          <w:b/>
          <w:bCs/>
          <w:sz w:val="24"/>
          <w:szCs w:val="24"/>
        </w:rPr>
        <w:t xml:space="preserve"> pozbývá </w:t>
      </w:r>
      <w:r w:rsidR="0036497B" w:rsidRPr="00E92B2D">
        <w:rPr>
          <w:rFonts w:cstheme="minorHAnsi"/>
          <w:b/>
          <w:bCs/>
          <w:sz w:val="24"/>
          <w:szCs w:val="24"/>
        </w:rPr>
        <w:t xml:space="preserve">půjčitel </w:t>
      </w:r>
      <w:r w:rsidRPr="00E92B2D">
        <w:rPr>
          <w:rFonts w:cstheme="minorHAnsi"/>
          <w:b/>
          <w:bCs/>
          <w:sz w:val="24"/>
          <w:szCs w:val="24"/>
        </w:rPr>
        <w:t>právo se vůči vypůjčiteli domáhat jakýchkoliv nároků v souvislosti se škodní událostí popsanou v článku I. Dohody</w:t>
      </w:r>
      <w:r w:rsidR="0036497B" w:rsidRPr="00E92B2D">
        <w:rPr>
          <w:rFonts w:cstheme="minorHAnsi"/>
          <w:b/>
          <w:bCs/>
          <w:sz w:val="24"/>
          <w:szCs w:val="24"/>
        </w:rPr>
        <w:t xml:space="preserve"> s výjimkou nároku na zaplacení částky ve výši </w:t>
      </w:r>
      <w:r w:rsidR="009B458F" w:rsidRPr="00E92B2D">
        <w:rPr>
          <w:rFonts w:cstheme="minorHAnsi"/>
          <w:b/>
          <w:bCs/>
          <w:sz w:val="24"/>
          <w:szCs w:val="24"/>
        </w:rPr>
        <w:t>220.270</w:t>
      </w:r>
      <w:r w:rsidR="0036497B" w:rsidRPr="00E92B2D">
        <w:rPr>
          <w:rFonts w:cstheme="minorHAnsi"/>
          <w:b/>
          <w:bCs/>
          <w:sz w:val="24"/>
          <w:szCs w:val="24"/>
        </w:rPr>
        <w:t xml:space="preserve"> Kč dle předchozího odstavce</w:t>
      </w:r>
      <w:r w:rsidR="008D2BEF" w:rsidRPr="00E92B2D">
        <w:rPr>
          <w:rFonts w:cstheme="minorHAnsi"/>
          <w:b/>
          <w:bCs/>
          <w:sz w:val="24"/>
          <w:szCs w:val="24"/>
        </w:rPr>
        <w:t>.</w:t>
      </w:r>
    </w:p>
    <w:p w14:paraId="0B185E56" w14:textId="77777777" w:rsidR="008D2BEF" w:rsidRPr="00E92B2D" w:rsidRDefault="008D2BEF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49E53EFE" w14:textId="713E735B" w:rsidR="008D2BEF" w:rsidRPr="00E92B2D" w:rsidRDefault="008D2BEF" w:rsidP="00420DB7">
      <w:pPr>
        <w:spacing w:after="0" w:line="252" w:lineRule="auto"/>
        <w:ind w:left="4248"/>
        <w:jc w:val="both"/>
        <w:rPr>
          <w:rFonts w:cstheme="minorHAnsi"/>
          <w:b/>
          <w:bCs/>
          <w:sz w:val="24"/>
          <w:szCs w:val="24"/>
        </w:rPr>
      </w:pPr>
      <w:r w:rsidRPr="00E92B2D">
        <w:rPr>
          <w:rFonts w:cstheme="minorHAnsi"/>
          <w:b/>
          <w:bCs/>
          <w:sz w:val="24"/>
          <w:szCs w:val="24"/>
        </w:rPr>
        <w:t>IV.</w:t>
      </w:r>
    </w:p>
    <w:p w14:paraId="7B9FCFB8" w14:textId="77777777" w:rsidR="008D2BEF" w:rsidRPr="00E92B2D" w:rsidRDefault="008D2BEF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517ED709" w14:textId="789E32EE" w:rsidR="008D2BEF" w:rsidRPr="00E92B2D" w:rsidRDefault="008D2BEF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 xml:space="preserve">Tuto </w:t>
      </w:r>
      <w:r w:rsidR="0036497B" w:rsidRPr="00E92B2D">
        <w:rPr>
          <w:rFonts w:cstheme="minorHAnsi"/>
          <w:sz w:val="24"/>
          <w:szCs w:val="24"/>
        </w:rPr>
        <w:t>D</w:t>
      </w:r>
      <w:r w:rsidRPr="00E92B2D">
        <w:rPr>
          <w:rFonts w:cstheme="minorHAnsi"/>
          <w:sz w:val="24"/>
          <w:szCs w:val="24"/>
        </w:rPr>
        <w:t xml:space="preserve">ohodu lze měnit pouze písemně po vzájemné dohodě smluvních stran formou vzestupně číslovaných dodatků podepsaných oprávněnými zástupci smluvních stran. </w:t>
      </w:r>
    </w:p>
    <w:p w14:paraId="0A0C638B" w14:textId="130C9765" w:rsidR="008D2BEF" w:rsidRPr="00E92B2D" w:rsidRDefault="008D2BEF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 xml:space="preserve">Tato </w:t>
      </w:r>
      <w:r w:rsidR="0036497B" w:rsidRPr="00E92B2D">
        <w:rPr>
          <w:rFonts w:cstheme="minorHAnsi"/>
          <w:sz w:val="24"/>
          <w:szCs w:val="24"/>
        </w:rPr>
        <w:t>D</w:t>
      </w:r>
      <w:r w:rsidRPr="00E92B2D">
        <w:rPr>
          <w:rFonts w:cstheme="minorHAnsi"/>
          <w:sz w:val="24"/>
          <w:szCs w:val="24"/>
        </w:rPr>
        <w:t>ohoda nabývá platnosti dnem podpisu zástupců obou smluvních stran</w:t>
      </w:r>
      <w:r w:rsidR="009B458F" w:rsidRPr="00E92B2D">
        <w:rPr>
          <w:rFonts w:cstheme="minorHAnsi"/>
          <w:color w:val="000000" w:themeColor="text1"/>
          <w:sz w:val="24"/>
          <w:szCs w:val="24"/>
        </w:rPr>
        <w:t xml:space="preserve"> a</w:t>
      </w:r>
      <w:r w:rsidRPr="00E92B2D">
        <w:rPr>
          <w:rFonts w:cstheme="minorHAnsi"/>
          <w:color w:val="000000" w:themeColor="text1"/>
          <w:sz w:val="24"/>
          <w:szCs w:val="24"/>
        </w:rPr>
        <w:t xml:space="preserve"> účinnosti dnem jejího vložení do Registru smluv. </w:t>
      </w:r>
    </w:p>
    <w:p w14:paraId="18538BDD" w14:textId="6518AD6B" w:rsidR="008D2BEF" w:rsidRPr="00E92B2D" w:rsidRDefault="008D2BEF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 xml:space="preserve">Tato </w:t>
      </w:r>
      <w:r w:rsidR="0036497B" w:rsidRPr="00E92B2D">
        <w:rPr>
          <w:rFonts w:cstheme="minorHAnsi"/>
          <w:sz w:val="24"/>
          <w:szCs w:val="24"/>
        </w:rPr>
        <w:t>D</w:t>
      </w:r>
      <w:r w:rsidRPr="00E92B2D">
        <w:rPr>
          <w:rFonts w:cstheme="minorHAnsi"/>
          <w:sz w:val="24"/>
          <w:szCs w:val="24"/>
        </w:rPr>
        <w:t xml:space="preserve">ohoda se vyhotovuje ve dvou stejnopisech s platností originálu, z nichž každá ze smluvních stran obdrží po jednom vyhotovení. </w:t>
      </w:r>
    </w:p>
    <w:p w14:paraId="582951E2" w14:textId="7F9B9F5F" w:rsidR="008D2BEF" w:rsidRPr="00E92B2D" w:rsidRDefault="008D2BEF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  <w:r w:rsidRPr="00E92B2D">
        <w:rPr>
          <w:rFonts w:cstheme="minorHAnsi"/>
          <w:iCs/>
          <w:sz w:val="24"/>
          <w:szCs w:val="24"/>
        </w:rPr>
        <w:t xml:space="preserve">Tato </w:t>
      </w:r>
      <w:r w:rsidR="0036497B" w:rsidRPr="00E92B2D">
        <w:rPr>
          <w:rFonts w:cstheme="minorHAnsi"/>
          <w:iCs/>
          <w:sz w:val="24"/>
          <w:szCs w:val="24"/>
        </w:rPr>
        <w:t>D</w:t>
      </w:r>
      <w:r w:rsidRPr="00E92B2D">
        <w:rPr>
          <w:rFonts w:cstheme="minorHAnsi"/>
          <w:iCs/>
          <w:sz w:val="24"/>
          <w:szCs w:val="24"/>
        </w:rPr>
        <w:t>ohoda podléhá uveřejnění v registru smluv dle zákona č. 340/2015 Sb., o zvláštních podmínkách účinnosti některých smluv, uveřejňování těchto smluv a o registru smluv (zákon o registru smluv) (dále jen: „</w:t>
      </w:r>
      <w:r w:rsidRPr="00E92B2D">
        <w:rPr>
          <w:rFonts w:cstheme="minorHAnsi"/>
          <w:b/>
          <w:iCs/>
          <w:sz w:val="24"/>
          <w:szCs w:val="24"/>
        </w:rPr>
        <w:t>registr smluv</w:t>
      </w:r>
      <w:r w:rsidRPr="00E92B2D">
        <w:rPr>
          <w:rFonts w:cstheme="minorHAnsi"/>
          <w:iCs/>
          <w:sz w:val="24"/>
          <w:szCs w:val="24"/>
        </w:rPr>
        <w:t xml:space="preserve">“). Smluvní strany se dohodly, že </w:t>
      </w:r>
      <w:r w:rsidR="0036497B" w:rsidRPr="00E92B2D">
        <w:rPr>
          <w:rFonts w:cstheme="minorHAnsi"/>
          <w:iCs/>
          <w:sz w:val="24"/>
          <w:szCs w:val="24"/>
        </w:rPr>
        <w:t>D</w:t>
      </w:r>
      <w:r w:rsidRPr="00E92B2D">
        <w:rPr>
          <w:rFonts w:cstheme="minorHAnsi"/>
          <w:iCs/>
          <w:sz w:val="24"/>
          <w:szCs w:val="24"/>
        </w:rPr>
        <w:t xml:space="preserve">ohodu v souladu s tímto zákonem uveřejní </w:t>
      </w:r>
      <w:r w:rsidR="0085370F" w:rsidRPr="00E92B2D">
        <w:rPr>
          <w:rFonts w:cstheme="minorHAnsi"/>
          <w:iCs/>
          <w:sz w:val="24"/>
          <w:szCs w:val="24"/>
        </w:rPr>
        <w:t>půjčitel</w:t>
      </w:r>
      <w:r w:rsidRPr="00E92B2D">
        <w:rPr>
          <w:rFonts w:cstheme="minorHAnsi"/>
          <w:iCs/>
          <w:sz w:val="24"/>
          <w:szCs w:val="24"/>
        </w:rPr>
        <w:t xml:space="preserve">, a to nejpozději do 30 dnů od uzavření </w:t>
      </w:r>
      <w:r w:rsidR="0036497B" w:rsidRPr="00E92B2D">
        <w:rPr>
          <w:rFonts w:cstheme="minorHAnsi"/>
          <w:iCs/>
          <w:sz w:val="24"/>
          <w:szCs w:val="24"/>
        </w:rPr>
        <w:t>D</w:t>
      </w:r>
      <w:r w:rsidRPr="00E92B2D">
        <w:rPr>
          <w:rFonts w:cstheme="minorHAnsi"/>
          <w:iCs/>
          <w:sz w:val="24"/>
          <w:szCs w:val="24"/>
        </w:rPr>
        <w:t xml:space="preserve">ohody. Toto ujednání však nebrání tomu, aby smlouvu zveřejnil i </w:t>
      </w:r>
      <w:r w:rsidR="0085370F" w:rsidRPr="00E92B2D">
        <w:rPr>
          <w:rFonts w:cstheme="minorHAnsi"/>
          <w:iCs/>
          <w:sz w:val="24"/>
          <w:szCs w:val="24"/>
        </w:rPr>
        <w:t>vypůjčitel</w:t>
      </w:r>
      <w:r w:rsidRPr="00E92B2D">
        <w:rPr>
          <w:rFonts w:cstheme="minorHAnsi"/>
          <w:iCs/>
          <w:sz w:val="24"/>
          <w:szCs w:val="24"/>
        </w:rPr>
        <w:t xml:space="preserve">. </w:t>
      </w:r>
    </w:p>
    <w:p w14:paraId="44373892" w14:textId="77777777" w:rsidR="008D2BEF" w:rsidRPr="00E92B2D" w:rsidRDefault="008D2BEF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7872D920" w14:textId="0C79D193" w:rsidR="008D2BEF" w:rsidRPr="00E92B2D" w:rsidRDefault="008D2BEF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  <w:r w:rsidRPr="00E92B2D">
        <w:rPr>
          <w:rFonts w:cstheme="minorHAnsi"/>
          <w:sz w:val="24"/>
          <w:szCs w:val="24"/>
        </w:rPr>
        <w:t xml:space="preserve">Smluvní strany shodně prohlašují, že si tuto </w:t>
      </w:r>
      <w:r w:rsidR="0036497B" w:rsidRPr="00E92B2D">
        <w:rPr>
          <w:rFonts w:cstheme="minorHAnsi"/>
          <w:sz w:val="24"/>
          <w:szCs w:val="24"/>
        </w:rPr>
        <w:t>D</w:t>
      </w:r>
      <w:r w:rsidRPr="00E92B2D">
        <w:rPr>
          <w:rFonts w:cstheme="minorHAnsi"/>
          <w:sz w:val="24"/>
          <w:szCs w:val="24"/>
        </w:rPr>
        <w:t>ohodu před jejím podepsáním přečetly, že byla uzavřena po vzájemném projednání podle jejich pravé a svobodné vůle, určitě, vážně a srozumitelně, nikoliv v tísni nebo za nápadně nevýhodných podmínek a její autentičnost stvrzují níže svými podpisy</w:t>
      </w:r>
      <w:r w:rsidR="00FB7CF4">
        <w:rPr>
          <w:rFonts w:cstheme="minorHAnsi"/>
          <w:sz w:val="24"/>
          <w:szCs w:val="24"/>
        </w:rPr>
        <w:t>.</w:t>
      </w:r>
    </w:p>
    <w:p w14:paraId="69009D9A" w14:textId="77777777" w:rsidR="008D2BEF" w:rsidRPr="00E92B2D" w:rsidRDefault="008D2BEF" w:rsidP="00420DB7">
      <w:pPr>
        <w:suppressAutoHyphens/>
        <w:spacing w:after="0" w:line="252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92B2D">
        <w:rPr>
          <w:rFonts w:cstheme="minorHAnsi"/>
          <w:color w:val="000000" w:themeColor="text1"/>
          <w:sz w:val="24"/>
          <w:szCs w:val="24"/>
        </w:rPr>
        <w:t>Doložka:</w:t>
      </w:r>
    </w:p>
    <w:p w14:paraId="4F1D88F6" w14:textId="12828675" w:rsidR="00DE72B0" w:rsidRPr="00DE72B0" w:rsidRDefault="008D2BEF" w:rsidP="00420DB7">
      <w:pPr>
        <w:suppressAutoHyphens/>
        <w:spacing w:after="0" w:line="252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92B2D">
        <w:rPr>
          <w:rFonts w:cstheme="minorHAnsi"/>
          <w:color w:val="000000" w:themeColor="text1"/>
          <w:sz w:val="24"/>
          <w:szCs w:val="24"/>
        </w:rPr>
        <w:t xml:space="preserve">Potvrzujeme ve smyslu § 41 zákona č. 128/2000 Sb., o obcích, ve znění pozdějších předpisů, že byly splněny podmínky pro platnost tohoto právního jednání. Tato </w:t>
      </w:r>
      <w:r w:rsidR="0036497B" w:rsidRPr="00E92B2D">
        <w:rPr>
          <w:rFonts w:cstheme="minorHAnsi"/>
          <w:color w:val="000000" w:themeColor="text1"/>
          <w:sz w:val="24"/>
          <w:szCs w:val="24"/>
        </w:rPr>
        <w:t>D</w:t>
      </w:r>
      <w:r w:rsidRPr="00E92B2D">
        <w:rPr>
          <w:rFonts w:cstheme="minorHAnsi"/>
          <w:color w:val="000000" w:themeColor="text1"/>
          <w:sz w:val="24"/>
          <w:szCs w:val="24"/>
        </w:rPr>
        <w:t>ohoda byla</w:t>
      </w:r>
      <w:r w:rsidR="00446CE9">
        <w:rPr>
          <w:rFonts w:cstheme="minorHAnsi"/>
          <w:color w:val="000000" w:themeColor="text1"/>
          <w:sz w:val="24"/>
          <w:szCs w:val="24"/>
        </w:rPr>
        <w:t xml:space="preserve"> projednána</w:t>
      </w:r>
      <w:r w:rsidR="00290235">
        <w:rPr>
          <w:rFonts w:cstheme="minorHAnsi"/>
          <w:color w:val="000000" w:themeColor="text1"/>
          <w:sz w:val="24"/>
          <w:szCs w:val="24"/>
        </w:rPr>
        <w:t xml:space="preserve"> a odsouhlasena Zastupitelstvem </w:t>
      </w:r>
      <w:r w:rsidRPr="00E92B2D">
        <w:rPr>
          <w:rFonts w:cstheme="minorHAnsi"/>
          <w:color w:val="000000" w:themeColor="text1"/>
          <w:sz w:val="24"/>
          <w:szCs w:val="24"/>
        </w:rPr>
        <w:t xml:space="preserve">města </w:t>
      </w:r>
      <w:r w:rsidR="0085370F" w:rsidRPr="00E92B2D">
        <w:rPr>
          <w:rFonts w:cstheme="minorHAnsi"/>
          <w:color w:val="000000" w:themeColor="text1"/>
          <w:sz w:val="24"/>
          <w:szCs w:val="24"/>
        </w:rPr>
        <w:t>Kutná Hora</w:t>
      </w:r>
      <w:r w:rsidR="005C72DE">
        <w:rPr>
          <w:rFonts w:cstheme="minorHAnsi"/>
          <w:color w:val="000000" w:themeColor="text1"/>
          <w:sz w:val="24"/>
          <w:szCs w:val="24"/>
        </w:rPr>
        <w:t xml:space="preserve"> dne 12.9.2023</w:t>
      </w:r>
      <w:r w:rsidR="00E3738E">
        <w:rPr>
          <w:rFonts w:cstheme="minorHAnsi"/>
          <w:color w:val="000000" w:themeColor="text1"/>
          <w:sz w:val="24"/>
          <w:szCs w:val="24"/>
        </w:rPr>
        <w:t>, Usnesením č.  Z/213/23</w:t>
      </w:r>
      <w:r w:rsidRPr="00E92B2D">
        <w:rPr>
          <w:rFonts w:cstheme="minorHAnsi"/>
          <w:color w:val="000000" w:themeColor="text1"/>
          <w:sz w:val="24"/>
          <w:szCs w:val="24"/>
        </w:rPr>
        <w:t>.</w:t>
      </w:r>
    </w:p>
    <w:tbl>
      <w:tblPr>
        <w:tblpPr w:leftFromText="141" w:rightFromText="141" w:vertAnchor="text" w:horzAnchor="margin" w:tblpX="-39" w:tblpY="493"/>
        <w:tblOverlap w:val="never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E72B0" w:rsidRPr="00EE4824" w14:paraId="29E7D692" w14:textId="77777777" w:rsidTr="00420DB7">
        <w:trPr>
          <w:trHeight w:val="17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E34A6" w14:textId="77777777" w:rsidR="00DE72B0" w:rsidRPr="00EE4824" w:rsidRDefault="00DE72B0" w:rsidP="00420DB7">
            <w:pPr>
              <w:spacing w:after="0" w:line="252" w:lineRule="auto"/>
              <w:rPr>
                <w:rFonts w:cs="Arial"/>
                <w:sz w:val="24"/>
                <w:szCs w:val="24"/>
              </w:rPr>
            </w:pPr>
          </w:p>
          <w:p w14:paraId="10969DC6" w14:textId="5CB36EB9" w:rsidR="00DE72B0" w:rsidRPr="00EE4824" w:rsidRDefault="00DE72B0" w:rsidP="00420DB7">
            <w:pPr>
              <w:spacing w:after="0" w:line="252" w:lineRule="auto"/>
              <w:jc w:val="center"/>
              <w:rPr>
                <w:rFonts w:cs="Arial"/>
                <w:sz w:val="24"/>
                <w:szCs w:val="24"/>
              </w:rPr>
            </w:pPr>
            <w:r w:rsidRPr="00EE4824">
              <w:rPr>
                <w:rFonts w:cs="Arial"/>
                <w:sz w:val="24"/>
                <w:szCs w:val="24"/>
              </w:rPr>
              <w:t>V</w:t>
            </w:r>
            <w:r w:rsidR="00E3738E">
              <w:rPr>
                <w:rFonts w:cs="Arial"/>
                <w:sz w:val="24"/>
                <w:szCs w:val="24"/>
              </w:rPr>
              <w:t> Kutné Hoře</w:t>
            </w:r>
            <w:bookmarkStart w:id="0" w:name="_GoBack"/>
            <w:bookmarkEnd w:id="0"/>
            <w:r>
              <w:rPr>
                <w:rFonts w:cs="Arial"/>
                <w:sz w:val="24"/>
                <w:szCs w:val="24"/>
              </w:rPr>
              <w:t xml:space="preserve"> </w:t>
            </w:r>
            <w:r w:rsidRPr="00EE4824">
              <w:rPr>
                <w:rFonts w:cs="Arial"/>
                <w:sz w:val="24"/>
                <w:szCs w:val="24"/>
              </w:rPr>
              <w:t>dne …………………</w:t>
            </w:r>
          </w:p>
          <w:p w14:paraId="1E12F779" w14:textId="77777777" w:rsidR="00DE72B0" w:rsidRDefault="00DE72B0" w:rsidP="00420DB7">
            <w:pPr>
              <w:spacing w:after="0" w:line="252" w:lineRule="auto"/>
              <w:rPr>
                <w:rFonts w:cs="Arial"/>
                <w:sz w:val="24"/>
                <w:szCs w:val="24"/>
              </w:rPr>
            </w:pPr>
          </w:p>
          <w:p w14:paraId="0C30A282" w14:textId="77777777" w:rsidR="00DE72B0" w:rsidRDefault="00DE72B0" w:rsidP="00420DB7">
            <w:pPr>
              <w:spacing w:after="0" w:line="252" w:lineRule="auto"/>
              <w:rPr>
                <w:rFonts w:cs="Arial"/>
                <w:sz w:val="24"/>
                <w:szCs w:val="24"/>
              </w:rPr>
            </w:pPr>
          </w:p>
          <w:p w14:paraId="3CB11B95" w14:textId="77777777" w:rsidR="00DE72B0" w:rsidRPr="00EE4824" w:rsidRDefault="00DE72B0" w:rsidP="00420DB7">
            <w:pPr>
              <w:spacing w:after="0" w:line="252" w:lineRule="auto"/>
              <w:rPr>
                <w:rFonts w:cs="Arial"/>
                <w:sz w:val="24"/>
                <w:szCs w:val="24"/>
              </w:rPr>
            </w:pPr>
          </w:p>
          <w:p w14:paraId="58ACA94F" w14:textId="77777777" w:rsidR="00DE72B0" w:rsidRPr="00EE4824" w:rsidRDefault="00DE72B0" w:rsidP="00420DB7">
            <w:pPr>
              <w:spacing w:after="0" w:line="252" w:lineRule="auto"/>
              <w:jc w:val="center"/>
              <w:rPr>
                <w:rFonts w:cs="Arial"/>
                <w:sz w:val="24"/>
                <w:szCs w:val="24"/>
              </w:rPr>
            </w:pPr>
            <w:r w:rsidRPr="00EE4824">
              <w:rPr>
                <w:rFonts w:cs="Arial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1E89C" w14:textId="77777777" w:rsidR="00DE72B0" w:rsidRPr="00EE4824" w:rsidRDefault="00DE72B0" w:rsidP="00420DB7">
            <w:pPr>
              <w:spacing w:after="0" w:line="252" w:lineRule="auto"/>
              <w:rPr>
                <w:rFonts w:cs="Arial"/>
                <w:sz w:val="24"/>
                <w:szCs w:val="24"/>
              </w:rPr>
            </w:pPr>
          </w:p>
          <w:p w14:paraId="4D163ABA" w14:textId="77777777" w:rsidR="00DE72B0" w:rsidRPr="00EE4824" w:rsidRDefault="00DE72B0" w:rsidP="00420DB7">
            <w:pPr>
              <w:spacing w:after="0" w:line="252" w:lineRule="auto"/>
              <w:jc w:val="center"/>
              <w:rPr>
                <w:rFonts w:cs="Arial"/>
                <w:sz w:val="24"/>
                <w:szCs w:val="24"/>
              </w:rPr>
            </w:pPr>
            <w:r w:rsidRPr="00EE4824">
              <w:rPr>
                <w:rFonts w:cs="Arial"/>
                <w:sz w:val="24"/>
                <w:szCs w:val="24"/>
              </w:rPr>
              <w:t>V …</w:t>
            </w:r>
            <w:r>
              <w:rPr>
                <w:rFonts w:cs="Arial"/>
                <w:sz w:val="24"/>
                <w:szCs w:val="24"/>
              </w:rPr>
              <w:t>………</w:t>
            </w:r>
            <w:r w:rsidRPr="00EE4824">
              <w:rPr>
                <w:rFonts w:cs="Arial"/>
                <w:sz w:val="24"/>
                <w:szCs w:val="24"/>
              </w:rPr>
              <w:t>………………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EE4824">
              <w:rPr>
                <w:rFonts w:cs="Arial"/>
                <w:sz w:val="24"/>
                <w:szCs w:val="24"/>
              </w:rPr>
              <w:t>dne …………………</w:t>
            </w:r>
          </w:p>
          <w:p w14:paraId="68D7C929" w14:textId="77777777" w:rsidR="00DE72B0" w:rsidRDefault="00DE72B0" w:rsidP="00420DB7">
            <w:pPr>
              <w:spacing w:after="0" w:line="252" w:lineRule="auto"/>
              <w:jc w:val="center"/>
              <w:rPr>
                <w:rFonts w:cs="Arial"/>
                <w:sz w:val="24"/>
                <w:szCs w:val="24"/>
              </w:rPr>
            </w:pPr>
          </w:p>
          <w:p w14:paraId="39C788BF" w14:textId="77777777" w:rsidR="00DE72B0" w:rsidRPr="00EE4824" w:rsidRDefault="00DE72B0" w:rsidP="00420DB7">
            <w:pPr>
              <w:spacing w:after="0" w:line="252" w:lineRule="auto"/>
              <w:jc w:val="center"/>
              <w:rPr>
                <w:rFonts w:cs="Arial"/>
                <w:sz w:val="24"/>
                <w:szCs w:val="24"/>
              </w:rPr>
            </w:pPr>
          </w:p>
          <w:p w14:paraId="177AF047" w14:textId="77777777" w:rsidR="00DE72B0" w:rsidRPr="00EE4824" w:rsidRDefault="00DE72B0" w:rsidP="00420DB7">
            <w:pPr>
              <w:spacing w:after="0" w:line="252" w:lineRule="auto"/>
              <w:rPr>
                <w:rFonts w:cs="Arial"/>
                <w:sz w:val="24"/>
                <w:szCs w:val="24"/>
              </w:rPr>
            </w:pPr>
          </w:p>
          <w:p w14:paraId="5C865E98" w14:textId="77777777" w:rsidR="00DE72B0" w:rsidRPr="00EE4824" w:rsidRDefault="00DE72B0" w:rsidP="00420DB7">
            <w:pPr>
              <w:spacing w:after="0" w:line="252" w:lineRule="auto"/>
              <w:jc w:val="center"/>
              <w:rPr>
                <w:rFonts w:cs="Arial"/>
                <w:sz w:val="24"/>
                <w:szCs w:val="24"/>
              </w:rPr>
            </w:pPr>
            <w:r w:rsidRPr="00EE4824">
              <w:rPr>
                <w:rFonts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DE72B0" w:rsidRPr="00EE4824" w14:paraId="05005B87" w14:textId="77777777" w:rsidTr="00420DB7">
        <w:trPr>
          <w:trHeight w:val="137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615A" w14:textId="006967C6" w:rsidR="00DE72B0" w:rsidRPr="00EE4824" w:rsidRDefault="00DE72B0" w:rsidP="00420DB7">
            <w:pPr>
              <w:spacing w:after="0" w:line="252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EE4824">
              <w:rPr>
                <w:rFonts w:cs="Arial"/>
                <w:bCs/>
                <w:sz w:val="24"/>
                <w:szCs w:val="24"/>
              </w:rPr>
              <w:t xml:space="preserve">za </w:t>
            </w:r>
            <w:r>
              <w:rPr>
                <w:rFonts w:cs="Arial"/>
                <w:bCs/>
                <w:sz w:val="24"/>
                <w:szCs w:val="24"/>
              </w:rPr>
              <w:t>půjčitele</w:t>
            </w:r>
          </w:p>
          <w:p w14:paraId="54E68A04" w14:textId="53B2F0ED" w:rsidR="00DE72B0" w:rsidRPr="00EE4824" w:rsidRDefault="00DE72B0" w:rsidP="00420DB7">
            <w:pPr>
              <w:spacing w:after="0" w:line="252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Lukáš Seifert, starosta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04D5" w14:textId="77777777" w:rsidR="00DE72B0" w:rsidRDefault="00DE72B0" w:rsidP="00420DB7">
            <w:pPr>
              <w:spacing w:after="0" w:line="252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za vypůjčitele</w:t>
            </w:r>
          </w:p>
          <w:p w14:paraId="45130053" w14:textId="06671C73" w:rsidR="00DE72B0" w:rsidRPr="007B12C8" w:rsidRDefault="00DE72B0" w:rsidP="00420DB7">
            <w:pPr>
              <w:spacing w:after="0" w:line="252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Mgr. Petr Steklý, ředitel</w:t>
            </w:r>
          </w:p>
        </w:tc>
      </w:tr>
    </w:tbl>
    <w:p w14:paraId="51ABB7DD" w14:textId="77777777" w:rsidR="00DE72B0" w:rsidRPr="00E92B2D" w:rsidRDefault="00DE72B0" w:rsidP="00420DB7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sectPr w:rsidR="00DE72B0" w:rsidRPr="00E92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7801C" w14:textId="77777777" w:rsidR="00D15CE4" w:rsidRDefault="00D15CE4" w:rsidP="006202D2">
      <w:pPr>
        <w:spacing w:after="0" w:line="240" w:lineRule="auto"/>
      </w:pPr>
      <w:r>
        <w:separator/>
      </w:r>
    </w:p>
  </w:endnote>
  <w:endnote w:type="continuationSeparator" w:id="0">
    <w:p w14:paraId="3B53DE7E" w14:textId="77777777" w:rsidR="00D15CE4" w:rsidRDefault="00D15CE4" w:rsidP="0062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D9875" w14:textId="77777777" w:rsidR="00D15CE4" w:rsidRDefault="00D15CE4" w:rsidP="006202D2">
      <w:pPr>
        <w:spacing w:after="0" w:line="240" w:lineRule="auto"/>
      </w:pPr>
      <w:r>
        <w:separator/>
      </w:r>
    </w:p>
  </w:footnote>
  <w:footnote w:type="continuationSeparator" w:id="0">
    <w:p w14:paraId="13AC5D58" w14:textId="77777777" w:rsidR="00D15CE4" w:rsidRDefault="00D15CE4" w:rsidP="00620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26E9"/>
    <w:multiLevelType w:val="hybridMultilevel"/>
    <w:tmpl w:val="15360CC0"/>
    <w:lvl w:ilvl="0" w:tplc="7548DF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386F"/>
    <w:multiLevelType w:val="hybridMultilevel"/>
    <w:tmpl w:val="227EBE4C"/>
    <w:lvl w:ilvl="0" w:tplc="FEF00C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D84091"/>
    <w:multiLevelType w:val="hybridMultilevel"/>
    <w:tmpl w:val="FA923D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42617"/>
    <w:multiLevelType w:val="hybridMultilevel"/>
    <w:tmpl w:val="A0209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B5900"/>
    <w:multiLevelType w:val="multilevel"/>
    <w:tmpl w:val="0FC6A320"/>
    <w:lvl w:ilvl="0">
      <w:start w:val="1"/>
      <w:numFmt w:val="decimal"/>
      <w:pStyle w:val="h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kern w:val="0"/>
      </w:rPr>
    </w:lvl>
    <w:lvl w:ilvl="1">
      <w:start w:val="1"/>
      <w:numFmt w:val="decimal"/>
      <w:pStyle w:val="lh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lowerLetter"/>
      <w:pStyle w:val="lh3"/>
      <w:lvlText w:val="(%3)"/>
      <w:lvlJc w:val="left"/>
      <w:pPr>
        <w:tabs>
          <w:tab w:val="num" w:pos="1571"/>
        </w:tabs>
        <w:ind w:left="1571" w:hanging="720"/>
      </w:pPr>
      <w:rPr>
        <w:rFonts w:hint="default"/>
        <w:b/>
        <w:bCs/>
      </w:rPr>
    </w:lvl>
    <w:lvl w:ilvl="3">
      <w:start w:val="1"/>
      <w:numFmt w:val="lowerRoman"/>
      <w:pStyle w:val="lh4"/>
      <w:lvlText w:val="%4."/>
      <w:lvlJc w:val="left"/>
      <w:pPr>
        <w:tabs>
          <w:tab w:val="num" w:pos="2155"/>
        </w:tabs>
        <w:ind w:left="2155" w:hanging="7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5" w15:restartNumberingAfterBreak="0">
    <w:nsid w:val="7A5A0F41"/>
    <w:multiLevelType w:val="hybridMultilevel"/>
    <w:tmpl w:val="931C14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4D"/>
    <w:rsid w:val="00021615"/>
    <w:rsid w:val="000B7580"/>
    <w:rsid w:val="000E3837"/>
    <w:rsid w:val="00127B98"/>
    <w:rsid w:val="00130530"/>
    <w:rsid w:val="0015015D"/>
    <w:rsid w:val="00166C6C"/>
    <w:rsid w:val="001B63C6"/>
    <w:rsid w:val="001D56DD"/>
    <w:rsid w:val="001E39B0"/>
    <w:rsid w:val="0026715B"/>
    <w:rsid w:val="00290235"/>
    <w:rsid w:val="00295ED7"/>
    <w:rsid w:val="002B0BFE"/>
    <w:rsid w:val="00307E0E"/>
    <w:rsid w:val="0031064D"/>
    <w:rsid w:val="0036497B"/>
    <w:rsid w:val="003B7C67"/>
    <w:rsid w:val="00420DB7"/>
    <w:rsid w:val="00446CE9"/>
    <w:rsid w:val="00477ACB"/>
    <w:rsid w:val="004C410A"/>
    <w:rsid w:val="00554C49"/>
    <w:rsid w:val="005C6DCD"/>
    <w:rsid w:val="005C72DE"/>
    <w:rsid w:val="00600940"/>
    <w:rsid w:val="006202D2"/>
    <w:rsid w:val="006470EC"/>
    <w:rsid w:val="00666710"/>
    <w:rsid w:val="006F419E"/>
    <w:rsid w:val="00741A01"/>
    <w:rsid w:val="0077254A"/>
    <w:rsid w:val="007C5B2F"/>
    <w:rsid w:val="007F4B49"/>
    <w:rsid w:val="00811452"/>
    <w:rsid w:val="00822B1B"/>
    <w:rsid w:val="0085370F"/>
    <w:rsid w:val="008C4164"/>
    <w:rsid w:val="008D2BEF"/>
    <w:rsid w:val="0090397F"/>
    <w:rsid w:val="00942703"/>
    <w:rsid w:val="009B458F"/>
    <w:rsid w:val="00A37C9D"/>
    <w:rsid w:val="00B00D99"/>
    <w:rsid w:val="00B04436"/>
    <w:rsid w:val="00B40562"/>
    <w:rsid w:val="00B93438"/>
    <w:rsid w:val="00C87FA3"/>
    <w:rsid w:val="00CC7D13"/>
    <w:rsid w:val="00CD296D"/>
    <w:rsid w:val="00CD6FE9"/>
    <w:rsid w:val="00CF1885"/>
    <w:rsid w:val="00D15CE4"/>
    <w:rsid w:val="00DE72B0"/>
    <w:rsid w:val="00E3738E"/>
    <w:rsid w:val="00E92B2D"/>
    <w:rsid w:val="00EA02DD"/>
    <w:rsid w:val="00EE6186"/>
    <w:rsid w:val="00F61B15"/>
    <w:rsid w:val="00F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387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ACB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54A"/>
    <w:pPr>
      <w:ind w:left="720"/>
      <w:contextualSpacing/>
    </w:pPr>
  </w:style>
  <w:style w:type="paragraph" w:customStyle="1" w:styleId="hl1">
    <w:name w:val="hl_1"/>
    <w:basedOn w:val="Normln"/>
    <w:rsid w:val="008D2BEF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h2">
    <w:name w:val="lh_2"/>
    <w:basedOn w:val="Normln"/>
    <w:rsid w:val="008D2BEF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h3">
    <w:name w:val="lh_3"/>
    <w:basedOn w:val="Normln"/>
    <w:rsid w:val="008D2BEF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h4">
    <w:name w:val="lh_4"/>
    <w:basedOn w:val="Normln"/>
    <w:rsid w:val="008D2BEF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5C6DCD"/>
    <w:pPr>
      <w:spacing w:after="0" w:line="240" w:lineRule="auto"/>
    </w:pPr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DE72B0"/>
    <w:pPr>
      <w:spacing w:after="0" w:line="36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E72B0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20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2D2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20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2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2023-08-17T08:07:00Z</dcterms:created>
  <dcterms:modified xsi:type="dcterms:W3CDTF">2023-09-18T14:50:00Z</dcterms:modified>
</cp:coreProperties>
</file>