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pBdr>
          <w:bottom w:val="single" w:sz="4" w:space="0" w:color="auto"/>
        </w:pBdr>
        <w:shd w:val="clear" w:color="auto" w:fill="auto"/>
        <w:bidi w:val="0"/>
        <w:spacing w:before="0" w:line="240" w:lineRule="auto"/>
        <w:ind w:right="0" w:firstLine="0"/>
        <w:jc w:val="left"/>
      </w:pPr>
      <w:bookmarkStart w:id="0" w:name="bookmark0"/>
      <w:bookmarkStart w:id="1" w:name="bookmark1"/>
      <w:r>
        <w:rPr>
          <w:color w:val="66235A"/>
          <w:spacing w:val="0"/>
          <w:w w:val="100"/>
          <w:position w:val="0"/>
          <w:shd w:val="clear" w:color="auto" w:fill="auto"/>
          <w:lang w:val="cs-CZ" w:eastAsia="cs-CZ" w:bidi="cs-CZ"/>
        </w:rPr>
        <w:t xml:space="preserve">S </w:t>
      </w:r>
      <w:r>
        <w:rPr>
          <w:spacing w:val="0"/>
          <w:w w:val="100"/>
          <w:position w:val="0"/>
          <w:shd w:val="clear" w:color="auto" w:fill="auto"/>
          <w:lang w:val="cs-CZ" w:eastAsia="cs-CZ" w:bidi="cs-CZ"/>
        </w:rPr>
        <w:t>sfdi</w:t>
      </w:r>
      <w:bookmarkEnd w:id="0"/>
      <w:bookmarkEnd w:id="1"/>
    </w:p>
    <w:p>
      <w:pPr>
        <w:pStyle w:val="Style12"/>
        <w:keepNext/>
        <w:keepLines/>
        <w:widowControl w:val="0"/>
        <w:shd w:val="clear" w:color="auto" w:fill="auto"/>
        <w:bidi w:val="0"/>
        <w:spacing w:before="0" w:after="220" w:line="240" w:lineRule="auto"/>
        <w:ind w:left="0" w:right="0" w:firstLine="0"/>
        <w:jc w:val="center"/>
      </w:pPr>
      <w:bookmarkStart w:id="2" w:name="bookmark2"/>
      <w:bookmarkStart w:id="3" w:name="bookmark3"/>
      <w:r>
        <w:rPr>
          <w:color w:val="000000"/>
          <w:spacing w:val="0"/>
          <w:w w:val="100"/>
          <w:position w:val="0"/>
          <w:sz w:val="24"/>
          <w:szCs w:val="24"/>
          <w:shd w:val="clear" w:color="auto" w:fill="auto"/>
          <w:lang w:val="cs-CZ" w:eastAsia="cs-CZ" w:bidi="cs-CZ"/>
        </w:rPr>
        <w:t>Smlouva o zajištění výkonu technického dozoru stavebníka</w:t>
      </w:r>
      <w:bookmarkEnd w:id="2"/>
      <w:bookmarkEnd w:id="3"/>
    </w:p>
    <w:p>
      <w:pPr>
        <w:pStyle w:val="Style12"/>
        <w:keepNext/>
        <w:keepLines/>
        <w:widowControl w:val="0"/>
        <w:shd w:val="clear" w:color="auto" w:fill="auto"/>
        <w:bidi w:val="0"/>
        <w:spacing w:before="0" w:after="220" w:line="240" w:lineRule="auto"/>
        <w:ind w:left="0" w:right="0" w:firstLine="0"/>
        <w:jc w:val="center"/>
      </w:pPr>
      <w:bookmarkStart w:id="4" w:name="bookmark4"/>
      <w:bookmarkStart w:id="5" w:name="bookmark5"/>
      <w:r>
        <w:rPr>
          <w:color w:val="000000"/>
          <w:spacing w:val="0"/>
          <w:w w:val="100"/>
          <w:position w:val="0"/>
          <w:sz w:val="24"/>
          <w:szCs w:val="24"/>
          <w:shd w:val="clear" w:color="auto" w:fill="auto"/>
          <w:lang w:val="cs-CZ" w:eastAsia="cs-CZ" w:bidi="cs-CZ"/>
        </w:rPr>
        <w:t>na staveništi (dopravní stavby)</w:t>
      </w:r>
      <w:bookmarkEnd w:id="4"/>
      <w:bookmarkEnd w:id="5"/>
    </w:p>
    <w:p>
      <w:pPr>
        <w:pStyle w:val="Style14"/>
        <w:keepNext w:val="0"/>
        <w:keepLines w:val="0"/>
        <w:widowControl w:val="0"/>
        <w:shd w:val="clear" w:color="auto" w:fill="auto"/>
        <w:bidi w:val="0"/>
        <w:spacing w:before="0" w:line="240" w:lineRule="auto"/>
        <w:ind w:left="0" w:right="0" w:firstLine="0"/>
        <w:jc w:val="center"/>
      </w:pPr>
      <w:r>
        <w:rPr>
          <w:color w:val="000000"/>
          <w:spacing w:val="0"/>
          <w:w w:val="100"/>
          <w:position w:val="0"/>
          <w:sz w:val="24"/>
          <w:szCs w:val="24"/>
          <w:shd w:val="clear" w:color="auto" w:fill="auto"/>
          <w:lang w:val="cs-CZ" w:eastAsia="cs-CZ" w:bidi="cs-CZ"/>
        </w:rPr>
        <w:t>na akci:</w:t>
      </w:r>
    </w:p>
    <w:p>
      <w:pPr>
        <w:pStyle w:val="Style12"/>
        <w:keepNext/>
        <w:keepLines/>
        <w:widowControl w:val="0"/>
        <w:shd w:val="clear" w:color="auto" w:fill="auto"/>
        <w:bidi w:val="0"/>
        <w:spacing w:before="0" w:after="100" w:line="240" w:lineRule="auto"/>
        <w:ind w:left="0" w:right="0" w:firstLine="0"/>
        <w:jc w:val="center"/>
      </w:pPr>
      <w:bookmarkStart w:id="6" w:name="bookmark6"/>
      <w:bookmarkStart w:id="7" w:name="bookmark7"/>
      <w:r>
        <w:rPr>
          <w:color w:val="000000"/>
          <w:spacing w:val="0"/>
          <w:w w:val="100"/>
          <w:position w:val="0"/>
          <w:sz w:val="24"/>
          <w:szCs w:val="24"/>
          <w:shd w:val="clear" w:color="auto" w:fill="auto"/>
          <w:lang w:val="cs-CZ" w:eastAsia="cs-CZ" w:bidi="cs-CZ"/>
        </w:rPr>
        <w:t>„III/36068 Šebkovice - křiž. III/36072“</w:t>
      </w:r>
      <w:bookmarkEnd w:id="6"/>
      <w:bookmarkEnd w:id="7"/>
    </w:p>
    <w:p>
      <w:pPr>
        <w:pStyle w:val="Style16"/>
        <w:keepNext w:val="0"/>
        <w:keepLines w:val="0"/>
        <w:widowControl w:val="0"/>
        <w:shd w:val="clear" w:color="auto" w:fill="auto"/>
        <w:bidi w:val="0"/>
        <w:spacing w:before="0" w:after="360" w:line="240" w:lineRule="auto"/>
        <w:ind w:left="0" w:right="0" w:firstLine="840"/>
        <w:jc w:val="left"/>
      </w:pPr>
      <w:r>
        <w:rPr>
          <w:color w:val="000000"/>
          <w:spacing w:val="0"/>
          <w:w w:val="100"/>
          <w:position w:val="0"/>
          <w:shd w:val="clear" w:color="auto" w:fill="auto"/>
          <w:lang w:val="cs-CZ" w:eastAsia="cs-CZ" w:bidi="cs-CZ"/>
        </w:rPr>
        <w:t>uzavřená podle § 1746 odst. 2 zákona č. 89/2012 Sb., občanský zákoník, v platném znění</w:t>
      </w:r>
    </w:p>
    <w:p>
      <w:pPr>
        <w:pStyle w:val="Style16"/>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cs-CZ" w:eastAsia="cs-CZ" w:bidi="cs-CZ"/>
        </w:rPr>
        <w:t>Číslo smlouvy objednatele:</w:t>
      </w:r>
    </w:p>
    <w:p>
      <w:pPr>
        <w:pStyle w:val="Style16"/>
        <w:keepNext w:val="0"/>
        <w:keepLines w:val="0"/>
        <w:widowControl w:val="0"/>
        <w:shd w:val="clear" w:color="auto" w:fill="auto"/>
        <w:bidi w:val="0"/>
        <w:spacing w:before="0" w:after="420" w:line="240" w:lineRule="auto"/>
        <w:ind w:left="0" w:right="0" w:firstLine="0"/>
        <w:jc w:val="left"/>
      </w:pPr>
      <w:r>
        <w:rPr>
          <w:i/>
          <w:iCs/>
          <w:color w:val="000000"/>
          <w:spacing w:val="0"/>
          <w:w w:val="100"/>
          <w:position w:val="0"/>
          <w:shd w:val="clear" w:color="auto" w:fill="auto"/>
          <w:lang w:val="cs-CZ" w:eastAsia="cs-CZ" w:bidi="cs-CZ"/>
        </w:rPr>
        <w:t>Číslo smlouvy dodavatele:</w:t>
      </w:r>
    </w:p>
    <w:tbl>
      <w:tblPr>
        <w:tblOverlap w:val="never"/>
        <w:jc w:val="center"/>
        <w:tblLayout w:type="fixed"/>
      </w:tblPr>
      <w:tblGrid>
        <w:gridCol w:w="1882"/>
        <w:gridCol w:w="7901"/>
      </w:tblGrid>
      <w:tr>
        <w:trPr>
          <w:trHeight w:val="562" w:hRule="exact"/>
        </w:trPr>
        <w:tc>
          <w:tcPr>
            <w:tcBorders/>
            <w:shd w:val="clear" w:color="auto" w:fill="FFFFFF"/>
            <w:vAlign w:val="top"/>
          </w:tcPr>
          <w:p>
            <w:pPr>
              <w:widowControl w:val="0"/>
              <w:rPr>
                <w:sz w:val="10"/>
                <w:szCs w:val="10"/>
              </w:rPr>
            </w:pP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2580" w:right="0" w:firstLine="0"/>
              <w:jc w:val="left"/>
            </w:pPr>
            <w:r>
              <w:rPr>
                <w:b/>
                <w:bCs/>
                <w:color w:val="000000"/>
                <w:spacing w:val="0"/>
                <w:w w:val="100"/>
                <w:position w:val="0"/>
                <w:shd w:val="clear" w:color="auto" w:fill="auto"/>
                <w:lang w:val="cs-CZ" w:eastAsia="cs-CZ" w:bidi="cs-CZ"/>
              </w:rPr>
              <w:t>Článek 1</w:t>
            </w:r>
          </w:p>
          <w:p>
            <w:pPr>
              <w:pStyle w:val="Style21"/>
              <w:keepNext w:val="0"/>
              <w:keepLines w:val="0"/>
              <w:widowControl w:val="0"/>
              <w:shd w:val="clear" w:color="auto" w:fill="auto"/>
              <w:bidi w:val="0"/>
              <w:spacing w:before="0" w:after="0" w:line="240" w:lineRule="auto"/>
              <w:ind w:left="2260" w:right="0" w:firstLine="0"/>
              <w:jc w:val="left"/>
            </w:pPr>
            <w:r>
              <w:rPr>
                <w:b/>
                <w:bCs/>
                <w:color w:val="000000"/>
                <w:spacing w:val="0"/>
                <w:w w:val="100"/>
                <w:position w:val="0"/>
                <w:shd w:val="clear" w:color="auto" w:fill="auto"/>
                <w:lang w:val="cs-CZ" w:eastAsia="cs-CZ" w:bidi="cs-CZ"/>
              </w:rPr>
              <w:t>Smluvní strany</w:t>
            </w:r>
          </w:p>
        </w:tc>
      </w:tr>
      <w:tr>
        <w:trPr>
          <w:trHeight w:val="322"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Krajská správa a údržba silnic Vysočiny, příspěvková organizace</w:t>
            </w:r>
          </w:p>
        </w:tc>
      </w:tr>
      <w:tr>
        <w:trPr>
          <w:trHeight w:val="274"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Kosovská 1122/16, 586 01 Jihlava</w:t>
            </w:r>
          </w:p>
        </w:tc>
      </w:tr>
      <w:tr>
        <w:trPr>
          <w:trHeight w:val="283"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Radovanem Necidem, ředitelem organizace</w:t>
            </w:r>
          </w:p>
        </w:tc>
      </w:tr>
    </w:tbl>
    <w:p>
      <w:pPr>
        <w:pStyle w:val="Style19"/>
        <w:keepNext w:val="0"/>
        <w:keepLines w:val="0"/>
        <w:widowControl w:val="0"/>
        <w:shd w:val="clear" w:color="auto" w:fill="auto"/>
        <w:bidi w:val="0"/>
        <w:spacing w:before="0" w:after="0" w:line="300" w:lineRule="auto"/>
        <w:ind w:left="0" w:right="0" w:firstLine="0"/>
        <w:jc w:val="left"/>
      </w:pPr>
      <w:r>
        <w:rPr>
          <w:color w:val="000000"/>
          <w:spacing w:val="0"/>
          <w:w w:val="100"/>
          <w:position w:val="0"/>
          <w:shd w:val="clear" w:color="auto" w:fill="auto"/>
          <w:lang w:val="cs-CZ" w:eastAsia="cs-CZ" w:bidi="cs-CZ"/>
        </w:rPr>
        <w:t>Osoba pověřená jednat jménem objednatele ve věcech smluvních:</w:t>
      </w:r>
    </w:p>
    <w:tbl>
      <w:tblPr>
        <w:tblOverlap w:val="never"/>
        <w:jc w:val="center"/>
        <w:tblLayout w:type="fixed"/>
      </w:tblPr>
      <w:tblGrid>
        <w:gridCol w:w="1882"/>
        <w:gridCol w:w="7901"/>
      </w:tblGrid>
      <w:tr>
        <w:trPr>
          <w:trHeight w:val="322"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00090450</w:t>
            </w:r>
          </w:p>
        </w:tc>
      </w:tr>
      <w:tr>
        <w:trPr>
          <w:trHeight w:val="288"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CZ00090450</w:t>
            </w:r>
          </w:p>
        </w:tc>
      </w:tr>
      <w:tr>
        <w:trPr>
          <w:trHeight w:val="317"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567 117 158</w:t>
            </w:r>
          </w:p>
        </w:tc>
      </w:tr>
    </w:tbl>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82"/>
        <w:gridCol w:w="7901"/>
      </w:tblGrid>
      <w:tr>
        <w:trPr>
          <w:trHeight w:val="312"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Zřizovatel: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Kraj Vysočina</w:t>
            </w:r>
          </w:p>
        </w:tc>
      </w:tr>
    </w:tbl>
    <w:p>
      <w:pPr>
        <w:pStyle w:val="Style19"/>
        <w:keepNext w:val="0"/>
        <w:keepLines w:val="0"/>
        <w:widowControl w:val="0"/>
        <w:shd w:val="clear" w:color="auto" w:fill="auto"/>
        <w:bidi w:val="0"/>
        <w:spacing w:before="0" w:after="0" w:line="602" w:lineRule="auto"/>
        <w:ind w:left="0" w:right="0" w:firstLine="0"/>
        <w:jc w:val="left"/>
      </w:pPr>
      <w:r>
        <w:rPr>
          <w:color w:val="000000"/>
          <w:spacing w:val="0"/>
          <w:w w:val="100"/>
          <w:position w:val="0"/>
          <w:shd w:val="clear" w:color="auto" w:fill="auto"/>
          <w:lang w:val="cs-CZ" w:eastAsia="cs-CZ" w:bidi="cs-CZ"/>
        </w:rPr>
        <w:t>(dále jen „</w:t>
      </w:r>
      <w:r>
        <w:rPr>
          <w:b/>
          <w:bCs/>
          <w:i/>
          <w:iCs/>
          <w:color w:val="000000"/>
          <w:spacing w:val="0"/>
          <w:w w:val="100"/>
          <w:position w:val="0"/>
          <w:shd w:val="clear" w:color="auto" w:fill="auto"/>
          <w:lang w:val="cs-CZ" w:eastAsia="cs-CZ" w:bidi="cs-CZ"/>
        </w:rPr>
        <w:t>Objednatel</w:t>
      </w:r>
      <w:r>
        <w:rPr>
          <w:b/>
          <w:bCs/>
          <w:color w:val="000000"/>
          <w:spacing w:val="0"/>
          <w:w w:val="100"/>
          <w:position w:val="0"/>
          <w:shd w:val="clear" w:color="auto" w:fill="auto"/>
          <w:lang w:val="cs-CZ" w:eastAsia="cs-CZ" w:bidi="cs-CZ"/>
        </w:rPr>
        <w:t>“</w:t>
      </w:r>
      <w:r>
        <w:rPr>
          <w:color w:val="000000"/>
          <w:spacing w:val="0"/>
          <w:w w:val="100"/>
          <w:position w:val="0"/>
          <w:shd w:val="clear" w:color="auto" w:fill="auto"/>
          <w:lang w:val="cs-CZ" w:eastAsia="cs-CZ" w:bidi="cs-CZ"/>
        </w:rPr>
        <w:t xml:space="preserve">) </w:t>
      </w:r>
      <w:r>
        <w:rPr>
          <w:b/>
          <w:bCs/>
          <w:color w:val="000000"/>
          <w:spacing w:val="0"/>
          <w:w w:val="100"/>
          <w:position w:val="0"/>
          <w:shd w:val="clear" w:color="auto" w:fill="auto"/>
          <w:lang w:val="cs-CZ" w:eastAsia="cs-CZ" w:bidi="cs-CZ"/>
        </w:rPr>
        <w:t>a</w:t>
      </w:r>
    </w:p>
    <w:p>
      <w:pPr>
        <w:widowControl w:val="0"/>
        <w:spacing w:after="99" w:line="1" w:lineRule="exact"/>
      </w:pPr>
    </w:p>
    <w:tbl>
      <w:tblPr>
        <w:tblOverlap w:val="never"/>
        <w:jc w:val="center"/>
        <w:tblLayout w:type="fixed"/>
      </w:tblPr>
      <w:tblGrid>
        <w:gridCol w:w="1882"/>
        <w:gridCol w:w="7901"/>
      </w:tblGrid>
      <w:tr>
        <w:trPr>
          <w:trHeight w:val="259"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Vysplan s.r.o.</w:t>
            </w:r>
          </w:p>
        </w:tc>
      </w:tr>
      <w:tr>
        <w:trPr>
          <w:trHeight w:val="278"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8. března 4812/2a, 586 01 Jihlava</w:t>
            </w:r>
          </w:p>
        </w:tc>
      </w:tr>
      <w:tr>
        <w:trPr>
          <w:trHeight w:val="283"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zastoupený:</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b/>
                <w:bCs/>
                <w:color w:val="000000"/>
                <w:spacing w:val="0"/>
                <w:w w:val="100"/>
                <w:position w:val="0"/>
                <w:shd w:val="clear" w:color="auto" w:fill="auto"/>
                <w:lang w:val="cs-CZ" w:eastAsia="cs-CZ" w:bidi="cs-CZ"/>
              </w:rPr>
              <w:t>Ing. Radimem Kytnarem, prokuristou</w:t>
            </w:r>
          </w:p>
        </w:tc>
      </w:tr>
    </w:tbl>
    <w:p>
      <w:pPr>
        <w:pStyle w:val="Style1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zapsán v obchodním rejstříku vedeném Krajským soudem v Brně, oddíl C, vložka 54050</w:t>
      </w:r>
    </w:p>
    <w:p>
      <w:pPr>
        <w:pStyle w:val="Style1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Osoba pověřená jednat jménem dodavatele ve věcech</w:t>
      </w:r>
    </w:p>
    <w:p>
      <w:pPr>
        <w:pStyle w:val="Style1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smluvních:</w:t>
      </w:r>
    </w:p>
    <w:tbl>
      <w:tblPr>
        <w:tblOverlap w:val="never"/>
        <w:jc w:val="center"/>
        <w:tblLayout w:type="fixed"/>
      </w:tblPr>
      <w:tblGrid>
        <w:gridCol w:w="1882"/>
        <w:gridCol w:w="7901"/>
      </w:tblGrid>
      <w:tr>
        <w:trPr>
          <w:trHeight w:val="322"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27717089</w:t>
            </w:r>
          </w:p>
        </w:tc>
      </w:tr>
      <w:tr>
        <w:trPr>
          <w:trHeight w:val="317" w:hRule="exact"/>
        </w:trPr>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240"/>
              <w:jc w:val="left"/>
            </w:pPr>
            <w:r>
              <w:rPr>
                <w:color w:val="000000"/>
                <w:spacing w:val="0"/>
                <w:w w:val="100"/>
                <w:position w:val="0"/>
                <w:shd w:val="clear" w:color="auto" w:fill="auto"/>
                <w:lang w:val="cs-CZ" w:eastAsia="cs-CZ" w:bidi="cs-CZ"/>
              </w:rPr>
              <w:t>CZ27717089</w:t>
            </w:r>
          </w:p>
        </w:tc>
      </w:tr>
    </w:tbl>
    <w:p>
      <w:pPr>
        <w:pStyle w:val="Style19"/>
        <w:keepNext w:val="0"/>
        <w:keepLines w:val="0"/>
        <w:widowControl w:val="0"/>
        <w:shd w:val="clear" w:color="auto" w:fill="auto"/>
        <w:bidi w:val="0"/>
        <w:spacing w:before="0" w:after="60" w:line="240" w:lineRule="auto"/>
        <w:ind w:left="0" w:right="0" w:firstLine="0"/>
        <w:jc w:val="left"/>
      </w:pPr>
      <w:r>
        <w:rPr>
          <w:color w:val="000000"/>
          <w:spacing w:val="0"/>
          <w:w w:val="100"/>
          <w:position w:val="0"/>
          <w:shd w:val="clear" w:color="auto" w:fill="auto"/>
          <w:lang w:val="cs-CZ" w:eastAsia="cs-CZ" w:bidi="cs-CZ"/>
        </w:rPr>
        <w:t xml:space="preserve">(dále jen </w:t>
      </w:r>
      <w:r>
        <w:rPr>
          <w:b/>
          <w:bCs/>
          <w:i/>
          <w:iCs/>
          <w:color w:val="000000"/>
          <w:spacing w:val="0"/>
          <w:w w:val="100"/>
          <w:position w:val="0"/>
          <w:shd w:val="clear" w:color="auto" w:fill="auto"/>
          <w:lang w:val="cs-CZ" w:eastAsia="cs-CZ" w:bidi="cs-CZ"/>
        </w:rPr>
        <w:t>„TDS“)</w:t>
      </w:r>
    </w:p>
    <w:p>
      <w:pPr>
        <w:pStyle w:val="Style1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(společně také jako </w:t>
      </w:r>
      <w:r>
        <w:rPr>
          <w:b/>
          <w:bCs/>
          <w:color w:val="000000"/>
          <w:spacing w:val="0"/>
          <w:w w:val="100"/>
          <w:position w:val="0"/>
          <w:shd w:val="clear" w:color="auto" w:fill="auto"/>
          <w:lang w:val="cs-CZ" w:eastAsia="cs-CZ" w:bidi="cs-CZ"/>
        </w:rPr>
        <w:t xml:space="preserve">„Smluvní strany“ </w:t>
      </w:r>
      <w:r>
        <w:rPr>
          <w:color w:val="000000"/>
          <w:spacing w:val="0"/>
          <w:w w:val="100"/>
          <w:position w:val="0"/>
          <w:shd w:val="clear" w:color="auto" w:fill="auto"/>
          <w:lang w:val="cs-CZ" w:eastAsia="cs-CZ" w:bidi="cs-CZ"/>
        </w:rPr>
        <w:t xml:space="preserve">nebo jednotlivě </w:t>
      </w:r>
      <w:r>
        <w:rPr>
          <w:b/>
          <w:bCs/>
          <w:color w:val="000000"/>
          <w:spacing w:val="0"/>
          <w:w w:val="100"/>
          <w:position w:val="0"/>
          <w:shd w:val="clear" w:color="auto" w:fill="auto"/>
          <w:lang w:val="cs-CZ" w:eastAsia="cs-CZ" w:bidi="cs-CZ"/>
        </w:rPr>
        <w:t>„Smluvní strana“</w:t>
      </w:r>
      <w:r>
        <w:rPr>
          <w:color w:val="000000"/>
          <w:spacing w:val="0"/>
          <w:w w:val="100"/>
          <w:position w:val="0"/>
          <w:shd w:val="clear" w:color="auto" w:fill="auto"/>
          <w:lang w:val="cs-CZ" w:eastAsia="cs-CZ" w:bidi="cs-CZ"/>
        </w:rPr>
        <w:t>)</w:t>
      </w:r>
    </w:p>
    <w:p>
      <w:pPr>
        <w:widowControl w:val="0"/>
        <w:spacing w:after="499" w:line="1" w:lineRule="exact"/>
      </w:pPr>
    </w:p>
    <w:p>
      <w:pPr>
        <w:pStyle w:val="Style16"/>
        <w:keepNext w:val="0"/>
        <w:keepLines w:val="0"/>
        <w:widowControl w:val="0"/>
        <w:shd w:val="clear" w:color="auto" w:fill="auto"/>
        <w:bidi w:val="0"/>
        <w:spacing w:before="0" w:after="160" w:line="240" w:lineRule="auto"/>
        <w:ind w:left="0" w:right="0" w:firstLine="0"/>
        <w:jc w:val="left"/>
        <w:sectPr>
          <w:headerReference w:type="default" r:id="rId5"/>
          <w:footerReference w:type="default" r:id="rId6"/>
          <w:headerReference w:type="even" r:id="rId7"/>
          <w:footerReference w:type="even" r:id="rId8"/>
          <w:footnotePr>
            <w:pos w:val="pageBottom"/>
            <w:numFmt w:val="decimal"/>
            <w:numRestart w:val="continuous"/>
          </w:footnotePr>
          <w:pgSz w:w="12240" w:h="15840"/>
          <w:pgMar w:top="791" w:left="1157" w:right="1291" w:bottom="917" w:header="0" w:footer="3" w:gutter="0"/>
          <w:pgNumType w:start="1"/>
          <w:cols w:space="720"/>
          <w:noEndnote/>
          <w:rtlGutter w:val="0"/>
          <w:docGrid w:linePitch="360"/>
        </w:sectPr>
      </w:pPr>
      <w:r>
        <w:rPr>
          <w:color w:val="000000"/>
          <w:spacing w:val="0"/>
          <w:w w:val="100"/>
          <w:position w:val="0"/>
          <w:shd w:val="clear" w:color="auto" w:fill="auto"/>
          <w:lang w:val="cs-CZ" w:eastAsia="cs-CZ" w:bidi="cs-CZ"/>
        </w:rPr>
        <w:t xml:space="preserve">uzavírají níže uvedeného dne, měsíce a roku tuto </w:t>
      </w:r>
      <w:r>
        <w:rPr>
          <w:b/>
          <w:bCs/>
          <w:color w:val="000000"/>
          <w:spacing w:val="0"/>
          <w:w w:val="100"/>
          <w:position w:val="0"/>
          <w:shd w:val="clear" w:color="auto" w:fill="auto"/>
          <w:lang w:val="cs-CZ" w:eastAsia="cs-CZ" w:bidi="cs-CZ"/>
        </w:rPr>
        <w:t xml:space="preserve">smlouvu, </w:t>
      </w:r>
      <w:r>
        <w:rPr>
          <w:color w:val="000000"/>
          <w:spacing w:val="0"/>
          <w:w w:val="100"/>
          <w:position w:val="0"/>
          <w:shd w:val="clear" w:color="auto" w:fill="auto"/>
          <w:lang w:val="cs-CZ" w:eastAsia="cs-CZ" w:bidi="cs-CZ"/>
        </w:rPr>
        <w:t>s tím, že TDS je oprávněn provádět činnosti technického dozoru stavebníka dle zákona č. 360/1992 Sb., o výkonu povolání autorizovaných architektů a výkonu povolání autorizovaných inženýrů a techniků činných ve výstavbě, ve znění pozdějších předpisů a rovněž v souladu s vymezeným předmětem této smlouvy. Objednatel se zavazuje k jejich převzetí a k zaplacení</w:t>
      </w:r>
    </w:p>
    <w:p>
      <w:pPr>
        <w:pStyle w:val="Style16"/>
        <w:keepNext w:val="0"/>
        <w:keepLines w:val="0"/>
        <w:widowControl w:val="0"/>
        <w:shd w:val="clear" w:color="auto" w:fill="auto"/>
        <w:bidi w:val="0"/>
        <w:spacing w:before="0" w:after="440" w:line="240" w:lineRule="auto"/>
        <w:ind w:left="0" w:right="0" w:firstLine="0"/>
        <w:jc w:val="both"/>
      </w:pPr>
      <w:r>
        <w:rPr>
          <w:color w:val="000000"/>
          <w:spacing w:val="0"/>
          <w:w w:val="100"/>
          <w:position w:val="0"/>
          <w:shd w:val="clear" w:color="auto" w:fill="auto"/>
          <w:lang w:val="cs-CZ" w:eastAsia="cs-CZ" w:bidi="cs-CZ"/>
        </w:rPr>
        <w:t>sjednané odměny za jejich provedení a obě strany se zavazují plnit podmínky obsažené v následujících ustanoveních této smlouvy.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2</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Předmět smlouvy</w:t>
      </w:r>
    </w:p>
    <w:p>
      <w:pPr>
        <w:pStyle w:val="Style1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TDS se zavazuje pro objednatele vykonávat činnost technického dozoru stavebníka spočívající v zajištění kontroly (shody) a dohledu nad plněním smluvních závazků zhotovitele stavby, se zvláštním důrazem na kvalitu a způsob provádění prací specifikovaných ve smlouvě o dílo a návazně i ve smyslu obchodních podmínek objednatele jako zadavatele veřejné zakázky (dále jen OP)</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na akci: </w:t>
      </w:r>
      <w:r>
        <w:rPr>
          <w:b/>
          <w:bCs/>
          <w:color w:val="000000"/>
          <w:spacing w:val="0"/>
          <w:w w:val="100"/>
          <w:position w:val="0"/>
          <w:shd w:val="clear" w:color="auto" w:fill="auto"/>
          <w:lang w:val="cs-CZ" w:eastAsia="cs-CZ" w:bidi="cs-CZ"/>
        </w:rPr>
        <w:t>„111/36068 Šebkovice - křiž. III/36072“,</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 xml:space="preserve">to vše v souladu s nabídkou dodavatele podanou v rámci výběrového řízení ze dne </w:t>
      </w:r>
      <w:r>
        <w:rPr>
          <w:b/>
          <w:bCs/>
          <w:color w:val="000000"/>
          <w:spacing w:val="0"/>
          <w:w w:val="100"/>
          <w:position w:val="0"/>
          <w:shd w:val="clear" w:color="auto" w:fill="auto"/>
          <w:lang w:val="cs-CZ" w:eastAsia="cs-CZ" w:bidi="cs-CZ"/>
        </w:rPr>
        <w:t xml:space="preserve">7.9.2023 </w:t>
      </w:r>
      <w:r>
        <w:rPr>
          <w:color w:val="000000"/>
          <w:spacing w:val="0"/>
          <w:w w:val="100"/>
          <w:position w:val="0"/>
          <w:shd w:val="clear" w:color="auto" w:fill="auto"/>
          <w:lang w:val="cs-CZ" w:eastAsia="cs-CZ" w:bidi="cs-CZ"/>
        </w:rPr>
        <w:t xml:space="preserve">a v podrobnostech a za dodržení podmínek uvedených v </w:t>
      </w:r>
      <w:r>
        <w:rPr>
          <w:b/>
          <w:bCs/>
          <w:color w:val="000000"/>
          <w:spacing w:val="0"/>
          <w:w w:val="100"/>
          <w:position w:val="0"/>
          <w:shd w:val="clear" w:color="auto" w:fill="auto"/>
          <w:lang w:val="cs-CZ" w:eastAsia="cs-CZ" w:bidi="cs-CZ"/>
        </w:rPr>
        <w:t xml:space="preserve">přílohách </w:t>
      </w:r>
      <w:r>
        <w:rPr>
          <w:color w:val="000000"/>
          <w:spacing w:val="0"/>
          <w:w w:val="100"/>
          <w:position w:val="0"/>
          <w:shd w:val="clear" w:color="auto" w:fill="auto"/>
          <w:lang w:val="cs-CZ" w:eastAsia="cs-CZ" w:bidi="cs-CZ"/>
        </w:rPr>
        <w:t>této smlouvy.</w:t>
      </w:r>
    </w:p>
    <w:p>
      <w:pPr>
        <w:pStyle w:val="Style16"/>
        <w:keepNext w:val="0"/>
        <w:keepLines w:val="0"/>
        <w:widowControl w:val="0"/>
        <w:numPr>
          <w:ilvl w:val="0"/>
          <w:numId w:val="1"/>
        </w:numPr>
        <w:shd w:val="clear" w:color="auto" w:fill="auto"/>
        <w:tabs>
          <w:tab w:pos="710" w:val="left"/>
        </w:tabs>
        <w:bidi w:val="0"/>
        <w:spacing w:before="0" w:line="240" w:lineRule="auto"/>
        <w:ind w:left="0" w:right="0" w:firstLine="0"/>
        <w:jc w:val="both"/>
      </w:pPr>
      <w:r>
        <w:rPr>
          <w:color w:val="000000"/>
          <w:spacing w:val="0"/>
          <w:w w:val="100"/>
          <w:position w:val="0"/>
          <w:shd w:val="clear" w:color="auto" w:fill="auto"/>
          <w:lang w:val="cs-CZ" w:eastAsia="cs-CZ" w:bidi="cs-CZ"/>
        </w:rPr>
        <w:t>TDS prohlašuje, že splňuje požadavky na odbornou způsobilost pro výkon technického dozoru stavebníka na staveništi</w:t>
      </w:r>
    </w:p>
    <w:p>
      <w:pPr>
        <w:pStyle w:val="Style16"/>
        <w:keepNext w:val="0"/>
        <w:keepLines w:val="0"/>
        <w:widowControl w:val="0"/>
        <w:numPr>
          <w:ilvl w:val="0"/>
          <w:numId w:val="1"/>
        </w:numPr>
        <w:shd w:val="clear" w:color="auto" w:fill="auto"/>
        <w:tabs>
          <w:tab w:pos="710" w:val="left"/>
        </w:tabs>
        <w:bidi w:val="0"/>
        <w:spacing w:before="0" w:after="440" w:line="240" w:lineRule="auto"/>
        <w:ind w:left="0" w:right="0" w:firstLine="0"/>
        <w:jc w:val="both"/>
      </w:pPr>
      <w:r>
        <w:rPr>
          <w:color w:val="000000"/>
          <w:spacing w:val="0"/>
          <w:w w:val="100"/>
          <w:position w:val="0"/>
          <w:shd w:val="clear" w:color="auto" w:fill="auto"/>
          <w:lang w:val="cs-CZ" w:eastAsia="cs-CZ" w:bidi="cs-CZ"/>
        </w:rPr>
        <w:t>TDS se podrobně seznámil s předmětem smlouvy, jsou mu známy všechny okolnosti potřebné pro zajištění výkonu technického dozoru stavebníka v požadovaném rozsahu a zabezpečí ho na svoji odpovědnost.</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3</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Rozsah a obsah předmětu plnění</w:t>
      </w:r>
    </w:p>
    <w:p>
      <w:pPr>
        <w:pStyle w:val="Style16"/>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Předmětem plnění jsou veškeré práce a činnosti v členění dle níže uvedených fází stavby.</w:t>
      </w:r>
    </w:p>
    <w:p>
      <w:pPr>
        <w:pStyle w:val="Style16"/>
        <w:keepNext w:val="0"/>
        <w:keepLines w:val="0"/>
        <w:widowControl w:val="0"/>
        <w:numPr>
          <w:ilvl w:val="1"/>
          <w:numId w:val="1"/>
        </w:numPr>
        <w:shd w:val="clear" w:color="auto" w:fill="auto"/>
        <w:tabs>
          <w:tab w:pos="710" w:val="left"/>
        </w:tabs>
        <w:bidi w:val="0"/>
        <w:spacing w:before="0" w:line="240" w:lineRule="auto"/>
        <w:ind w:left="0" w:right="0" w:firstLine="0"/>
        <w:jc w:val="both"/>
      </w:pPr>
      <w:r>
        <w:rPr>
          <w:b/>
          <w:bCs/>
          <w:color w:val="000000"/>
          <w:spacing w:val="0"/>
          <w:w w:val="100"/>
          <w:position w:val="0"/>
          <w:shd w:val="clear" w:color="auto" w:fill="auto"/>
          <w:lang w:val="cs-CZ" w:eastAsia="cs-CZ" w:bidi="cs-CZ"/>
        </w:rPr>
        <w:t>Přípravné činnosti před zahájením stavby spočívající zejména v činnostech:</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seznámení se s problematikou stavby včetně znalosti projektové dokumentace dle DSP a PDPS a soupisu prací</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získání podrobné znalosti obsahu Smlouvy o dílo včetně jejích příloh, rozpočtu a OP</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prostudování stanovisek a rozhodnutí příslušných veřejnoprávních orgánů vztahujících se ke stavbě, např. podmínky stavebních a jiných povolení (příp. souhlasy stavebního úřadu, vodohospodářská povolení, aj.) a další podmínky a příslušné doklady vztahující se k realizaci stavby</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prohlídka staveniště před zahájením vlastních stavebních prací</w:t>
      </w:r>
    </w:p>
    <w:p>
      <w:pPr>
        <w:pStyle w:val="Style16"/>
        <w:keepNext w:val="0"/>
        <w:keepLines w:val="0"/>
        <w:widowControl w:val="0"/>
        <w:shd w:val="clear" w:color="auto" w:fill="auto"/>
        <w:bidi w:val="0"/>
        <w:spacing w:before="0" w:after="240" w:line="240" w:lineRule="auto"/>
        <w:ind w:left="1140" w:right="0" w:firstLine="0"/>
        <w:jc w:val="both"/>
      </w:pPr>
      <w:r>
        <w:rPr>
          <w:color w:val="000000"/>
          <w:spacing w:val="0"/>
          <w:w w:val="100"/>
          <w:position w:val="0"/>
          <w:shd w:val="clear" w:color="auto" w:fill="auto"/>
          <w:lang w:val="cs-CZ" w:eastAsia="cs-CZ" w:bidi="cs-CZ"/>
        </w:rPr>
        <w:t>zabezpečení a organizace protokolárního předání staveniště zhotoviteli včetně zápisu o předání a převzetí staveniště včetně předání dokladů a převzetí harmonogramu a technologických postupů stavebníka</w:t>
      </w:r>
    </w:p>
    <w:p>
      <w:pPr>
        <w:pStyle w:val="Style16"/>
        <w:keepNext w:val="0"/>
        <w:keepLines w:val="0"/>
        <w:widowControl w:val="0"/>
        <w:shd w:val="clear" w:color="auto" w:fill="auto"/>
        <w:bidi w:val="0"/>
        <w:spacing w:before="0" w:line="240" w:lineRule="auto"/>
        <w:ind w:left="0" w:right="0" w:firstLine="0"/>
        <w:jc w:val="left"/>
      </w:pPr>
      <w:r>
        <mc:AlternateContent>
          <mc:Choice Requires="wps">
            <w:drawing>
              <wp:anchor distT="0" distB="0" distL="114300" distR="114300" simplePos="0" relativeHeight="125829378" behindDoc="0" locked="0" layoutInCell="1" allowOverlap="1">
                <wp:simplePos x="0" y="0"/>
                <wp:positionH relativeFrom="page">
                  <wp:posOffset>735330</wp:posOffset>
                </wp:positionH>
                <wp:positionV relativeFrom="paragraph">
                  <wp:posOffset>12700</wp:posOffset>
                </wp:positionV>
                <wp:extent cx="252730" cy="170815"/>
                <wp:wrapSquare wrapText="right"/>
                <wp:docPr id="19" name="Shape 19"/>
                <a:graphic xmlns:a="http://schemas.openxmlformats.org/drawingml/2006/main">
                  <a:graphicData uri="http://schemas.microsoft.com/office/word/2010/wordprocessingShape">
                    <wps:wsp>
                      <wps:cNvSpPr txBox="1"/>
                      <wps:spPr>
                        <a:xfrm>
                          <a:ext cx="252730"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wps:txbx>
                      <wps:bodyPr wrap="none" lIns="0" tIns="0" rIns="0" bIns="0">
                        <a:noAutoFit/>
                      </wps:bodyPr>
                    </wps:wsp>
                  </a:graphicData>
                </a:graphic>
              </wp:anchor>
            </w:drawing>
          </mc:Choice>
          <mc:Fallback>
            <w:pict>
              <v:shape id="_x0000_s1045" type="#_x0000_t202" style="position:absolute;margin-left:57.899999999999999pt;margin-top:1.pt;width:19.899999999999999pt;height:13.449999999999999pt;z-index:-125829375;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3.2.</w:t>
                      </w:r>
                    </w:p>
                  </w:txbxContent>
                </v:textbox>
                <w10:wrap type="square" side="right" anchorx="page"/>
              </v:shape>
            </w:pict>
          </mc:Fallback>
        </mc:AlternateContent>
      </w:r>
      <w:r>
        <w:rPr>
          <w:b/>
          <w:bCs/>
          <w:color w:val="000000"/>
          <w:spacing w:val="0"/>
          <w:w w:val="100"/>
          <w:position w:val="0"/>
          <w:shd w:val="clear" w:color="auto" w:fill="auto"/>
          <w:lang w:val="cs-CZ" w:eastAsia="cs-CZ" w:bidi="cs-CZ"/>
        </w:rPr>
        <w:t>Práce spojené s prováděním stavby spočívající zejména v činnostech:</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fyzická přítomnost a výkon technického dozoru stavebníka na staveništi a to </w:t>
      </w:r>
      <w:r>
        <w:rPr>
          <w:b/>
          <w:bCs/>
          <w:color w:val="000000"/>
          <w:spacing w:val="0"/>
          <w:w w:val="100"/>
          <w:position w:val="0"/>
          <w:shd w:val="clear" w:color="auto" w:fill="auto"/>
          <w:lang w:val="cs-CZ" w:eastAsia="cs-CZ" w:bidi="cs-CZ"/>
        </w:rPr>
        <w:t>minimálně ve 2 dnech v průběhu kalendářního týdne</w:t>
      </w:r>
      <w:r>
        <w:rPr>
          <w:color w:val="000000"/>
          <w:spacing w:val="0"/>
          <w:w w:val="100"/>
          <w:position w:val="0"/>
          <w:shd w:val="clear" w:color="auto" w:fill="auto"/>
          <w:lang w:val="cs-CZ" w:eastAsia="cs-CZ" w:bidi="cs-CZ"/>
        </w:rPr>
        <w:t>, pokud nebude se zadavatelem dohodnuto jinak</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nepřetržitá fyzická přítomnost a výkon technického dozoru stavebníka na staveništi po dobu pokládky asfaltových vrstev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soustavná kontrola dodržování podmínek smlouvy o dílo uzavřené mezi stavebníkem a zhotovitelem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zajištění systematického doplňování dokumentace, podle které se stavba realizuje a kontroly, zda zhotovitel průběžně zpracovává dokumentaci skutečného provedení stavby </w:t>
      </w:r>
      <w:r>
        <w:rPr>
          <w:color w:val="000000"/>
          <w:spacing w:val="0"/>
          <w:w w:val="100"/>
          <w:position w:val="0"/>
          <w:shd w:val="clear" w:color="auto" w:fill="auto"/>
          <w:lang w:val="cs-CZ" w:eastAsia="cs-CZ" w:bidi="cs-CZ"/>
        </w:rPr>
        <w:t>projednání dodatků a změn projektu, které nezvyšují náklady, neprodlužují lhůtu výstavby a nezhoršují parametry stavby. Ostatní dodatky a změny budou předkládány s vlastním vyjádřením zadavateli k projednání a následně k uzavření dodatku smlouvy o dílo</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 xml:space="preserve">svolávání a organizace pravidelných kontrolních dnů v četnosti podle požadavku zadavatele včetně zápisu z kontrolního dne stavby včetně </w:t>
      </w:r>
      <w:r>
        <w:rPr>
          <w:b/>
          <w:bCs/>
          <w:color w:val="000000"/>
          <w:spacing w:val="0"/>
          <w:w w:val="100"/>
          <w:position w:val="0"/>
          <w:shd w:val="clear" w:color="auto" w:fill="auto"/>
          <w:lang w:val="cs-CZ" w:eastAsia="cs-CZ" w:bidi="cs-CZ"/>
        </w:rPr>
        <w:t xml:space="preserve">příslušné fotodokumentace opatřené průkazným datem jejího pořízení, </w:t>
      </w:r>
      <w:r>
        <w:rPr>
          <w:color w:val="000000"/>
          <w:spacing w:val="0"/>
          <w:w w:val="100"/>
          <w:position w:val="0"/>
          <w:shd w:val="clear" w:color="auto" w:fill="auto"/>
          <w:lang w:val="cs-CZ" w:eastAsia="cs-CZ" w:bidi="cs-CZ"/>
        </w:rPr>
        <w:t>zápis bude TDS zpracován a odeslán objednateli do 3 pracovních dnů od termínu konání kontrolního dne</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věcné a cenové správnosti a úplnosti oceňovacích podkladů a faktur, jejich soulad s podmínkami smlouvy o dílo</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těch částí stavby, které budou v dalším postupu zakryty, nebo se stanou nepřístupnými a účast na zkouškách prováděných v průběhu výstavby s kontrolou správnosti jejich provádění včetně zápisu do stavebního deníku</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dodržování schválených technologických postupů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pracovníky projektanta zabezpečujícími autorský dozor při zajišťování souladu realizovaných dílčích částí stavby s projektem, s koordinátorem BOZP, stavbyvedoucím a s orgány příslušnými v rámci stavebních akcí</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 rámci osobní účasti, zda zhotovitel provádí předepsané a dohodnuté zkoušky materiálů, konstrukcí a prací, kontrolování jejich výsledků a vyžadování dokladů, které prokazují kvalitu prováděných prací a dodávek (atesty, protokoly apod.)</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dodržování platných legislativních předpisů a závazných ČSN, případně závazných částí ČSN v rámci stavby</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sledování vedení stavebního deníku v souladu s podmínkami smlouvy o dílo, provádění zápisů se zhodnocením kvality prací a dodávek, kontrola postupu výstavby s časovým plánem a s požadavky na odstranění zjištěných nedostatků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spolupráce s odpovědnými pracovníky zhotovitele při provádění opatření na odvrácení, nebo omezení škod při ohrožení stavby živelnými událostmi</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shromažďování, kontrola a zajištění všech dokladů o provedených předepsaných zkouškách a revizích, evidence všech protokolů a zápisů</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dodržení časového postupu prací a návrhy na řešení vzniklých prodlev</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příprava podkladů pro odevzdání a převzetí stavby, nebo její části</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provedení soupisu vad a případných nedodělků a kontrola jejich odstraňování, zápis o předání a převzetí dokončené stavby investorem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kontrola vyklizení staveniště zhotovitelem</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uplatňování požadavků na zhotovitele vyplývající z předání a převzetí díla</w:t>
      </w:r>
    </w:p>
    <w:p>
      <w:pPr>
        <w:pStyle w:val="Style16"/>
        <w:keepNext w:val="0"/>
        <w:keepLines w:val="0"/>
        <w:widowControl w:val="0"/>
        <w:shd w:val="clear" w:color="auto" w:fill="auto"/>
        <w:bidi w:val="0"/>
        <w:spacing w:before="0" w:line="240" w:lineRule="auto"/>
        <w:ind w:left="1140" w:right="0" w:firstLine="0"/>
        <w:jc w:val="both"/>
      </w:pPr>
      <w:r>
        <w:rPr>
          <w:color w:val="000000"/>
          <w:spacing w:val="0"/>
          <w:w w:val="100"/>
          <w:position w:val="0"/>
          <w:shd w:val="clear" w:color="auto" w:fill="auto"/>
          <w:lang w:val="cs-CZ" w:eastAsia="cs-CZ" w:bidi="cs-CZ"/>
        </w:rPr>
        <w:t>TDS je povinen prokazatelně informovat objednatele o návštěvě na staveništi zápisem ve stavebním deníku a doložením fotodokumentace s elektronickou časovou identifikací</w:t>
      </w:r>
    </w:p>
    <w:p>
      <w:pPr>
        <w:pStyle w:val="Style16"/>
        <w:keepNext w:val="0"/>
        <w:keepLines w:val="0"/>
        <w:widowControl w:val="0"/>
        <w:numPr>
          <w:ilvl w:val="0"/>
          <w:numId w:val="3"/>
        </w:numPr>
        <w:shd w:val="clear" w:color="auto" w:fill="auto"/>
        <w:tabs>
          <w:tab w:pos="638" w:val="left"/>
        </w:tabs>
        <w:bidi w:val="0"/>
        <w:spacing w:before="0" w:line="240" w:lineRule="auto"/>
        <w:ind w:left="0" w:right="0" w:firstLine="0"/>
        <w:jc w:val="left"/>
      </w:pPr>
      <w:r>
        <w:rPr>
          <w:b/>
          <w:bCs/>
          <w:color w:val="000000"/>
          <w:spacing w:val="0"/>
          <w:w w:val="100"/>
          <w:position w:val="0"/>
          <w:shd w:val="clear" w:color="auto" w:fill="auto"/>
          <w:lang w:val="cs-CZ" w:eastAsia="cs-CZ" w:bidi="cs-CZ"/>
        </w:rPr>
        <w:t>Práce po dokončení stavby spočívající zejména v činnostech:</w:t>
      </w:r>
    </w:p>
    <w:p>
      <w:pPr>
        <w:pStyle w:val="Style16"/>
        <w:keepNext w:val="0"/>
        <w:keepLines w:val="0"/>
        <w:widowControl w:val="0"/>
        <w:shd w:val="clear" w:color="auto" w:fill="auto"/>
        <w:bidi w:val="0"/>
        <w:spacing w:before="0" w:after="340" w:line="240" w:lineRule="auto"/>
        <w:ind w:left="0" w:right="0" w:firstLine="720"/>
        <w:jc w:val="left"/>
      </w:pPr>
      <w:r>
        <w:rPr>
          <w:color w:val="000000"/>
          <w:spacing w:val="0"/>
          <w:w w:val="100"/>
          <w:position w:val="0"/>
          <w:sz w:val="19"/>
          <w:szCs w:val="19"/>
          <w:shd w:val="clear" w:color="auto" w:fill="auto"/>
          <w:lang w:val="cs-CZ" w:eastAsia="cs-CZ" w:bidi="cs-CZ"/>
        </w:rPr>
        <w:t xml:space="preserve">• </w:t>
      </w:r>
      <w:r>
        <w:rPr>
          <w:color w:val="000000"/>
          <w:spacing w:val="0"/>
          <w:w w:val="100"/>
          <w:position w:val="0"/>
          <w:shd w:val="clear" w:color="auto" w:fill="auto"/>
          <w:lang w:val="cs-CZ" w:eastAsia="cs-CZ" w:bidi="cs-CZ"/>
        </w:rPr>
        <w:t>zpracování podkladů pro závěrečné vyúčtování stavby po odstranění event. závad.</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4</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Čas plnění</w:t>
      </w:r>
    </w:p>
    <w:p>
      <w:pPr>
        <w:pStyle w:val="Style16"/>
        <w:keepNext w:val="0"/>
        <w:keepLines w:val="0"/>
        <w:widowControl w:val="0"/>
        <w:numPr>
          <w:ilvl w:val="0"/>
          <w:numId w:val="5"/>
        </w:numPr>
        <w:shd w:val="clear" w:color="auto" w:fill="auto"/>
        <w:tabs>
          <w:tab w:pos="638" w:val="left"/>
        </w:tabs>
        <w:bidi w:val="0"/>
        <w:spacing w:before="0" w:line="240" w:lineRule="auto"/>
        <w:ind w:left="0" w:right="0" w:firstLine="0"/>
        <w:jc w:val="both"/>
        <w:sectPr>
          <w:headerReference w:type="default" r:id="rId9"/>
          <w:footerReference w:type="default" r:id="rId10"/>
          <w:headerReference w:type="even" r:id="rId11"/>
          <w:footerReference w:type="even" r:id="rId12"/>
          <w:footnotePr>
            <w:pos w:val="pageBottom"/>
            <w:numFmt w:val="decimal"/>
            <w:numRestart w:val="continuous"/>
          </w:footnotePr>
          <w:pgSz w:w="12240" w:h="15840"/>
          <w:pgMar w:top="1968" w:left="1153" w:right="1291" w:bottom="1277" w:header="0" w:footer="3" w:gutter="0"/>
          <w:cols w:space="720"/>
          <w:noEndnote/>
          <w:rtlGutter w:val="0"/>
          <w:docGrid w:linePitch="360"/>
        </w:sectPr>
      </w:pPr>
      <w:r>
        <w:rPr>
          <w:color w:val="000000"/>
          <w:spacing w:val="0"/>
          <w:w w:val="100"/>
          <w:position w:val="0"/>
          <w:shd w:val="clear" w:color="auto" w:fill="auto"/>
          <w:lang w:val="cs-CZ" w:eastAsia="cs-CZ" w:bidi="cs-CZ"/>
        </w:rPr>
        <w:t>TDS zahájí svoji činnost ihned po účinnosti smlouvy na výzvu objednatele dle článku 10, bod 10.12., okamžikem prvního úkonu dle článku 3, bod 3.1.</w:t>
      </w:r>
    </w:p>
    <w:p>
      <w:pPr>
        <w:pStyle w:val="Style16"/>
        <w:keepNext w:val="0"/>
        <w:keepLines w:val="0"/>
        <w:widowControl w:val="0"/>
        <w:numPr>
          <w:ilvl w:val="0"/>
          <w:numId w:val="5"/>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TDS ukončí svoji činnost předáním dokončené stavby mezi zhotovitelem a objednatelem na základě předávacího protokolu, případně odstraněním poslední vady a nedodělku z přejímacího řízení doložené protokolem o odstranění vad a nedodělků včetně odsouhlasení závěrečného vyúčtování stavebních nákladů.</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5</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Odměna TDS, platební podmínky</w:t>
      </w:r>
    </w:p>
    <w:p>
      <w:pPr>
        <w:pStyle w:val="Style16"/>
        <w:keepNext w:val="0"/>
        <w:keepLines w:val="0"/>
        <w:widowControl w:val="0"/>
        <w:numPr>
          <w:ilvl w:val="0"/>
          <w:numId w:val="7"/>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Objednatel se zavazuje zaplatit TDS za uskutečnění činností podle této smlouvy smluvní dohodnutou odměnu ve výši:</w:t>
      </w:r>
    </w:p>
    <w:p>
      <w:pPr>
        <w:pStyle w:val="Style16"/>
        <w:keepNext w:val="0"/>
        <w:keepLines w:val="0"/>
        <w:widowControl w:val="0"/>
        <w:shd w:val="clear" w:color="auto" w:fill="auto"/>
        <w:bidi w:val="0"/>
        <w:spacing w:before="0" w:after="340" w:line="240" w:lineRule="auto"/>
        <w:ind w:left="0" w:right="0" w:firstLine="580"/>
        <w:jc w:val="left"/>
      </w:pPr>
      <w:r>
        <w:rPr>
          <w:b/>
          <w:bCs/>
          <w:color w:val="000000"/>
          <w:spacing w:val="0"/>
          <w:w w:val="100"/>
          <w:position w:val="0"/>
          <w:shd w:val="clear" w:color="auto" w:fill="auto"/>
          <w:lang w:val="cs-CZ" w:eastAsia="cs-CZ" w:bidi="cs-CZ"/>
        </w:rPr>
        <w:t xml:space="preserve">a) </w:t>
      </w:r>
      <w:r>
        <w:rPr>
          <w:b/>
          <w:bCs/>
          <w:color w:val="000000"/>
          <w:spacing w:val="0"/>
          <w:w w:val="100"/>
          <w:position w:val="0"/>
          <w:u w:val="single"/>
          <w:shd w:val="clear" w:color="auto" w:fill="auto"/>
          <w:lang w:val="cs-CZ" w:eastAsia="cs-CZ" w:bidi="cs-CZ"/>
        </w:rPr>
        <w:t>Výkon TDS - práce před zahájením a po dokončení stavby</w:t>
      </w:r>
    </w:p>
    <w:tbl>
      <w:tblPr>
        <w:tblOverlap w:val="never"/>
        <w:jc w:val="right"/>
        <w:tblLayout w:type="fixed"/>
      </w:tblPr>
      <w:tblGrid>
        <w:gridCol w:w="4397"/>
        <w:gridCol w:w="3835"/>
      </w:tblGrid>
      <w:tr>
        <w:trPr>
          <w:trHeight w:val="504"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práci před zahájením stavby</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5 000 Kč bez DPH</w:t>
            </w:r>
          </w:p>
        </w:tc>
      </w:tr>
      <w:tr>
        <w:trPr>
          <w:trHeight w:val="504"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prací po dokončení stavby</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5 000 Kč bez DPH</w:t>
            </w:r>
          </w:p>
        </w:tc>
      </w:tr>
      <w:tr>
        <w:trPr>
          <w:trHeight w:val="509"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bez DPH</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10 000 Kč</w:t>
            </w:r>
          </w:p>
        </w:tc>
      </w:tr>
      <w:tr>
        <w:trPr>
          <w:trHeight w:val="432"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DPH 21%</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2 100 Kč</w:t>
            </w:r>
          </w:p>
        </w:tc>
      </w:tr>
      <w:tr>
        <w:trPr>
          <w:trHeight w:val="571" w:hRule="exact"/>
        </w:trPr>
        <w:tc>
          <w:tcPr>
            <w:tcBorders>
              <w:top w:val="single" w:sz="4"/>
              <w:left w:val="single" w:sz="4"/>
              <w:bottom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CELKEM vč. DPH</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12100 Kč</w:t>
            </w:r>
          </w:p>
        </w:tc>
      </w:tr>
    </w:tbl>
    <w:p>
      <w:pPr>
        <w:widowControl w:val="0"/>
        <w:spacing w:after="339" w:line="1" w:lineRule="exact"/>
      </w:pPr>
    </w:p>
    <w:p>
      <w:pPr>
        <w:pStyle w:val="Style16"/>
        <w:keepNext w:val="0"/>
        <w:keepLines w:val="0"/>
        <w:widowControl w:val="0"/>
        <w:shd w:val="clear" w:color="auto" w:fill="auto"/>
        <w:bidi w:val="0"/>
        <w:spacing w:before="0" w:after="220" w:line="240" w:lineRule="auto"/>
        <w:ind w:left="0" w:right="0" w:firstLine="740"/>
        <w:jc w:val="left"/>
      </w:pPr>
      <w:r>
        <w:rPr>
          <w:b/>
          <w:bCs/>
          <w:color w:val="000000"/>
          <w:spacing w:val="0"/>
          <w:w w:val="100"/>
          <w:position w:val="0"/>
          <w:shd w:val="clear" w:color="auto" w:fill="auto"/>
          <w:lang w:val="cs-CZ" w:eastAsia="cs-CZ" w:bidi="cs-CZ"/>
        </w:rPr>
        <w:t xml:space="preserve">b) </w:t>
      </w:r>
      <w:r>
        <w:rPr>
          <w:b/>
          <w:bCs/>
          <w:color w:val="000000"/>
          <w:spacing w:val="0"/>
          <w:w w:val="100"/>
          <w:position w:val="0"/>
          <w:u w:val="single"/>
          <w:shd w:val="clear" w:color="auto" w:fill="auto"/>
          <w:lang w:val="cs-CZ" w:eastAsia="cs-CZ" w:bidi="cs-CZ"/>
        </w:rPr>
        <w:t>Výkon TDS - práce spojené s prováděním stavby</w:t>
      </w:r>
    </w:p>
    <w:tbl>
      <w:tblPr>
        <w:tblOverlap w:val="never"/>
        <w:jc w:val="right"/>
        <w:tblLayout w:type="fixed"/>
      </w:tblPr>
      <w:tblGrid>
        <w:gridCol w:w="4397"/>
        <w:gridCol w:w="3835"/>
      </w:tblGrid>
      <w:tr>
        <w:trPr>
          <w:trHeight w:val="595" w:hRule="exact"/>
        </w:trPr>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práce v kanceláři</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800 Kč bez DPH</w:t>
            </w:r>
          </w:p>
        </w:tc>
      </w:tr>
      <w:tr>
        <w:trPr>
          <w:trHeight w:val="600" w:hRule="exact"/>
        </w:trPr>
        <w:tc>
          <w:tcPr>
            <w:tcBorders>
              <w:top w:val="single" w:sz="4"/>
              <w:left w:val="single" w:sz="4"/>
              <w:bottom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Cena za 1 hodinu (60 minut) výkonu TDS na staveništi</w:t>
            </w:r>
          </w:p>
        </w:tc>
        <w:tc>
          <w:tcPr>
            <w:tcBorders>
              <w:top w:val="single" w:sz="4"/>
              <w:left w:val="single" w:sz="4"/>
              <w:bottom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820 Kč bez DPH</w:t>
            </w:r>
          </w:p>
        </w:tc>
      </w:tr>
    </w:tbl>
    <w:p>
      <w:pPr>
        <w:widowControl w:val="0"/>
        <w:spacing w:after="499" w:line="1" w:lineRule="exact"/>
      </w:pP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V ceně podle bodu 5. 1. jsou zahrnuty veškeré náklady na výkon technického dozoru stavebníka nutné ke splnění díla dle čl. 3 této smlouvy a v rozsahu Přílohy č. 1 (Kalkulace odměny TDS), která je součástí této smlouvy, vč. cestovného na místo výkonu TDS a kontrolních dnů. Čas strávený cestou na/ze staveniště se do času výkonu TDS na staveništi nepočítá.</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Cena výkonu TDS na staveništi bude fakturována dle skutečného počtu hodin, doložených v soupisu návštěv TDS schvalovaného osobou pověřenou jednat ve věcech technických.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Ke sjednané ceně bez DPH za zajištění TDS bude u plátce DPH účtována daň z přidané hodnoty v zákonné výši.</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Celkovou a pro účely fakturace rozhodnou cenou se u plátce DPH rozumí cena vč. DPH.</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Smluvní strany se dohodly, že dojde-li v průběhu plnění předmětu této smlouvy ke změně zákonné sazby DPH stanovené pro příslušné plnění vyplývající z této smlouvy, je TDS od okamžiku nabytí účinnosti změny zákonné sazby DPH povinen účtovat objednateli platnou sazbu DPH. O této skutečnosti není nutné uzavírat dodatek k této smlouvě.</w:t>
      </w:r>
    </w:p>
    <w:p>
      <w:pPr>
        <w:pStyle w:val="Style16"/>
        <w:keepNext w:val="0"/>
        <w:keepLines w:val="0"/>
        <w:widowControl w:val="0"/>
        <w:numPr>
          <w:ilvl w:val="0"/>
          <w:numId w:val="7"/>
        </w:numPr>
        <w:shd w:val="clear" w:color="auto" w:fill="auto"/>
        <w:tabs>
          <w:tab w:pos="571" w:val="left"/>
        </w:tabs>
        <w:bidi w:val="0"/>
        <w:spacing w:before="0" w:line="240" w:lineRule="auto"/>
        <w:ind w:left="0" w:right="0" w:firstLine="0"/>
        <w:jc w:val="both"/>
      </w:pPr>
      <w:r>
        <w:rPr>
          <w:color w:val="000000"/>
          <w:spacing w:val="0"/>
          <w:w w:val="100"/>
          <w:position w:val="0"/>
          <w:shd w:val="clear" w:color="auto" w:fill="auto"/>
          <w:lang w:val="cs-CZ" w:eastAsia="cs-CZ" w:bidi="cs-CZ"/>
        </w:rPr>
        <w:t>Dohodnutá odměna bude TDS proplacena na základě jeho daňového dokladu (faktury).</w:t>
      </w:r>
    </w:p>
    <w:p>
      <w:pPr>
        <w:pStyle w:val="Style16"/>
        <w:keepNext w:val="0"/>
        <w:keepLines w:val="0"/>
        <w:widowControl w:val="0"/>
        <w:numPr>
          <w:ilvl w:val="0"/>
          <w:numId w:val="7"/>
        </w:numPr>
        <w:shd w:val="clear" w:color="auto" w:fill="auto"/>
        <w:tabs>
          <w:tab w:pos="571" w:val="left"/>
        </w:tabs>
        <w:bidi w:val="0"/>
        <w:spacing w:before="0" w:line="271" w:lineRule="auto"/>
        <w:ind w:left="0" w:right="0" w:firstLine="0"/>
        <w:jc w:val="both"/>
      </w:pPr>
      <w:r>
        <w:rPr>
          <w:color w:val="000000"/>
          <w:spacing w:val="0"/>
          <w:w w:val="100"/>
          <w:position w:val="0"/>
          <w:shd w:val="clear" w:color="auto" w:fill="auto"/>
          <w:lang w:val="cs-CZ" w:eastAsia="cs-CZ" w:bidi="cs-CZ"/>
        </w:rPr>
        <w:t xml:space="preserve">Faktury budou vystaveny měsíčně v jednom vyhotovení a doručeny na adresu objednatele. Mimo povinných náležitostí dle zákona je TDS povinen uvádět na daňovém dokladu doslovný a přesný název akce </w:t>
      </w:r>
      <w:r>
        <w:rPr>
          <w:color w:val="000000"/>
          <w:spacing w:val="0"/>
          <w:w w:val="100"/>
          <w:position w:val="0"/>
          <w:shd w:val="clear" w:color="auto" w:fill="auto"/>
          <w:lang w:val="cs-CZ" w:eastAsia="cs-CZ" w:bidi="cs-CZ"/>
        </w:rPr>
        <w:t xml:space="preserve">nebo akcí, který je definován v ustanovení čl. 2 této smlouvy. Součástí faktury bude soupis počtu návštěv TDS </w:t>
      </w:r>
      <w:r>
        <w:rPr>
          <w:color w:val="000000"/>
          <w:spacing w:val="0"/>
          <w:w w:val="100"/>
          <w:position w:val="0"/>
          <w:shd w:val="clear" w:color="auto" w:fill="auto"/>
          <w:lang w:val="cs-CZ" w:eastAsia="cs-CZ" w:bidi="cs-CZ"/>
        </w:rPr>
        <w:t>v daném měsíci, odsouhlasený zástupcem objednatele.</w:t>
      </w:r>
    </w:p>
    <w:p>
      <w:pPr>
        <w:pStyle w:val="Style16"/>
        <w:keepNext w:val="0"/>
        <w:keepLines w:val="0"/>
        <w:widowControl w:val="0"/>
        <w:numPr>
          <w:ilvl w:val="0"/>
          <w:numId w:val="7"/>
        </w:numPr>
        <w:shd w:val="clear" w:color="auto" w:fill="auto"/>
        <w:tabs>
          <w:tab w:pos="572" w:val="left"/>
        </w:tabs>
        <w:bidi w:val="0"/>
        <w:spacing w:before="0" w:line="271" w:lineRule="auto"/>
        <w:ind w:left="0" w:right="0" w:firstLine="0"/>
        <w:jc w:val="both"/>
      </w:pPr>
      <w:r>
        <w:rPr>
          <w:color w:val="000000"/>
          <w:spacing w:val="0"/>
          <w:w w:val="100"/>
          <w:position w:val="0"/>
          <w:shd w:val="clear" w:color="auto" w:fill="auto"/>
          <w:lang w:val="cs-CZ" w:eastAsia="cs-CZ" w:bidi="cs-CZ"/>
        </w:rPr>
        <w:t>Mezi smluvními stranami se touto smlouvou sjednává, že celkové plnění, na které je uzavřena tato smlouva, je souhrnem všech dílčích plnění, jimiž se rozumí plnění činností provedených dle čl. 3.</w:t>
      </w:r>
    </w:p>
    <w:p>
      <w:pPr>
        <w:pStyle w:val="Style16"/>
        <w:keepNext w:val="0"/>
        <w:keepLines w:val="0"/>
        <w:widowControl w:val="0"/>
        <w:numPr>
          <w:ilvl w:val="0"/>
          <w:numId w:val="7"/>
        </w:numPr>
        <w:shd w:val="clear" w:color="auto" w:fill="auto"/>
        <w:tabs>
          <w:tab w:pos="593" w:val="left"/>
        </w:tabs>
        <w:bidi w:val="0"/>
        <w:spacing w:before="0" w:line="240" w:lineRule="auto"/>
        <w:ind w:left="0" w:right="0" w:firstLine="0"/>
        <w:jc w:val="both"/>
      </w:pPr>
      <w:r>
        <w:rPr>
          <w:color w:val="000000"/>
          <w:spacing w:val="0"/>
          <w:w w:val="100"/>
          <w:position w:val="0"/>
          <w:shd w:val="clear" w:color="auto" w:fill="auto"/>
          <w:lang w:val="cs-CZ" w:eastAsia="cs-CZ" w:bidi="cs-CZ"/>
        </w:rPr>
        <w:t>Úhrada za plnění z této smlouvy bude realizována bezhotovostním převodem na účet TDS, který je správcem daně (finančním úřadem) zveřejněn způsobem umožňujícím dálkový přístup ve smyslu ustanovení § 98 zákona č. 235/2004 Sb. o dani z přidané hodnoty, ve znění pozdějších předpisů (dále jen „zákon o DPH“).</w:t>
      </w:r>
    </w:p>
    <w:p>
      <w:pPr>
        <w:pStyle w:val="Style16"/>
        <w:keepNext w:val="0"/>
        <w:keepLines w:val="0"/>
        <w:widowControl w:val="0"/>
        <w:numPr>
          <w:ilvl w:val="0"/>
          <w:numId w:val="7"/>
        </w:numPr>
        <w:shd w:val="clear" w:color="auto" w:fill="auto"/>
        <w:tabs>
          <w:tab w:pos="593" w:val="left"/>
        </w:tabs>
        <w:bidi w:val="0"/>
        <w:spacing w:before="0" w:line="240" w:lineRule="auto"/>
        <w:ind w:left="0" w:right="0" w:firstLine="0"/>
        <w:jc w:val="both"/>
      </w:pPr>
      <w:r>
        <w:rPr>
          <w:color w:val="000000"/>
          <w:spacing w:val="0"/>
          <w:w w:val="100"/>
          <w:position w:val="0"/>
          <w:shd w:val="clear" w:color="auto" w:fill="auto"/>
          <w:lang w:val="cs-CZ" w:eastAsia="cs-CZ" w:bidi="cs-CZ"/>
        </w:rPr>
        <w:t>Pokud se po dobu účinnosti této smlouvy TDS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TDS.</w:t>
      </w:r>
    </w:p>
    <w:p>
      <w:pPr>
        <w:pStyle w:val="Style16"/>
        <w:keepNext w:val="0"/>
        <w:keepLines w:val="0"/>
        <w:widowControl w:val="0"/>
        <w:numPr>
          <w:ilvl w:val="0"/>
          <w:numId w:val="7"/>
        </w:numPr>
        <w:shd w:val="clear" w:color="auto" w:fill="auto"/>
        <w:tabs>
          <w:tab w:pos="593"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uhradí prokázané náklady, které TDS nutně nebo účelně vynaložil při plnění předmětu smlouvy - správní a jiné poplatky. Úkony, na základě kterých tyto náklady vzniknou, TDS s objednatelem předem projedná.</w:t>
      </w:r>
    </w:p>
    <w:p>
      <w:pPr>
        <w:pStyle w:val="Style16"/>
        <w:keepNext w:val="0"/>
        <w:keepLines w:val="0"/>
        <w:widowControl w:val="0"/>
        <w:numPr>
          <w:ilvl w:val="0"/>
          <w:numId w:val="7"/>
        </w:numPr>
        <w:shd w:val="clear" w:color="auto" w:fill="auto"/>
        <w:tabs>
          <w:tab w:pos="593" w:val="left"/>
        </w:tabs>
        <w:bidi w:val="0"/>
        <w:spacing w:before="0" w:line="240" w:lineRule="auto"/>
        <w:ind w:left="0" w:right="0" w:firstLine="0"/>
        <w:jc w:val="both"/>
      </w:pPr>
      <w:r>
        <w:rPr>
          <w:color w:val="000000"/>
          <w:spacing w:val="0"/>
          <w:w w:val="100"/>
          <w:position w:val="0"/>
          <w:shd w:val="clear" w:color="auto" w:fill="auto"/>
          <w:lang w:val="cs-CZ" w:eastAsia="cs-CZ" w:bidi="cs-CZ"/>
        </w:rPr>
        <w:t>Lhůta splatnosti daňových dokladů se vzájemnou dohodou sjednává do 30 dnů ode dne, kdy objednatel obdrží oprávněně vystavený daňový doklad.</w:t>
      </w:r>
    </w:p>
    <w:p>
      <w:pPr>
        <w:pStyle w:val="Style16"/>
        <w:keepNext w:val="0"/>
        <w:keepLines w:val="0"/>
        <w:widowControl w:val="0"/>
        <w:numPr>
          <w:ilvl w:val="0"/>
          <w:numId w:val="7"/>
        </w:numPr>
        <w:shd w:val="clear" w:color="auto" w:fill="auto"/>
        <w:tabs>
          <w:tab w:pos="593" w:val="left"/>
        </w:tabs>
        <w:bidi w:val="0"/>
        <w:spacing w:before="0" w:after="220" w:line="240" w:lineRule="auto"/>
        <w:ind w:left="0" w:right="0" w:firstLine="0"/>
        <w:jc w:val="both"/>
      </w:pPr>
      <w:r>
        <w:rPr>
          <w:color w:val="000000"/>
          <w:spacing w:val="0"/>
          <w:w w:val="100"/>
          <w:position w:val="0"/>
          <w:shd w:val="clear" w:color="auto" w:fill="auto"/>
          <w:lang w:val="cs-CZ" w:eastAsia="cs-CZ" w:bidi="cs-CZ"/>
        </w:rPr>
        <w:t>Práce, které se případně vyskytnou nad rámec předmětu smlouvy, budou dohodnuty v dodatku této smlouvy. Odměna za tyto práce bude sjednána v souladu s náklady TDS dle přílohy této smlouvy - kalkulace odměny.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6</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Práva a povinnosti smluvních stran</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postupovat při zařizování smluvené záležitosti s veškerou odbornou péčí, podle svých schopností a znalostí a podle pokynů objednatele.</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Dodavatel je oprávněn plnit předmět této smlouvy pouze prostřednictvím osob, jejichž odborná praxe byla předmětem hodnocení nabídek podaných na veřejnou zakázku zadanou v poptávkovém řízení na uzavření této smlouvy</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Odpovědné osoby, které budou zajišťovat výkon technického dozoru stavebníka na staveništi:</w:t>
      </w:r>
    </w:p>
    <w:p>
      <w:pPr>
        <w:pStyle w:val="Style16"/>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Odpovědný TDS - Dopravní stavby / Mosty a inženýrské konstrukce</w:t>
      </w:r>
    </w:p>
    <w:p>
      <w:pPr>
        <w:pStyle w:val="Style16"/>
        <w:keepNext w:val="0"/>
        <w:keepLines w:val="0"/>
        <w:widowControl w:val="0"/>
        <w:shd w:val="clear" w:color="auto" w:fill="auto"/>
        <w:bidi w:val="0"/>
        <w:spacing w:before="0" w:line="240" w:lineRule="auto"/>
        <w:ind w:left="1420" w:right="0" w:firstLine="0"/>
        <w:jc w:val="both"/>
      </w:pPr>
      <w:r>
        <w:rPr>
          <w:color w:val="000000"/>
          <w:spacing w:val="0"/>
          <w:w w:val="100"/>
          <w:position w:val="0"/>
          <w:shd w:val="clear" w:color="auto" w:fill="auto"/>
          <w:lang w:val="cs-CZ" w:eastAsia="cs-CZ" w:bidi="cs-CZ"/>
        </w:rPr>
        <w:t>(jméno, příjmení, titul, číslo autorizace):</w:t>
      </w:r>
    </w:p>
    <w:p>
      <w:pPr>
        <w:pStyle w:val="Style16"/>
        <w:keepNext w:val="0"/>
        <w:keepLines w:val="0"/>
        <w:widowControl w:val="0"/>
        <w:shd w:val="clear" w:color="auto" w:fill="auto"/>
        <w:bidi w:val="0"/>
        <w:spacing w:before="0" w:after="220" w:line="240" w:lineRule="auto"/>
        <w:ind w:left="1420" w:right="0" w:firstLine="0"/>
        <w:jc w:val="both"/>
      </w:pPr>
      <w:r>
        <w:rPr>
          <w:b/>
          <w:bCs/>
          <w:color w:val="000000"/>
          <w:spacing w:val="0"/>
          <w:w w:val="100"/>
          <w:position w:val="0"/>
          <w:shd w:val="clear" w:color="auto" w:fill="auto"/>
          <w:lang w:val="cs-CZ" w:eastAsia="cs-CZ" w:bidi="cs-CZ"/>
        </w:rPr>
        <w:t>ČKAIT č.</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 xml:space="preserve">Dodavatel je </w:t>
      </w:r>
      <w:r>
        <w:rPr>
          <w:b/>
          <w:bCs/>
          <w:color w:val="000000"/>
          <w:spacing w:val="0"/>
          <w:w w:val="100"/>
          <w:position w:val="0"/>
          <w:shd w:val="clear" w:color="auto" w:fill="auto"/>
          <w:lang w:val="cs-CZ" w:eastAsia="cs-CZ" w:bidi="cs-CZ"/>
        </w:rPr>
        <w:t>oprávněn změnit tyto osob</w:t>
      </w:r>
      <w:r>
        <w:rPr>
          <w:color w:val="000000"/>
          <w:spacing w:val="0"/>
          <w:w w:val="100"/>
          <w:position w:val="0"/>
          <w:shd w:val="clear" w:color="auto" w:fill="auto"/>
          <w:lang w:val="cs-CZ" w:eastAsia="cs-CZ" w:bidi="cs-CZ"/>
        </w:rPr>
        <w:t xml:space="preserve">y z důvodů na jeho straně </w:t>
      </w:r>
      <w:r>
        <w:rPr>
          <w:b/>
          <w:bCs/>
          <w:color w:val="000000"/>
          <w:spacing w:val="0"/>
          <w:w w:val="100"/>
          <w:position w:val="0"/>
          <w:shd w:val="clear" w:color="auto" w:fill="auto"/>
          <w:lang w:val="cs-CZ" w:eastAsia="cs-CZ" w:bidi="cs-CZ"/>
        </w:rPr>
        <w:t xml:space="preserve">pouze s předchozím písemným souhlasem zadavatele stavby a pouze, </w:t>
      </w:r>
      <w:r>
        <w:rPr>
          <w:color w:val="000000"/>
          <w:spacing w:val="0"/>
          <w:w w:val="100"/>
          <w:position w:val="0"/>
          <w:shd w:val="clear" w:color="auto" w:fill="auto"/>
          <w:lang w:val="cs-CZ" w:eastAsia="cs-CZ" w:bidi="cs-CZ"/>
        </w:rPr>
        <w:t xml:space="preserve">pokud </w:t>
      </w:r>
      <w:r>
        <w:rPr>
          <w:b/>
          <w:bCs/>
          <w:color w:val="000000"/>
          <w:spacing w:val="0"/>
          <w:w w:val="100"/>
          <w:position w:val="0"/>
          <w:shd w:val="clear" w:color="auto" w:fill="auto"/>
          <w:lang w:val="cs-CZ" w:eastAsia="cs-CZ" w:bidi="cs-CZ"/>
        </w:rPr>
        <w:t xml:space="preserve">délka odborné praxe </w:t>
      </w:r>
      <w:r>
        <w:rPr>
          <w:color w:val="000000"/>
          <w:spacing w:val="0"/>
          <w:w w:val="100"/>
          <w:position w:val="0"/>
          <w:shd w:val="clear" w:color="auto" w:fill="auto"/>
          <w:lang w:val="cs-CZ" w:eastAsia="cs-CZ" w:bidi="cs-CZ"/>
        </w:rPr>
        <w:t xml:space="preserve">těchto </w:t>
      </w:r>
      <w:r>
        <w:rPr>
          <w:b/>
          <w:bCs/>
          <w:color w:val="000000"/>
          <w:spacing w:val="0"/>
          <w:w w:val="100"/>
          <w:position w:val="0"/>
          <w:shd w:val="clear" w:color="auto" w:fill="auto"/>
          <w:lang w:val="cs-CZ" w:eastAsia="cs-CZ" w:bidi="cs-CZ"/>
        </w:rPr>
        <w:t xml:space="preserve">nových osob bude stejná nebo delší </w:t>
      </w:r>
      <w:r>
        <w:rPr>
          <w:color w:val="000000"/>
          <w:spacing w:val="0"/>
          <w:w w:val="100"/>
          <w:position w:val="0"/>
          <w:shd w:val="clear" w:color="auto" w:fill="auto"/>
          <w:lang w:val="cs-CZ" w:eastAsia="cs-CZ" w:bidi="cs-CZ"/>
        </w:rPr>
        <w:t>jako délka odborné praxe osob původních</w:t>
      </w:r>
      <w:r>
        <w:rPr>
          <w:b/>
          <w:bCs/>
          <w:color w:val="000000"/>
          <w:spacing w:val="0"/>
          <w:w w:val="100"/>
          <w:position w:val="0"/>
          <w:shd w:val="clear" w:color="auto" w:fill="auto"/>
          <w:lang w:val="cs-CZ" w:eastAsia="cs-CZ" w:bidi="cs-CZ"/>
        </w:rPr>
        <w:t>.</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Vyžaduje-li činnost TDS podle této smlouvy právní jednání objednatele, je objednatel povinen vystavit na žádost TDS písemnou plnou moc pro toto jednání. TDS se zavazuje využít tuto plnou moc jen v rozsahu stanoveném plnou mocí a touto smlouvou.</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TDS je povinen předat objednateli bez zbytečného odkladu věci, které za něj převzal při vyřizování záležitostí.</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se zavazuje poskytnout TDS veškeré informace, které jsou nutné k zařízení záležitosti.</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Objednatel je oprávněn vyhradit si účast svého pověřeného zástupce při jakémkoliv úkonu TDS, který se týká předmětu této smlouvy.</w:t>
      </w:r>
    </w:p>
    <w:p>
      <w:pPr>
        <w:pStyle w:val="Style16"/>
        <w:keepNext w:val="0"/>
        <w:keepLines w:val="0"/>
        <w:widowControl w:val="0"/>
        <w:numPr>
          <w:ilvl w:val="0"/>
          <w:numId w:val="9"/>
        </w:numPr>
        <w:shd w:val="clear" w:color="auto" w:fill="auto"/>
        <w:tabs>
          <w:tab w:pos="572" w:val="left"/>
        </w:tabs>
        <w:bidi w:val="0"/>
        <w:spacing w:before="0" w:line="240" w:lineRule="auto"/>
        <w:ind w:left="0" w:right="0" w:firstLine="0"/>
        <w:jc w:val="both"/>
      </w:pPr>
      <w:r>
        <w:rPr>
          <w:color w:val="000000"/>
          <w:spacing w:val="0"/>
          <w:w w:val="100"/>
          <w:position w:val="0"/>
          <w:shd w:val="clear" w:color="auto" w:fill="auto"/>
          <w:lang w:val="cs-CZ" w:eastAsia="cs-CZ" w:bidi="cs-CZ"/>
        </w:rPr>
        <w:t>Dle § 2 písm. e) zákona č. 320/2001 Sb., o finanční kontrole ve veřejné správě a o změně některých zákonů (zákon o finanční kontrole), je TDS osobou povinnou spolupůsobit při výkonu finanční kontroly.</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7</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Změna závazku</w:t>
      </w:r>
    </w:p>
    <w:p>
      <w:pPr>
        <w:pStyle w:val="Style16"/>
        <w:keepNext w:val="0"/>
        <w:keepLines w:val="0"/>
        <w:widowControl w:val="0"/>
        <w:numPr>
          <w:ilvl w:val="0"/>
          <w:numId w:val="11"/>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Tuto smlouvu lze měnit pouze formou písemných, číslovaných dodatků, podepsaných oprávněnými zástupci obou smluvních stran.</w:t>
      </w:r>
    </w:p>
    <w:p>
      <w:pPr>
        <w:pStyle w:val="Style16"/>
        <w:keepNext w:val="0"/>
        <w:keepLines w:val="0"/>
        <w:widowControl w:val="0"/>
        <w:numPr>
          <w:ilvl w:val="0"/>
          <w:numId w:val="11"/>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K návrhům dodatků této smlouvy se smluvní strany zavazují písemně vyjádřit do sedmi dnů ode dne doručení. Po tuto dobu je navrhující strana tímto návrhem vázána.</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Článek 8</w:t>
        <w:br/>
        <w:t>Sankce</w:t>
      </w:r>
    </w:p>
    <w:p>
      <w:pPr>
        <w:pStyle w:val="Style1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 případě zjištění neplnění některé z činností blíže specifikovaných v čl. 3. smlouvy je TDS povinen uhradit objednateli smluvní pokutu ve výši 0,5% z celkové ceny plnění vč. DPH za každé zjištění. Tuto pokutu je možné ukládat opakovaně, dokud nedojde ke zjednání nápravy v přiměřené lhůtě stanovené objednatelem.</w:t>
      </w:r>
    </w:p>
    <w:p>
      <w:pPr>
        <w:pStyle w:val="Style1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Zaplacením smluvní pokuty není dotčeno právo objednatele na náhradu škody způsobenou TDS a zjednání nápravy vedoucí k odstranění vady.</w:t>
      </w:r>
    </w:p>
    <w:p>
      <w:pPr>
        <w:pStyle w:val="Style16"/>
        <w:keepNext w:val="0"/>
        <w:keepLines w:val="0"/>
        <w:widowControl w:val="0"/>
        <w:numPr>
          <w:ilvl w:val="0"/>
          <w:numId w:val="13"/>
        </w:numPr>
        <w:shd w:val="clear" w:color="auto" w:fill="auto"/>
        <w:tabs>
          <w:tab w:pos="571" w:val="left"/>
        </w:tabs>
        <w:bidi w:val="0"/>
        <w:spacing w:before="0" w:after="100" w:line="240" w:lineRule="auto"/>
        <w:ind w:left="0" w:right="0" w:firstLine="0"/>
        <w:jc w:val="both"/>
      </w:pPr>
      <w:r>
        <w:rPr>
          <w:color w:val="000000"/>
          <w:spacing w:val="0"/>
          <w:w w:val="100"/>
          <w:position w:val="0"/>
          <w:shd w:val="clear" w:color="auto" w:fill="auto"/>
          <w:lang w:val="cs-CZ" w:eastAsia="cs-CZ" w:bidi="cs-CZ"/>
        </w:rPr>
        <w:t>V případě prodlení objednatele se zaplacením faktur uhradí objednatel TDS smluvní pokutu v zákonné výši za každý den prodlení.</w:t>
      </w:r>
    </w:p>
    <w:p>
      <w:pPr>
        <w:pStyle w:val="Style16"/>
        <w:keepNext w:val="0"/>
        <w:keepLines w:val="0"/>
        <w:widowControl w:val="0"/>
        <w:numPr>
          <w:ilvl w:val="0"/>
          <w:numId w:val="13"/>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Smluvní pokuta je splatná do 10 dnů poté, co bude doklad doručen povinné smluvní straně.</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9</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Odpovědnost za škodu</w:t>
      </w:r>
    </w:p>
    <w:p>
      <w:pPr>
        <w:pStyle w:val="Style16"/>
        <w:keepNext w:val="0"/>
        <w:keepLines w:val="0"/>
        <w:widowControl w:val="0"/>
        <w:numPr>
          <w:ilvl w:val="0"/>
          <w:numId w:val="15"/>
        </w:numPr>
        <w:shd w:val="clear" w:color="auto" w:fill="auto"/>
        <w:tabs>
          <w:tab w:pos="571"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TDS odpovídá za škodu, která objednateli vznikne v důsledku vadného plnění, a to v plném rozsahu</w:t>
      </w:r>
      <w:r>
        <w:rPr>
          <w:color w:val="000000"/>
          <w:spacing w:val="0"/>
          <w:w w:val="100"/>
          <w:position w:val="0"/>
          <w:shd w:val="clear" w:color="auto" w:fill="auto"/>
          <w:lang w:val="cs-CZ" w:eastAsia="cs-CZ" w:bidi="cs-CZ"/>
        </w:rPr>
        <w:t>. Za škodu se považuje i újma, která objednateli vznikla tím, že musel vynaložit náklady v důsledku porušení povinností TDS.</w:t>
      </w:r>
    </w:p>
    <w:p>
      <w:pPr>
        <w:pStyle w:val="Style16"/>
        <w:keepNext w:val="0"/>
        <w:keepLines w:val="0"/>
        <w:widowControl w:val="0"/>
        <w:numPr>
          <w:ilvl w:val="0"/>
          <w:numId w:val="15"/>
        </w:numPr>
        <w:shd w:val="clear" w:color="auto" w:fill="auto"/>
        <w:tabs>
          <w:tab w:pos="571"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TDS se zavazuje</w:t>
      </w:r>
      <w:r>
        <w:rPr>
          <w:color w:val="000000"/>
          <w:spacing w:val="0"/>
          <w:w w:val="100"/>
          <w:position w:val="0"/>
          <w:shd w:val="clear" w:color="auto" w:fill="auto"/>
          <w:lang w:val="cs-CZ" w:eastAsia="cs-CZ" w:bidi="cs-CZ"/>
        </w:rPr>
        <w:t xml:space="preserve">, že po celou dobu plnění svého závazku z této smlouvy </w:t>
      </w:r>
      <w:r>
        <w:rPr>
          <w:b/>
          <w:bCs/>
          <w:color w:val="000000"/>
          <w:spacing w:val="0"/>
          <w:w w:val="100"/>
          <w:position w:val="0"/>
          <w:shd w:val="clear" w:color="auto" w:fill="auto"/>
          <w:lang w:val="cs-CZ" w:eastAsia="cs-CZ" w:bidi="cs-CZ"/>
        </w:rPr>
        <w:t xml:space="preserve">bude mít </w:t>
      </w:r>
      <w:r>
        <w:rPr>
          <w:color w:val="000000"/>
          <w:spacing w:val="0"/>
          <w:w w:val="100"/>
          <w:position w:val="0"/>
          <w:shd w:val="clear" w:color="auto" w:fill="auto"/>
          <w:lang w:val="cs-CZ" w:eastAsia="cs-CZ" w:bidi="cs-CZ"/>
        </w:rPr>
        <w:t xml:space="preserve">na vlastní náklady </w:t>
      </w:r>
      <w:r>
        <w:rPr>
          <w:b/>
          <w:bCs/>
          <w:color w:val="000000"/>
          <w:spacing w:val="0"/>
          <w:w w:val="100"/>
          <w:position w:val="0"/>
          <w:shd w:val="clear" w:color="auto" w:fill="auto"/>
          <w:lang w:val="cs-CZ" w:eastAsia="cs-CZ" w:bidi="cs-CZ"/>
        </w:rPr>
        <w:t xml:space="preserve">sjednáno profesní pojištění odpovědnosti </w:t>
      </w:r>
      <w:r>
        <w:rPr>
          <w:color w:val="000000"/>
          <w:spacing w:val="0"/>
          <w:w w:val="100"/>
          <w:position w:val="0"/>
          <w:shd w:val="clear" w:color="auto" w:fill="auto"/>
          <w:lang w:val="cs-CZ" w:eastAsia="cs-CZ" w:bidi="cs-CZ"/>
        </w:rPr>
        <w:t xml:space="preserve">za škodu způsobenou třetím osobám vyplývající z dodávaného předmětu smlouvy </w:t>
      </w:r>
      <w:r>
        <w:rPr>
          <w:b/>
          <w:bCs/>
          <w:color w:val="000000"/>
          <w:spacing w:val="0"/>
          <w:w w:val="100"/>
          <w:position w:val="0"/>
          <w:shd w:val="clear" w:color="auto" w:fill="auto"/>
          <w:lang w:val="cs-CZ" w:eastAsia="cs-CZ" w:bidi="cs-CZ"/>
        </w:rPr>
        <w:t>s limitem min. 1.000.000,00Kč</w:t>
      </w:r>
      <w:r>
        <w:rPr>
          <w:color w:val="000000"/>
          <w:spacing w:val="0"/>
          <w:w w:val="100"/>
          <w:position w:val="0"/>
          <w:shd w:val="clear" w:color="auto" w:fill="auto"/>
          <w:lang w:val="cs-CZ" w:eastAsia="cs-CZ" w:bidi="cs-CZ"/>
        </w:rPr>
        <w:t>.</w:t>
      </w:r>
    </w:p>
    <w:p>
      <w:pPr>
        <w:pStyle w:val="Style16"/>
        <w:keepNext w:val="0"/>
        <w:keepLines w:val="0"/>
        <w:widowControl w:val="0"/>
        <w:numPr>
          <w:ilvl w:val="0"/>
          <w:numId w:val="15"/>
        </w:numPr>
        <w:shd w:val="clear" w:color="auto" w:fill="auto"/>
        <w:tabs>
          <w:tab w:pos="571" w:val="left"/>
        </w:tabs>
        <w:bidi w:val="0"/>
        <w:spacing w:before="0" w:after="340" w:line="240" w:lineRule="auto"/>
        <w:ind w:left="0" w:right="0" w:firstLine="0"/>
        <w:jc w:val="both"/>
      </w:pPr>
      <w:r>
        <w:rPr>
          <w:color w:val="000000"/>
          <w:spacing w:val="0"/>
          <w:w w:val="100"/>
          <w:position w:val="0"/>
          <w:shd w:val="clear" w:color="auto" w:fill="auto"/>
          <w:lang w:val="cs-CZ" w:eastAsia="cs-CZ" w:bidi="cs-CZ"/>
        </w:rPr>
        <w:t>Odpovědnost za škodu se řídí příslušnými ustanoveními občanského zákoníku, nestanoví-li smlouva jinak.</w:t>
      </w:r>
    </w:p>
    <w:p>
      <w:pPr>
        <w:pStyle w:val="Style16"/>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Článek 10</w:t>
      </w:r>
    </w:p>
    <w:p>
      <w:pPr>
        <w:pStyle w:val="Style16"/>
        <w:keepNext w:val="0"/>
        <w:keepLines w:val="0"/>
        <w:widowControl w:val="0"/>
        <w:shd w:val="clear" w:color="auto" w:fill="auto"/>
        <w:bidi w:val="0"/>
        <w:spacing w:before="0" w:after="100" w:line="240" w:lineRule="auto"/>
        <w:ind w:left="0" w:right="0" w:firstLine="0"/>
        <w:jc w:val="center"/>
      </w:pPr>
      <w:r>
        <w:rPr>
          <w:b/>
          <w:bCs/>
          <w:color w:val="000000"/>
          <w:spacing w:val="0"/>
          <w:w w:val="100"/>
          <w:position w:val="0"/>
          <w:shd w:val="clear" w:color="auto" w:fill="auto"/>
          <w:lang w:val="cs-CZ" w:eastAsia="cs-CZ" w:bidi="cs-CZ"/>
        </w:rPr>
        <w:t>Ostatní ujednání, závěrečná ustanovení</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je uzavřena na dobu určitou ode dne jejího podpisu do dne ukončení předmětu plnění.</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TDS je oprávněn vypovědět smlouvu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Pokud jedna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škoda, je TDS povinen na toto nebezpečí upozornit a navrhnout, jaká opatření je třeba učinit. Smlouva může být rovněž zrušena dohodou smluvních stran. Výpověď i dohoda musí být v písemné formě.</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má právo vypovědět tuto smlouvu v případě, že v souvislosti s plněním účelu této smlouvy dojde ke spáchání trestného činu. Výpovědní doba činí 3 dny a začíná běžet dnem následujícím po dni, kdy bylo písemné vyhotovení výpovědi doručeno TDS.</w:t>
      </w:r>
      <w:r>
        <w:br w:type="page"/>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Objednatel si vyhrazuje právo odstoupit od smlouvy v případě, že stavba, pro kterou se sjednává předmět plnění dle č. 2, nebude zahájena v termínu 12 měsíců od účinnosti této smlouvy. TDS bere tuto skutečnost na vědomí a pro případ, že se tak stane, je s tím srozuměn.</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Smluvní strany prohlašují, že tato smlouva neobsahuje žádné údaje, které by byly smluvními stranami považovány za obchodní tajemství, stejně tak jako údaje, jejichž zveřejnění by bránily jiné právní předpisy.</w:t>
      </w:r>
    </w:p>
    <w:p>
      <w:pPr>
        <w:pStyle w:val="Style16"/>
        <w:keepNext w:val="0"/>
        <w:keepLines w:val="0"/>
        <w:widowControl w:val="0"/>
        <w:numPr>
          <w:ilvl w:val="0"/>
          <w:numId w:val="17"/>
        </w:numPr>
        <w:shd w:val="clear" w:color="auto" w:fill="auto"/>
        <w:tabs>
          <w:tab w:pos="582" w:val="left"/>
        </w:tabs>
        <w:bidi w:val="0"/>
        <w:spacing w:before="0" w:after="100" w:line="240" w:lineRule="auto"/>
        <w:ind w:left="0" w:right="0" w:firstLine="0"/>
        <w:jc w:val="both"/>
      </w:pPr>
      <w:r>
        <w:rPr>
          <w:color w:val="000000"/>
          <w:spacing w:val="0"/>
          <w:w w:val="100"/>
          <w:position w:val="0"/>
          <w:shd w:val="clear" w:color="auto" w:fill="auto"/>
          <w:lang w:val="cs-CZ" w:eastAsia="cs-CZ" w:bidi="cs-CZ"/>
        </w:rPr>
        <w:t>Pro vztahy výslovně neupravené touto smlouvou platí ustanovení občanského zákoníku. Smluvní strany se dohodly na tom, že při plnění této smlouvy nebudou mít obchodní zvyklosti přednost před dispozitivními ustanoveními zákona.</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Tato Smlouva je vyhotovena v </w:t>
      </w:r>
      <w:r>
        <w:rPr>
          <w:b/>
          <w:bCs/>
          <w:color w:val="000000"/>
          <w:spacing w:val="0"/>
          <w:w w:val="100"/>
          <w:position w:val="0"/>
          <w:shd w:val="clear" w:color="auto" w:fill="auto"/>
          <w:lang w:val="cs-CZ" w:eastAsia="cs-CZ" w:bidi="cs-CZ"/>
        </w:rPr>
        <w:t>elektronické podobě</w:t>
      </w:r>
      <w:r>
        <w:rPr>
          <w:color w:val="000000"/>
          <w:spacing w:val="0"/>
          <w:w w:val="100"/>
          <w:position w:val="0"/>
          <w:shd w:val="clear" w:color="auto" w:fill="auto"/>
          <w:lang w:val="cs-CZ" w:eastAsia="cs-CZ" w:bidi="cs-CZ"/>
        </w:rPr>
        <w:t>, přičemž obě smluvní strany obdrží její elektronický originál.</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Tato Smlouva podléhá zveřejnění dle zákona č. 340/2015 Sb. o zvláštních podmínkách účinnosti některých smluv, uveřejňování těchto smluv a o registru smluv (zákon o registru smluv), v platném a účinném znění.</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TDS souhlasí se zveřejněním případných informací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Smlouvy včetně všech jejich změn a dodatků na Profilu objednatele dle § 219 ZZVZ a v registru smluv dle zákona č. 340/2015 Sb. o zvláštních podmínkách účinnosti některých smluv, uveřejňování těchto smluv a o registru smluv (zákon o registru smluv). </w:t>
      </w:r>
      <w:r>
        <w:rPr>
          <w:b/>
          <w:bCs/>
          <w:color w:val="000000"/>
          <w:spacing w:val="0"/>
          <w:w w:val="100"/>
          <w:position w:val="0"/>
          <w:shd w:val="clear" w:color="auto" w:fill="auto"/>
          <w:lang w:val="cs-CZ" w:eastAsia="cs-CZ" w:bidi="cs-CZ"/>
        </w:rPr>
        <w:t xml:space="preserve">Smlouvu bude </w:t>
      </w:r>
      <w:r>
        <w:rPr>
          <w:color w:val="000000"/>
          <w:spacing w:val="0"/>
          <w:w w:val="100"/>
          <w:position w:val="0"/>
          <w:shd w:val="clear" w:color="auto" w:fill="auto"/>
          <w:lang w:val="cs-CZ" w:eastAsia="cs-CZ" w:bidi="cs-CZ"/>
        </w:rPr>
        <w:t xml:space="preserve">dle vůle smluvních stran v souladu s příslušnými právními předpisy, zejména ve lhůtách stanovených příslušnými právními předpisy, </w:t>
      </w:r>
      <w:r>
        <w:rPr>
          <w:b/>
          <w:bCs/>
          <w:color w:val="000000"/>
          <w:spacing w:val="0"/>
          <w:w w:val="100"/>
          <w:position w:val="0"/>
          <w:shd w:val="clear" w:color="auto" w:fill="auto"/>
          <w:lang w:val="cs-CZ" w:eastAsia="cs-CZ" w:bidi="cs-CZ"/>
        </w:rPr>
        <w:t>zveřejňovat Objednatel</w:t>
      </w:r>
      <w:r>
        <w:rPr>
          <w:color w:val="000000"/>
          <w:spacing w:val="0"/>
          <w:w w:val="100"/>
          <w:position w:val="0"/>
          <w:shd w:val="clear" w:color="auto" w:fill="auto"/>
          <w:lang w:val="cs-CZ" w:eastAsia="cs-CZ" w:bidi="cs-CZ"/>
        </w:rPr>
        <w:t>.</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Smlouva je </w:t>
      </w:r>
      <w:r>
        <w:rPr>
          <w:b/>
          <w:bCs/>
          <w:color w:val="000000"/>
          <w:spacing w:val="0"/>
          <w:w w:val="100"/>
          <w:position w:val="0"/>
          <w:u w:val="single"/>
          <w:shd w:val="clear" w:color="auto" w:fill="auto"/>
          <w:lang w:val="cs-CZ" w:eastAsia="cs-CZ" w:bidi="cs-CZ"/>
        </w:rPr>
        <w:t>platná</w:t>
      </w:r>
      <w:r>
        <w:rPr>
          <w:b/>
          <w:bCs/>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b/>
          <w:bCs/>
          <w:color w:val="000000"/>
          <w:spacing w:val="0"/>
          <w:w w:val="100"/>
          <w:position w:val="0"/>
          <w:shd w:val="clear" w:color="auto" w:fill="auto"/>
          <w:lang w:val="cs-CZ" w:eastAsia="cs-CZ" w:bidi="cs-CZ"/>
        </w:rPr>
        <w:t xml:space="preserve">Smlouva je uzavírána s odloženou účinností, </w:t>
      </w:r>
      <w:r>
        <w:rPr>
          <w:color w:val="000000"/>
          <w:spacing w:val="0"/>
          <w:w w:val="100"/>
          <w:position w:val="0"/>
          <w:shd w:val="clear" w:color="auto" w:fill="auto"/>
          <w:lang w:val="cs-CZ" w:eastAsia="cs-CZ" w:bidi="cs-CZ"/>
        </w:rPr>
        <w:t xml:space="preserve">přičemž tato </w:t>
      </w:r>
      <w:r>
        <w:rPr>
          <w:b/>
          <w:bCs/>
          <w:color w:val="000000"/>
          <w:spacing w:val="0"/>
          <w:w w:val="100"/>
          <w:position w:val="0"/>
          <w:shd w:val="clear" w:color="auto" w:fill="auto"/>
          <w:lang w:val="cs-CZ" w:eastAsia="cs-CZ" w:bidi="cs-CZ"/>
        </w:rPr>
        <w:t xml:space="preserve">Smlouva nabývá </w:t>
      </w:r>
      <w:r>
        <w:rPr>
          <w:b/>
          <w:bCs/>
          <w:color w:val="000000"/>
          <w:spacing w:val="0"/>
          <w:w w:val="100"/>
          <w:position w:val="0"/>
          <w:u w:val="single"/>
          <w:shd w:val="clear" w:color="auto" w:fill="auto"/>
          <w:lang w:val="cs-CZ" w:eastAsia="cs-CZ" w:bidi="cs-CZ"/>
        </w:rPr>
        <w:t>účinnosti</w:t>
      </w:r>
      <w:r>
        <w:rPr>
          <w:b/>
          <w:bCs/>
          <w:color w:val="000000"/>
          <w:spacing w:val="0"/>
          <w:w w:val="100"/>
          <w:position w:val="0"/>
          <w:shd w:val="clear" w:color="auto" w:fill="auto"/>
          <w:lang w:val="cs-CZ" w:eastAsia="cs-CZ" w:bidi="cs-CZ"/>
        </w:rPr>
        <w:t xml:space="preserve"> dnem odeslání písemné výzvy </w:t>
      </w:r>
      <w:r>
        <w:rPr>
          <w:color w:val="000000"/>
          <w:spacing w:val="0"/>
          <w:w w:val="100"/>
          <w:position w:val="0"/>
          <w:shd w:val="clear" w:color="auto" w:fill="auto"/>
          <w:lang w:val="cs-CZ" w:eastAsia="cs-CZ" w:bidi="cs-CZ"/>
        </w:rPr>
        <w:t>TDS k zahájení činnosti.</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Objednatel je povinen po nabytí účinnosti Smlouvy na realizaci stavby zaslat TDS </w:t>
      </w:r>
      <w:r>
        <w:rPr>
          <w:b/>
          <w:bCs/>
          <w:color w:val="000000"/>
          <w:spacing w:val="0"/>
          <w:w w:val="100"/>
          <w:position w:val="0"/>
          <w:shd w:val="clear" w:color="auto" w:fill="auto"/>
          <w:lang w:val="cs-CZ" w:eastAsia="cs-CZ" w:bidi="cs-CZ"/>
        </w:rPr>
        <w:t>písemnou výzvu k zahájení činnosti</w:t>
      </w:r>
      <w:r>
        <w:rPr>
          <w:color w:val="000000"/>
          <w:spacing w:val="0"/>
          <w:w w:val="100"/>
          <w:position w:val="0"/>
          <w:shd w:val="clear" w:color="auto" w:fill="auto"/>
          <w:lang w:val="cs-CZ" w:eastAsia="cs-CZ" w:bidi="cs-CZ"/>
        </w:rPr>
        <w:t>.</w:t>
      </w:r>
    </w:p>
    <w:p>
      <w:pPr>
        <w:pStyle w:val="Style16"/>
        <w:keepNext w:val="0"/>
        <w:keepLines w:val="0"/>
        <w:widowControl w:val="0"/>
        <w:numPr>
          <w:ilvl w:val="0"/>
          <w:numId w:val="17"/>
        </w:numPr>
        <w:shd w:val="clear" w:color="auto" w:fill="auto"/>
        <w:tabs>
          <w:tab w:pos="710" w:val="left"/>
        </w:tabs>
        <w:bidi w:val="0"/>
        <w:spacing w:before="0" w:after="100" w:line="240" w:lineRule="auto"/>
        <w:ind w:left="0" w:right="0" w:firstLine="0"/>
        <w:jc w:val="both"/>
      </w:pPr>
      <w:r>
        <w:rPr>
          <w:color w:val="000000"/>
          <w:spacing w:val="0"/>
          <w:w w:val="100"/>
          <w:position w:val="0"/>
          <w:shd w:val="clear" w:color="auto" w:fill="auto"/>
          <w:lang w:val="cs-CZ" w:eastAsia="cs-CZ" w:bidi="cs-CZ"/>
        </w:rPr>
        <w:t xml:space="preserve">Pokud Objednatel TDS neodešle písemnou výzvu k zahájení činnosti </w:t>
      </w:r>
      <w:r>
        <w:rPr>
          <w:b/>
          <w:bCs/>
          <w:color w:val="000000"/>
          <w:spacing w:val="0"/>
          <w:w w:val="100"/>
          <w:position w:val="0"/>
          <w:shd w:val="clear" w:color="auto" w:fill="auto"/>
          <w:lang w:val="cs-CZ" w:eastAsia="cs-CZ" w:bidi="cs-CZ"/>
        </w:rPr>
        <w:t xml:space="preserve">ani do 18. 09. 2023, nenabude Smlouva účinnosti a bez dalšího tímto dnem pozbude i své platnosti. </w:t>
      </w:r>
      <w:r>
        <w:rPr>
          <w:color w:val="000000"/>
          <w:spacing w:val="0"/>
          <w:w w:val="100"/>
          <w:position w:val="0"/>
          <w:shd w:val="clear" w:color="auto" w:fill="auto"/>
          <w:lang w:val="cs-CZ" w:eastAsia="cs-CZ" w:bidi="cs-CZ"/>
        </w:rPr>
        <w:t>V takovém případě nevzniká TDS nárok na náhradu škody nebo ušlého zisku a s tímto vědomím TDS Smlouvu podepisuje.</w:t>
      </w:r>
    </w:p>
    <w:p>
      <w:pPr>
        <w:pStyle w:val="Style16"/>
        <w:keepNext w:val="0"/>
        <w:keepLines w:val="0"/>
        <w:widowControl w:val="0"/>
        <w:numPr>
          <w:ilvl w:val="0"/>
          <w:numId w:val="17"/>
        </w:numPr>
        <w:shd w:val="clear" w:color="auto" w:fill="auto"/>
        <w:tabs>
          <w:tab w:pos="710" w:val="left"/>
        </w:tabs>
        <w:bidi w:val="0"/>
        <w:spacing w:before="0" w:after="820" w:line="240" w:lineRule="auto"/>
        <w:ind w:left="0" w:right="0" w:firstLine="0"/>
        <w:jc w:val="both"/>
      </w:pPr>
      <w:r>
        <mc:AlternateContent>
          <mc:Choice Requires="wps">
            <w:drawing>
              <wp:anchor distT="0" distB="222885" distL="114300" distR="114300" simplePos="0" relativeHeight="125829380" behindDoc="0" locked="0" layoutInCell="1" allowOverlap="1">
                <wp:simplePos x="0" y="0"/>
                <wp:positionH relativeFrom="page">
                  <wp:posOffset>732155</wp:posOffset>
                </wp:positionH>
                <wp:positionV relativeFrom="paragraph">
                  <wp:posOffset>584200</wp:posOffset>
                </wp:positionV>
                <wp:extent cx="951230" cy="405130"/>
                <wp:wrapSquare wrapText="bothSides"/>
                <wp:docPr id="47" name="Shape 47"/>
                <a:graphic xmlns:a="http://schemas.openxmlformats.org/drawingml/2006/main">
                  <a:graphicData uri="http://schemas.microsoft.com/office/word/2010/wordprocessingShape">
                    <wps:wsp>
                      <wps:cNvSpPr txBox="1"/>
                      <wps:spPr>
                        <a:xfrm>
                          <a:ext cx="951230" cy="405130"/>
                        </a:xfrm>
                        <a:prstGeom prst="rect"/>
                        <a:noFill/>
                      </wps:spPr>
                      <wps:txbx>
                        <w:txbxContent>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wps:txbx>
                      <wps:bodyPr lIns="0" tIns="0" rIns="0" bIns="0">
                        <a:noAutoFit/>
                      </wps:bodyPr>
                    </wps:wsp>
                  </a:graphicData>
                </a:graphic>
              </wp:anchor>
            </w:drawing>
          </mc:Choice>
          <mc:Fallback>
            <w:pict>
              <v:shape id="_x0000_s1073" type="#_x0000_t202" style="position:absolute;margin-left:57.649999999999999pt;margin-top:46.pt;width:74.900000000000006pt;height:31.899999999999999pt;z-index:-125829373;mso-wrap-distance-left:9.pt;mso-wrap-distance-right:9.pt;mso-wrap-distance-bottom:17.550000000000001pt;mso-position-horizontal-relative:page" filled="f" stroked="f">
                <v:textbox inset="0,0,0,0">
                  <w:txbxContent>
                    <w:p>
                      <w:pPr>
                        <w:pStyle w:val="Style16"/>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Přílohy:</w:t>
                      </w:r>
                    </w:p>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1</w:t>
                      </w:r>
                    </w:p>
                  </w:txbxContent>
                </v:textbox>
                <w10:wrap type="square" anchorx="page"/>
              </v:shape>
            </w:pict>
          </mc:Fallback>
        </mc:AlternateContent>
      </w:r>
      <w:r>
        <mc:AlternateContent>
          <mc:Choice Requires="wps">
            <w:drawing>
              <wp:anchor distT="445135" distB="0" distL="117475" distR="114300" simplePos="0" relativeHeight="125829382" behindDoc="0" locked="0" layoutInCell="1" allowOverlap="1">
                <wp:simplePos x="0" y="0"/>
                <wp:positionH relativeFrom="page">
                  <wp:posOffset>735330</wp:posOffset>
                </wp:positionH>
                <wp:positionV relativeFrom="paragraph">
                  <wp:posOffset>1029335</wp:posOffset>
                </wp:positionV>
                <wp:extent cx="948055" cy="182880"/>
                <wp:wrapSquare wrapText="bothSides"/>
                <wp:docPr id="49" name="Shape 49"/>
                <a:graphic xmlns:a="http://schemas.openxmlformats.org/drawingml/2006/main">
                  <a:graphicData uri="http://schemas.microsoft.com/office/word/2010/wordprocessingShape">
                    <wps:wsp>
                      <wps:cNvSpPr txBox="1"/>
                      <wps:spPr>
                        <a:xfrm>
                          <a:ext cx="948055" cy="182880"/>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wps:txbx>
                      <wps:bodyPr wrap="none" lIns="0" tIns="0" rIns="0" bIns="0">
                        <a:noAutoFit/>
                      </wps:bodyPr>
                    </wps:wsp>
                  </a:graphicData>
                </a:graphic>
              </wp:anchor>
            </w:drawing>
          </mc:Choice>
          <mc:Fallback>
            <w:pict>
              <v:shape id="_x0000_s1075" type="#_x0000_t202" style="position:absolute;margin-left:57.899999999999999pt;margin-top:81.049999999999997pt;width:74.650000000000006pt;height:14.4pt;z-index:-125829371;mso-wrap-distance-left:9.25pt;mso-wrap-distance-top:35.049999999999997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rFonts w:ascii="Courier New" w:eastAsia="Courier New" w:hAnsi="Courier New" w:cs="Courier New"/>
                          <w:color w:val="000000"/>
                          <w:spacing w:val="0"/>
                          <w:w w:val="100"/>
                          <w:position w:val="0"/>
                          <w:shd w:val="clear" w:color="auto" w:fill="auto"/>
                          <w:lang w:val="cs-CZ" w:eastAsia="cs-CZ" w:bidi="cs-CZ"/>
                        </w:rPr>
                        <w:t xml:space="preserve">o </w:t>
                      </w:r>
                      <w:r>
                        <w:rPr>
                          <w:b/>
                          <w:bCs/>
                          <w:color w:val="000000"/>
                          <w:spacing w:val="0"/>
                          <w:w w:val="100"/>
                          <w:position w:val="0"/>
                          <w:shd w:val="clear" w:color="auto" w:fill="auto"/>
                          <w:lang w:val="cs-CZ" w:eastAsia="cs-CZ" w:bidi="cs-CZ"/>
                        </w:rPr>
                        <w:t>Příloha č. 2</w:t>
                      </w:r>
                    </w:p>
                  </w:txbxContent>
                </v:textbox>
                <w10:wrap type="square" anchorx="page"/>
              </v:shape>
            </w:pict>
          </mc:Fallback>
        </mc:AlternateContent>
      </w:r>
      <w:r>
        <w:rPr>
          <w:color w:val="000000"/>
          <w:spacing w:val="0"/>
          <w:w w:val="100"/>
          <w:position w:val="0"/>
          <w:shd w:val="clear" w:color="auto" w:fill="auto"/>
          <w:lang w:val="cs-CZ" w:eastAsia="cs-CZ" w:bidi="cs-CZ"/>
        </w:rPr>
        <w:t>Smluvní strany prohlašují, že si smlouvu před podpisem přečetly, s jejím obsahem souhlasí a na důkaz svobodné a vážné vůle připojují své podpisy.</w:t>
      </w:r>
    </w:p>
    <w:p>
      <w:pPr>
        <w:pStyle w:val="Style16"/>
        <w:keepNext w:val="0"/>
        <w:keepLines w:val="0"/>
        <w:widowControl w:val="0"/>
        <w:shd w:val="clear" w:color="auto" w:fill="auto"/>
        <w:bidi w:val="0"/>
        <w:spacing w:before="0" w:after="100" w:line="240" w:lineRule="auto"/>
        <w:ind w:left="0" w:right="0" w:firstLine="460"/>
        <w:jc w:val="left"/>
      </w:pPr>
      <w:r>
        <w:rPr>
          <w:b/>
          <w:bCs/>
          <w:color w:val="000000"/>
          <w:spacing w:val="0"/>
          <w:w w:val="100"/>
          <w:position w:val="0"/>
          <w:shd w:val="clear" w:color="auto" w:fill="auto"/>
          <w:lang w:val="cs-CZ" w:eastAsia="cs-CZ" w:bidi="cs-CZ"/>
        </w:rPr>
        <w:t>Kalkulace odměny TDS</w:t>
      </w:r>
    </w:p>
    <w:p>
      <w:pPr>
        <w:pStyle w:val="Style16"/>
        <w:keepNext w:val="0"/>
        <w:keepLines w:val="0"/>
        <w:widowControl w:val="0"/>
        <w:shd w:val="clear" w:color="auto" w:fill="auto"/>
        <w:bidi w:val="0"/>
        <w:spacing w:before="0" w:after="340" w:line="240" w:lineRule="auto"/>
        <w:ind w:left="0" w:right="0" w:firstLine="460"/>
        <w:jc w:val="left"/>
      </w:pPr>
      <w:r>
        <w:rPr>
          <w:b/>
          <w:bCs/>
          <w:color w:val="000000"/>
          <w:spacing w:val="0"/>
          <w:w w:val="100"/>
          <w:position w:val="0"/>
          <w:shd w:val="clear" w:color="auto" w:fill="auto"/>
          <w:lang w:val="cs-CZ" w:eastAsia="cs-CZ" w:bidi="cs-CZ"/>
        </w:rPr>
        <w:t>Údaje, které jsou součástí ujednání a nebudou zveřejněny v Registru smluv</w:t>
      </w:r>
    </w:p>
    <w:p>
      <w:pPr>
        <w:pStyle w:val="Style16"/>
        <w:keepNext w:val="0"/>
        <w:keepLines w:val="0"/>
        <w:widowControl w:val="0"/>
        <w:shd w:val="clear" w:color="auto" w:fill="auto"/>
        <w:bidi w:val="0"/>
        <w:spacing w:before="0" w:after="100" w:line="240" w:lineRule="auto"/>
        <w:ind w:left="0" w:right="0" w:firstLine="0"/>
        <w:jc w:val="both"/>
      </w:pPr>
      <w:r>
        <w:rPr>
          <w:color w:val="000000"/>
          <w:spacing w:val="0"/>
          <w:w w:val="100"/>
          <w:position w:val="0"/>
          <w:shd w:val="clear" w:color="auto" w:fill="auto"/>
          <w:lang w:val="cs-CZ" w:eastAsia="cs-CZ" w:bidi="cs-CZ"/>
        </w:rPr>
        <w:t>NA DŮKAZ SVÉHO SOUHLASU S OBSAHEM TÉTO SMLOUVY K NÍ SMLUVNÍ STRANY PŘIPOJILY SVÉ UZNÁVANÉ ELEKTRONICKÉ PODPISY DLE ZÁKONA Č. 297/2016 SB., O SLUŽBÁCH VYTVÁŘEJÍCÍCH DŮVĚRU PRO ELEKTRONICKÉ TRANSAKCE, VE ZNĚNÍ POZDĚJŠÍCH PŘEDPISŮ.</w:t>
      </w:r>
      <w:r>
        <w:br w:type="page"/>
      </w:r>
    </w:p>
    <w:p>
      <w:pPr>
        <w:pStyle w:val="Style16"/>
        <w:keepNext w:val="0"/>
        <w:keepLines w:val="0"/>
        <w:widowControl w:val="0"/>
        <w:shd w:val="clear" w:color="auto" w:fill="auto"/>
        <w:bidi w:val="0"/>
        <w:spacing w:before="0" w:after="0" w:line="240" w:lineRule="auto"/>
        <w:ind w:left="4260" w:right="0" w:firstLine="0"/>
        <w:jc w:val="left"/>
        <w:sectPr>
          <w:headerReference w:type="default" r:id="rId13"/>
          <w:footerReference w:type="default" r:id="rId14"/>
          <w:headerReference w:type="even" r:id="rId15"/>
          <w:footerReference w:type="even" r:id="rId16"/>
          <w:footnotePr>
            <w:pos w:val="pageBottom"/>
            <w:numFmt w:val="decimal"/>
            <w:numRestart w:val="continuous"/>
          </w:footnotePr>
          <w:type w:val="continuous"/>
          <w:pgSz w:w="12240" w:h="15840"/>
          <w:pgMar w:top="1968" w:left="1153" w:right="1291" w:bottom="1277" w:header="0" w:footer="3" w:gutter="0"/>
          <w:cols w:space="720"/>
          <w:noEndnote/>
          <w:rtlGutter w:val="0"/>
          <w:docGrid w:linePitch="360"/>
        </w:sectPr>
      </w:pPr>
      <w:r>
        <mc:AlternateContent>
          <mc:Choice Requires="wps">
            <w:drawing>
              <wp:anchor distT="0" distB="0" distL="114300" distR="114300" simplePos="0" relativeHeight="125829384" behindDoc="0" locked="0" layoutInCell="1" allowOverlap="1">
                <wp:simplePos x="0" y="0"/>
                <wp:positionH relativeFrom="page">
                  <wp:posOffset>735330</wp:posOffset>
                </wp:positionH>
                <wp:positionV relativeFrom="paragraph">
                  <wp:posOffset>12700</wp:posOffset>
                </wp:positionV>
                <wp:extent cx="328930" cy="170815"/>
                <wp:wrapSquare wrapText="right"/>
                <wp:docPr id="75" name="Shape 75"/>
                <a:graphic xmlns:a="http://schemas.openxmlformats.org/drawingml/2006/main">
                  <a:graphicData uri="http://schemas.microsoft.com/office/word/2010/wordprocessingShape">
                    <wps:wsp>
                      <wps:cNvSpPr txBox="1"/>
                      <wps:spPr>
                        <a:xfrm>
                          <a:ext cx="328930" cy="170815"/>
                        </a:xfrm>
                        <a:prstGeom prst="rect"/>
                        <a:noFill/>
                      </wps:spPr>
                      <wps:txbx>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wps:txbx>
                      <wps:bodyPr wrap="none" lIns="0" tIns="0" rIns="0" bIns="0">
                        <a:noAutoFit/>
                      </wps:bodyPr>
                    </wps:wsp>
                  </a:graphicData>
                </a:graphic>
              </wp:anchor>
            </w:drawing>
          </mc:Choice>
          <mc:Fallback>
            <w:pict>
              <v:shape id="_x0000_s1101" type="#_x0000_t202" style="position:absolute;margin-left:57.899999999999999pt;margin-top:1.pt;width:25.899999999999999pt;height:13.449999999999999pt;z-index:-125829369;mso-wrap-distance-left:9.pt;mso-wrap-distance-right:9.pt;mso-position-horizontal-relative:page" filled="f" stroked="f">
                <v:textbox inset="0,0,0,0">
                  <w:txbxContent>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TDS:</w:t>
                      </w:r>
                    </w:p>
                  </w:txbxContent>
                </v:textbox>
                <w10:wrap type="square" side="right" anchorx="page"/>
              </v:shape>
            </w:pict>
          </mc:Fallback>
        </mc:AlternateContent>
      </w:r>
      <w:r>
        <w:rPr>
          <w:color w:val="000000"/>
          <w:spacing w:val="0"/>
          <w:w w:val="100"/>
          <w:position w:val="0"/>
          <w:shd w:val="clear" w:color="auto" w:fill="auto"/>
          <w:lang w:val="cs-CZ" w:eastAsia="cs-CZ" w:bidi="cs-CZ"/>
        </w:rPr>
        <w:t>Objednatel:</w:t>
      </w:r>
    </w:p>
    <w:p>
      <w:pPr>
        <w:widowControl w:val="0"/>
        <w:spacing w:before="48" w:after="48"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968" w:left="0" w:right="0" w:bottom="10824" w:header="0" w:footer="3" w:gutter="0"/>
          <w:cols w:space="720"/>
          <w:noEndnote/>
          <w:rtlGutter w:val="0"/>
          <w:docGrid w:linePitch="360"/>
        </w:sectPr>
      </w:pPr>
    </w:p>
    <w:p>
      <w:pPr>
        <w:pStyle w:val="Style16"/>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w:t>
      </w:r>
      <w:r>
        <w:rPr>
          <w:b/>
          <w:bCs/>
          <w:color w:val="000000"/>
          <w:spacing w:val="0"/>
          <w:w w:val="100"/>
          <w:position w:val="0"/>
          <w:shd w:val="clear" w:color="auto" w:fill="auto"/>
          <w:lang w:val="cs-CZ" w:eastAsia="cs-CZ" w:bidi="cs-CZ"/>
        </w:rPr>
        <w:t xml:space="preserve">Jihlavě </w:t>
      </w:r>
      <w:r>
        <w:rPr>
          <w:color w:val="000000"/>
          <w:spacing w:val="0"/>
          <w:w w:val="100"/>
          <w:position w:val="0"/>
          <w:shd w:val="clear" w:color="auto" w:fill="auto"/>
          <w:lang w:val="cs-CZ" w:eastAsia="cs-CZ" w:bidi="cs-CZ"/>
        </w:rPr>
        <w:t>dne: viz podpis</w:t>
      </w:r>
    </w:p>
    <w:p>
      <w:pPr>
        <w:pStyle w:val="Style16"/>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2240" w:h="15840"/>
          <w:pgMar w:top="1968" w:left="1157" w:right="3859" w:bottom="10824" w:header="0" w:footer="3" w:gutter="0"/>
          <w:cols w:num="2" w:space="2614"/>
          <w:noEndnote/>
          <w:rtlGutter w:val="0"/>
          <w:docGrid w:linePitch="360"/>
        </w:sectPr>
      </w:pPr>
      <w:r>
        <w:rPr>
          <w:color w:val="000000"/>
          <w:spacing w:val="0"/>
          <w:w w:val="100"/>
          <w:position w:val="0"/>
          <w:shd w:val="clear" w:color="auto" w:fill="auto"/>
          <w:lang w:val="cs-CZ" w:eastAsia="cs-CZ" w:bidi="cs-CZ"/>
        </w:rPr>
        <w:t>V Jihlavě dne: viz podpis</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93" w:after="93" w:line="240" w:lineRule="exact"/>
        <w:rPr>
          <w:sz w:val="19"/>
          <w:szCs w:val="19"/>
        </w:rPr>
      </w:pPr>
    </w:p>
    <w:p>
      <w:pPr>
        <w:widowControl w:val="0"/>
        <w:spacing w:line="1" w:lineRule="exact"/>
        <w:sectPr>
          <w:footnotePr>
            <w:pos w:val="pageBottom"/>
            <w:numFmt w:val="decimal"/>
            <w:numRestart w:val="continuous"/>
          </w:footnotePr>
          <w:type w:val="continuous"/>
          <w:pgSz w:w="12240" w:h="15840"/>
          <w:pgMar w:top="1968" w:left="0" w:right="0" w:bottom="1968"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6" behindDoc="0" locked="0" layoutInCell="1" allowOverlap="1">
                <wp:simplePos x="0" y="0"/>
                <wp:positionH relativeFrom="page">
                  <wp:posOffset>805180</wp:posOffset>
                </wp:positionH>
                <wp:positionV relativeFrom="paragraph">
                  <wp:posOffset>12700</wp:posOffset>
                </wp:positionV>
                <wp:extent cx="1356360" cy="262255"/>
                <wp:wrapSquare wrapText="bothSides"/>
                <wp:docPr id="77" name="Shape 77"/>
                <a:graphic xmlns:a="http://schemas.openxmlformats.org/drawingml/2006/main">
                  <a:graphicData uri="http://schemas.microsoft.com/office/word/2010/wordprocessingShape">
                    <wps:wsp>
                      <wps:cNvSpPr txBox="1"/>
                      <wps:spPr>
                        <a:xfrm>
                          <a:ext cx="1356360" cy="262255"/>
                        </a:xfrm>
                        <a:prstGeom prst="rect"/>
                        <a:noFill/>
                      </wps:spPr>
                      <wps:txbx>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Radim Kytnar, prokurista Vysplan s.r.o.</w:t>
                            </w:r>
                          </w:p>
                        </w:txbxContent>
                      </wps:txbx>
                      <wps:bodyPr lIns="0" tIns="0" rIns="0" bIns="0">
                        <a:noAutoFit/>
                      </wps:bodyPr>
                    </wps:wsp>
                  </a:graphicData>
                </a:graphic>
              </wp:anchor>
            </w:drawing>
          </mc:Choice>
          <mc:Fallback>
            <w:pict>
              <v:shape id="_x0000_s1103" type="#_x0000_t202" style="position:absolute;margin-left:63.399999999999999pt;margin-top:1.pt;width:106.8pt;height:20.649999999999999pt;z-index:-125829367;mso-wrap-distance-left:0;mso-wrap-distance-right:0;mso-position-horizontal-relative:page" filled="f" stroked="f">
                <v:textbox inset="0,0,0,0">
                  <w:txbxContent>
                    <w:p>
                      <w:pPr>
                        <w:pStyle w:val="Style3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Radim Kytnar, prokurista Vysplan s.r.o.</w:t>
                      </w:r>
                    </w:p>
                  </w:txbxContent>
                </v:textbox>
                <w10:wrap type="square" anchorx="page"/>
              </v:shape>
            </w:pict>
          </mc:Fallback>
        </mc:AlternateContent>
      </w:r>
    </w:p>
    <w:p>
      <w:pPr>
        <w:pStyle w:val="Style33"/>
        <w:keepNext w:val="0"/>
        <w:keepLines w:val="0"/>
        <w:widowControl w:val="0"/>
        <w:shd w:val="clear" w:color="auto" w:fill="auto"/>
        <w:bidi w:val="0"/>
        <w:spacing w:before="0" w:after="0" w:line="240" w:lineRule="auto"/>
        <w:ind w:right="0" w:firstLine="0"/>
        <w:jc w:val="left"/>
        <w:sectPr>
          <w:footnotePr>
            <w:pos w:val="pageBottom"/>
            <w:numFmt w:val="decimal"/>
            <w:numRestart w:val="continuous"/>
          </w:footnotePr>
          <w:type w:val="continuous"/>
          <w:pgSz w:w="12240" w:h="15840"/>
          <w:pgMar w:top="1968" w:left="3403" w:right="3192" w:bottom="1968" w:header="0" w:footer="3" w:gutter="0"/>
          <w:cols w:space="720"/>
          <w:noEndnote/>
          <w:rtlGutter w:val="0"/>
          <w:docGrid w:linePitch="360"/>
        </w:sectPr>
      </w:pPr>
      <w:r>
        <w:rPr>
          <w:color w:val="000000"/>
          <w:spacing w:val="0"/>
          <w:w w:val="100"/>
          <w:position w:val="0"/>
          <w:shd w:val="clear" w:color="auto" w:fill="auto"/>
          <w:lang w:val="cs-CZ" w:eastAsia="cs-CZ" w:bidi="cs-CZ"/>
        </w:rPr>
        <w:t>Ing. Radovan Necid, ředitel organizace Krajská správa a údržba silnic Vysočiny, příspěvková organizace</w:t>
      </w:r>
    </w:p>
    <w:p>
      <w:pPr>
        <w:widowControl w:val="0"/>
        <w:spacing w:line="240" w:lineRule="exact"/>
        <w:rPr>
          <w:sz w:val="19"/>
          <w:szCs w:val="19"/>
        </w:rPr>
      </w:pPr>
    </w:p>
    <w:p>
      <w:pPr>
        <w:widowControl w:val="0"/>
        <w:spacing w:before="39" w:after="39" w:line="240" w:lineRule="exact"/>
        <w:rPr>
          <w:sz w:val="19"/>
          <w:szCs w:val="19"/>
        </w:rPr>
      </w:pPr>
    </w:p>
    <w:p>
      <w:pPr>
        <w:widowControl w:val="0"/>
        <w:spacing w:line="1" w:lineRule="exact"/>
        <w:sectPr>
          <w:headerReference w:type="default" r:id="rId17"/>
          <w:footerReference w:type="default" r:id="rId18"/>
          <w:headerReference w:type="even" r:id="rId19"/>
          <w:footerReference w:type="even" r:id="rId20"/>
          <w:footnotePr>
            <w:pos w:val="pageBottom"/>
            <w:numFmt w:val="decimal"/>
            <w:numRestart w:val="continuous"/>
          </w:footnotePr>
          <w:pgSz w:w="12240" w:h="15840"/>
          <w:pgMar w:top="1358" w:left="1157" w:right="1291" w:bottom="1017" w:header="0" w:footer="3" w:gutter="0"/>
          <w:cols w:space="720"/>
          <w:noEndnote/>
          <w:rtlGutter w:val="0"/>
          <w:docGrid w:linePitch="360"/>
        </w:sectPr>
      </w:pPr>
    </w:p>
    <w:p>
      <w:pPr>
        <w:pStyle w:val="Style16"/>
        <w:keepNext w:val="0"/>
        <w:keepLines w:val="0"/>
        <w:framePr w:w="1133" w:h="269" w:wrap="none" w:vAnchor="text" w:hAnchor="page" w:x="9817" w:y="21"/>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Příloha č. 2</w:t>
      </w:r>
    </w:p>
    <w:p>
      <w:pPr>
        <w:pStyle w:val="Style12"/>
        <w:keepNext/>
        <w:keepLines/>
        <w:framePr w:w="8760" w:h="326" w:wrap="none" w:vAnchor="text" w:hAnchor="page" w:x="1676" w:y="697"/>
        <w:widowControl w:val="0"/>
        <w:shd w:val="clear" w:color="auto" w:fill="auto"/>
        <w:bidi w:val="0"/>
        <w:spacing w:before="0" w:after="0" w:line="240" w:lineRule="auto"/>
        <w:ind w:left="0" w:right="0" w:firstLine="0"/>
        <w:jc w:val="left"/>
      </w:pPr>
      <w:bookmarkStart w:id="8" w:name="bookmark8"/>
      <w:bookmarkStart w:id="9" w:name="bookmark9"/>
      <w:r>
        <w:rPr>
          <w:color w:val="000000"/>
          <w:spacing w:val="0"/>
          <w:w w:val="100"/>
          <w:position w:val="0"/>
          <w:sz w:val="24"/>
          <w:szCs w:val="24"/>
          <w:shd w:val="clear" w:color="auto" w:fill="auto"/>
          <w:lang w:val="cs-CZ" w:eastAsia="cs-CZ" w:bidi="cs-CZ"/>
        </w:rPr>
        <w:t>Údaje, které jsou součástí ujednání a nebudou zveřejněny v Registru smluv:</w:t>
      </w:r>
      <w:bookmarkEnd w:id="8"/>
      <w:bookmarkEnd w:id="9"/>
    </w:p>
    <w:p>
      <w:pPr>
        <w:pStyle w:val="Style16"/>
        <w:keepNext w:val="0"/>
        <w:keepLines w:val="0"/>
        <w:framePr w:w="6240" w:h="1426" w:wrap="none" w:vAnchor="text" w:hAnchor="page" w:x="1158" w:y="179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6"/>
        <w:keepNext w:val="0"/>
        <w:keepLines w:val="0"/>
        <w:framePr w:w="6240" w:h="1426" w:wrap="none" w:vAnchor="text" w:hAnchor="page" w:x="1158" w:y="1796"/>
        <w:widowControl w:val="0"/>
        <w:shd w:val="clear" w:color="auto" w:fill="auto"/>
        <w:bidi w:val="0"/>
        <w:spacing w:before="0" w:after="220" w:line="240" w:lineRule="auto"/>
        <w:ind w:left="0" w:right="0" w:firstLine="0"/>
        <w:jc w:val="left"/>
      </w:pPr>
      <w:r>
        <w:rPr>
          <w:b/>
          <w:bCs/>
          <w:color w:val="000000"/>
          <w:spacing w:val="0"/>
          <w:w w:val="100"/>
          <w:position w:val="0"/>
          <w:shd w:val="clear" w:color="auto" w:fill="auto"/>
          <w:lang w:val="cs-CZ" w:eastAsia="cs-CZ" w:bidi="cs-CZ"/>
        </w:rPr>
        <w:t xml:space="preserve">Krajská správa a údržba silnic Vysočiny, příspěvková organizace </w:t>
      </w:r>
      <w:r>
        <w:rPr>
          <w:color w:val="000000"/>
          <w:spacing w:val="0"/>
          <w:w w:val="100"/>
          <w:position w:val="0"/>
          <w:shd w:val="clear" w:color="auto" w:fill="auto"/>
          <w:lang w:val="cs-CZ" w:eastAsia="cs-CZ" w:bidi="cs-CZ"/>
        </w:rPr>
        <w:t>Číslo účtu:</w:t>
      </w:r>
    </w:p>
    <w:p>
      <w:pPr>
        <w:pStyle w:val="Style16"/>
        <w:keepNext w:val="0"/>
        <w:keepLines w:val="0"/>
        <w:framePr w:w="6240" w:h="1426" w:wrap="none" w:vAnchor="text" w:hAnchor="page" w:x="1158" w:y="179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objednatele ve věcech Technických:</w:t>
      </w:r>
    </w:p>
    <w:p>
      <w:pPr>
        <w:pStyle w:val="Style16"/>
        <w:keepNext w:val="0"/>
        <w:keepLines w:val="0"/>
        <w:framePr w:w="1363" w:h="730" w:wrap="none" w:vAnchor="text" w:hAnchor="page" w:x="1158" w:y="527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Dodavatel:</w:t>
      </w:r>
    </w:p>
    <w:p>
      <w:pPr>
        <w:pStyle w:val="Style16"/>
        <w:keepNext w:val="0"/>
        <w:keepLines w:val="0"/>
        <w:framePr w:w="1363" w:h="730" w:wrap="none" w:vAnchor="text" w:hAnchor="page" w:x="1158" w:y="5276"/>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Vysplan s.r.o.</w:t>
      </w:r>
    </w:p>
    <w:p>
      <w:pPr>
        <w:pStyle w:val="Style16"/>
        <w:keepNext w:val="0"/>
        <w:keepLines w:val="0"/>
        <w:framePr w:w="1363" w:h="730" w:wrap="none" w:vAnchor="text" w:hAnchor="page" w:x="1158" w:y="5276"/>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pStyle w:val="Style16"/>
        <w:keepNext w:val="0"/>
        <w:keepLines w:val="0"/>
        <w:framePr w:w="4862" w:h="494" w:wrap="none" w:vAnchor="text" w:hAnchor="page" w:x="1158" w:y="6428"/>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Osoby pověřené jednat jménem zhotovitele ve věcech smluvních:</w:t>
      </w:r>
    </w:p>
    <w:p>
      <w:pPr>
        <w:pStyle w:val="Style16"/>
        <w:keepNext w:val="0"/>
        <w:keepLines w:val="0"/>
        <w:framePr w:w="1886" w:h="499" w:wrap="none" w:vAnchor="text" w:hAnchor="page" w:x="1158" w:y="75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technických:</w:t>
      </w:r>
    </w:p>
    <w:p>
      <w:pPr>
        <w:pStyle w:val="Style16"/>
        <w:keepNext w:val="0"/>
        <w:keepLines w:val="0"/>
        <w:framePr w:w="1886" w:h="499" w:wrap="none" w:vAnchor="text" w:hAnchor="page" w:x="1158" w:y="7575"/>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Autorizovaná osoba: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513" w:line="1" w:lineRule="exact"/>
      </w:pPr>
    </w:p>
    <w:p>
      <w:pPr>
        <w:widowControl w:val="0"/>
        <w:spacing w:line="1" w:lineRule="exact"/>
        <w:sectPr>
          <w:footnotePr>
            <w:pos w:val="pageBottom"/>
            <w:numFmt w:val="decimal"/>
            <w:numRestart w:val="continuous"/>
          </w:footnotePr>
          <w:type w:val="continuous"/>
          <w:pgSz w:w="12240" w:h="15840"/>
          <w:pgMar w:top="1358" w:left="1157" w:right="1291" w:bottom="1017" w:header="0" w:footer="3" w:gutter="0"/>
          <w:cols w:space="720"/>
          <w:noEndnote/>
          <w:rtlGutter w:val="0"/>
          <w:docGrid w:linePitch="360"/>
        </w:sectPr>
      </w:pPr>
    </w:p>
    <w:tbl>
      <w:tblPr>
        <w:tblOverlap w:val="never"/>
        <w:jc w:val="center"/>
        <w:tblLayout w:type="fixed"/>
      </w:tblPr>
      <w:tblGrid>
        <w:gridCol w:w="509"/>
        <w:gridCol w:w="5438"/>
        <w:gridCol w:w="1411"/>
        <w:gridCol w:w="1526"/>
      </w:tblGrid>
      <w:tr>
        <w:trPr>
          <w:trHeight w:val="451" w:hRule="exact"/>
        </w:trPr>
        <w:tc>
          <w:tcPr>
            <w:gridSpan w:val="4"/>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cs-CZ" w:eastAsia="cs-CZ" w:bidi="cs-CZ"/>
              </w:rPr>
              <w:t>Příloha č. 1</w:t>
            </w:r>
          </w:p>
        </w:tc>
      </w:tr>
      <w:tr>
        <w:trPr>
          <w:trHeight w:val="499" w:hRule="exact"/>
        </w:trPr>
        <w:tc>
          <w:tcPr>
            <w:gridSpan w:val="4"/>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9"/>
                <w:szCs w:val="19"/>
              </w:rPr>
            </w:pPr>
            <w:r>
              <w:rPr>
                <w:b/>
                <w:bCs/>
                <w:color w:val="000000"/>
                <w:spacing w:val="0"/>
                <w:w w:val="100"/>
                <w:position w:val="0"/>
                <w:sz w:val="19"/>
                <w:szCs w:val="19"/>
                <w:shd w:val="clear" w:color="auto" w:fill="auto"/>
                <w:lang w:val="cs-CZ" w:eastAsia="cs-CZ" w:bidi="cs-CZ"/>
              </w:rPr>
              <w:t>Kalkulace odměny TDS pro dopravní / pozemní stavby</w:t>
            </w:r>
          </w:p>
        </w:tc>
      </w:tr>
      <w:tr>
        <w:trPr>
          <w:trHeight w:val="451" w:hRule="exact"/>
        </w:trPr>
        <w:tc>
          <w:tcPr>
            <w:gridSpan w:val="4"/>
            <w:tcBorders>
              <w:top w:val="single" w:sz="4"/>
              <w:left w:val="single" w:sz="4"/>
              <w:right w:val="single" w:sz="4"/>
            </w:tcBorders>
            <w:shd w:val="clear" w:color="auto" w:fill="FFFF00"/>
            <w:vAlign w:val="center"/>
          </w:tcPr>
          <w:p>
            <w:pPr>
              <w:pStyle w:val="Style21"/>
              <w:keepNext w:val="0"/>
              <w:keepLines w:val="0"/>
              <w:widowControl w:val="0"/>
              <w:shd w:val="clear" w:color="auto" w:fill="auto"/>
              <w:bidi w:val="0"/>
              <w:spacing w:before="0" w:after="0" w:line="240" w:lineRule="auto"/>
              <w:ind w:left="0" w:right="0" w:firstLine="0"/>
              <w:jc w:val="left"/>
              <w:rPr>
                <w:sz w:val="16"/>
                <w:szCs w:val="16"/>
              </w:rPr>
            </w:pPr>
            <w:r>
              <w:rPr>
                <w:b/>
                <w:bCs/>
                <w:i/>
                <w:iCs/>
                <w:color w:val="000000"/>
                <w:spacing w:val="0"/>
                <w:w w:val="100"/>
                <w:position w:val="0"/>
                <w:sz w:val="16"/>
                <w:szCs w:val="16"/>
                <w:shd w:val="clear" w:color="auto" w:fill="auto"/>
                <w:lang w:val="cs-CZ" w:eastAsia="cs-CZ" w:bidi="cs-CZ"/>
              </w:rPr>
              <w:t>Název</w:t>
            </w:r>
            <w:r>
              <w:rPr>
                <w:b/>
                <w:bCs/>
                <w:color w:val="000000"/>
                <w:spacing w:val="0"/>
                <w:w w:val="100"/>
                <w:position w:val="0"/>
                <w:sz w:val="16"/>
                <w:szCs w:val="16"/>
                <w:shd w:val="clear" w:color="auto" w:fill="auto"/>
                <w:lang w:val="cs-CZ" w:eastAsia="cs-CZ" w:bidi="cs-CZ"/>
              </w:rPr>
              <w:t xml:space="preserve"> akce: "III/36068 Šebkovice - křiž. 111/36072"</w:t>
            </w:r>
          </w:p>
        </w:tc>
      </w:tr>
      <w:tr>
        <w:trPr>
          <w:trHeight w:val="326" w:hRule="exact"/>
        </w:trPr>
        <w:tc>
          <w:tcPr>
            <w:vMerge w:val="restart"/>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180"/>
              <w:jc w:val="both"/>
              <w:rPr>
                <w:sz w:val="14"/>
                <w:szCs w:val="14"/>
              </w:rPr>
            </w:pPr>
            <w:r>
              <w:rPr>
                <w:b/>
                <w:bCs/>
                <w:color w:val="000000"/>
                <w:spacing w:val="0"/>
                <w:w w:val="100"/>
                <w:position w:val="0"/>
                <w:sz w:val="14"/>
                <w:szCs w:val="14"/>
                <w:shd w:val="clear" w:color="auto" w:fill="auto"/>
                <w:lang w:val="cs-CZ" w:eastAsia="cs-CZ" w:bidi="cs-CZ"/>
              </w:rPr>
              <w:t>Č.</w:t>
            </w:r>
          </w:p>
        </w:tc>
        <w:tc>
          <w:tcPr>
            <w:vMerge w:val="restart"/>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Popis prací</w:t>
            </w:r>
          </w:p>
        </w:tc>
        <w:tc>
          <w:tcPr>
            <w:gridSpan w:val="2"/>
            <w:tcBorders>
              <w:top w:val="single" w:sz="4"/>
              <w:left w:val="single" w:sz="4"/>
              <w:righ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Cena v Kč bez DPH</w:t>
            </w:r>
          </w:p>
        </w:tc>
      </w:tr>
      <w:tr>
        <w:trPr>
          <w:trHeight w:val="322" w:hRule="exact"/>
        </w:trPr>
        <w:tc>
          <w:tcPr>
            <w:vMerge/>
            <w:tcBorders>
              <w:left w:val="single" w:sz="4"/>
            </w:tcBorders>
            <w:shd w:val="clear" w:color="auto" w:fill="FFFFFF"/>
            <w:vAlign w:val="center"/>
          </w:tcPr>
          <w:p>
            <w:pPr/>
          </w:p>
        </w:tc>
        <w:tc>
          <w:tcPr>
            <w:vMerge/>
            <w:tcBorders>
              <w:left w:val="single" w:sz="4"/>
            </w:tcBorders>
            <w:shd w:val="clear" w:color="auto" w:fill="FFFFFF"/>
            <w:vAlign w:val="center"/>
          </w:tcPr>
          <w:p>
            <w:pPr/>
          </w:p>
        </w:tc>
        <w:tc>
          <w:tcPr>
            <w:tcBorders>
              <w:top w:val="single" w:sz="4"/>
              <w:left w:val="single" w:sz="4"/>
            </w:tcBorders>
            <w:shd w:val="clear" w:color="auto" w:fill="FFFFFF"/>
            <w:vAlign w:val="bottom"/>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celkem</w:t>
            </w:r>
          </w:p>
        </w:tc>
      </w:tr>
      <w:tr>
        <w:trPr>
          <w:trHeight w:val="427" w:hRule="exact"/>
        </w:trPr>
        <w:tc>
          <w:tcPr>
            <w:gridSpan w:val="2"/>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A. Výkon TDS - práce před zahájením a po dokončení stavby</w:t>
            </w:r>
          </w:p>
        </w:tc>
        <w:tc>
          <w:tcPr>
            <w:gridSpan w:val="2"/>
            <w:tcBorders>
              <w:top w:val="single" w:sz="4"/>
              <w:right w:val="single" w:sz="4"/>
            </w:tcBorders>
            <w:shd w:val="clear" w:color="auto" w:fill="FFFFFF"/>
            <w:vAlign w:val="top"/>
          </w:tcPr>
          <w:p>
            <w:pPr>
              <w:widowControl w:val="0"/>
              <w:rPr>
                <w:sz w:val="10"/>
                <w:szCs w:val="10"/>
              </w:rPr>
            </w:pPr>
          </w:p>
        </w:tc>
      </w:tr>
      <w:tr>
        <w:trPr>
          <w:trHeight w:val="682"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1.</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před zahájením stavby</w:t>
            </w:r>
          </w:p>
          <w:p>
            <w:pPr>
              <w:pStyle w:val="Style21"/>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se zahájením stavby, dle specifikace v čl. 3.1 Smlouvy.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5 000,00 Kč</w:t>
            </w:r>
          </w:p>
        </w:tc>
      </w:tr>
      <w:tr>
        <w:trPr>
          <w:trHeight w:val="701"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2.</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Cena za práci po dokončení stavby</w:t>
            </w:r>
          </w:p>
          <w:p>
            <w:pPr>
              <w:pStyle w:val="Style21"/>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dokončením stavby, dle specifikace v čl. 3.3. Smlouvy.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5 000,00 Kč</w:t>
            </w:r>
          </w:p>
        </w:tc>
      </w:tr>
      <w:tr>
        <w:trPr>
          <w:trHeight w:val="547" w:hRule="exact"/>
        </w:trPr>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A. Cena za výkon TDS před zahájením a po dokončení stavby celkem</w:t>
            </w:r>
          </w:p>
        </w:tc>
        <w:tc>
          <w:tcPr>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10 000,00 Kč</w:t>
            </w:r>
          </w:p>
        </w:tc>
      </w:tr>
      <w:tr>
        <w:trPr>
          <w:trHeight w:val="706" w:hRule="exact"/>
        </w:trPr>
        <w:tc>
          <w:tcPr>
            <w:gridSpan w:val="2"/>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57"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B. Výkon TDS - práce spojené s prováděním stavby</w:t>
            </w:r>
          </w:p>
          <w:p>
            <w:pPr>
              <w:pStyle w:val="Style21"/>
              <w:keepNext w:val="0"/>
              <w:keepLines w:val="0"/>
              <w:widowControl w:val="0"/>
              <w:shd w:val="clear" w:color="auto" w:fill="auto"/>
              <w:bidi w:val="0"/>
              <w:spacing w:before="0" w:after="0" w:line="257"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Účastník uvede nabídkovou cenu TDS za práce spojené s prováděním stavby, dle specifikace v čl. 3.2 Smlouvy.</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za 1 h odinu</w:t>
            </w:r>
          </w:p>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i/>
                <w:iCs/>
                <w:color w:val="000000"/>
                <w:spacing w:val="0"/>
                <w:w w:val="100"/>
                <w:position w:val="0"/>
                <w:sz w:val="14"/>
                <w:szCs w:val="14"/>
                <w:shd w:val="clear" w:color="auto" w:fill="auto"/>
                <w:lang w:val="cs-CZ" w:eastAsia="cs-CZ" w:bidi="cs-CZ"/>
              </w:rPr>
              <w:t>(60 minut)</w:t>
            </w:r>
          </w:p>
        </w:tc>
        <w:tc>
          <w:tcPr>
            <w:tcBorders>
              <w:top w:val="single" w:sz="4"/>
              <w:left w:val="single" w:sz="4"/>
              <w:right w:val="single" w:sz="4"/>
            </w:tcBorders>
            <w:shd w:val="clear" w:color="auto" w:fill="FFFF00"/>
            <w:vAlign w:val="center"/>
          </w:tcPr>
          <w:p>
            <w:pPr>
              <w:pStyle w:val="Style21"/>
              <w:keepNext w:val="0"/>
              <w:keepLines w:val="0"/>
              <w:widowControl w:val="0"/>
              <w:shd w:val="clear" w:color="auto" w:fill="auto"/>
              <w:bidi w:val="0"/>
              <w:spacing w:before="0" w:after="0" w:line="240" w:lineRule="auto"/>
              <w:ind w:left="0" w:right="0" w:firstLine="0"/>
              <w:jc w:val="left"/>
              <w:rPr>
                <w:sz w:val="14"/>
                <w:szCs w:val="14"/>
              </w:rPr>
            </w:pPr>
            <w:r>
              <w:rPr>
                <w:b/>
                <w:bCs/>
                <w:i/>
                <w:iCs/>
                <w:color w:val="000000"/>
                <w:spacing w:val="0"/>
                <w:w w:val="100"/>
                <w:position w:val="0"/>
                <w:sz w:val="14"/>
                <w:szCs w:val="14"/>
                <w:shd w:val="clear" w:color="auto" w:fill="auto"/>
                <w:lang w:val="cs-CZ" w:eastAsia="cs-CZ" w:bidi="cs-CZ"/>
              </w:rPr>
              <w:t>celkem za 9 hodin *</w:t>
            </w:r>
          </w:p>
        </w:tc>
      </w:tr>
      <w:tr>
        <w:trPr>
          <w:trHeight w:val="792" w:hRule="exact"/>
        </w:trPr>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3.</w:t>
            </w:r>
          </w:p>
        </w:tc>
        <w:tc>
          <w:tcPr>
            <w:tcBorders>
              <w:top w:val="single" w:sz="4"/>
              <w:left w:val="single" w:sz="4"/>
            </w:tcBorders>
            <w:shd w:val="clear" w:color="auto" w:fill="FFFF00"/>
            <w:vAlign w:val="center"/>
          </w:tcPr>
          <w:p>
            <w:pPr>
              <w:pStyle w:val="Style21"/>
              <w:keepNext w:val="0"/>
              <w:keepLines w:val="0"/>
              <w:widowControl w:val="0"/>
              <w:shd w:val="clear" w:color="auto" w:fill="auto"/>
              <w:bidi w:val="0"/>
              <w:spacing w:before="0" w:after="0" w:line="240"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v kanceláři</w:t>
            </w:r>
          </w:p>
          <w:p>
            <w:pPr>
              <w:pStyle w:val="Style21"/>
              <w:keepNext w:val="0"/>
              <w:keepLines w:val="0"/>
              <w:widowControl w:val="0"/>
              <w:numPr>
                <w:ilvl w:val="0"/>
                <w:numId w:val="19"/>
              </w:numPr>
              <w:shd w:val="clear" w:color="auto" w:fill="auto"/>
              <w:tabs>
                <w:tab w:pos="8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w:t>
            </w:r>
            <w:r>
              <w:rPr>
                <w:b/>
                <w:bCs/>
                <w:color w:val="000000"/>
                <w:spacing w:val="0"/>
                <w:w w:val="100"/>
                <w:position w:val="0"/>
                <w:sz w:val="14"/>
                <w:szCs w:val="14"/>
                <w:shd w:val="clear" w:color="auto" w:fill="auto"/>
                <w:lang w:val="cs-CZ" w:eastAsia="cs-CZ" w:bidi="cs-CZ"/>
              </w:rPr>
              <w:t>náklady bez nároku na cestové</w:t>
            </w:r>
          </w:p>
          <w:p>
            <w:pPr>
              <w:pStyle w:val="Style21"/>
              <w:keepNext w:val="0"/>
              <w:keepLines w:val="0"/>
              <w:widowControl w:val="0"/>
              <w:numPr>
                <w:ilvl w:val="0"/>
                <w:numId w:val="19"/>
              </w:numPr>
              <w:shd w:val="clear" w:color="auto" w:fill="auto"/>
              <w:tabs>
                <w:tab w:pos="8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2 </w:t>
            </w:r>
            <w:r>
              <w:rPr>
                <w:b/>
                <w:bCs/>
                <w:color w:val="000000"/>
                <w:spacing w:val="0"/>
                <w:w w:val="100"/>
                <w:position w:val="0"/>
                <w:sz w:val="14"/>
                <w:szCs w:val="14"/>
                <w:shd w:val="clear" w:color="auto" w:fill="auto"/>
                <w:lang w:val="cs-CZ" w:eastAsia="cs-CZ" w:bidi="cs-CZ"/>
              </w:rPr>
              <w:t>hodiny/týden</w:t>
            </w:r>
          </w:p>
          <w:p>
            <w:pPr>
              <w:pStyle w:val="Style21"/>
              <w:keepNext w:val="0"/>
              <w:keepLines w:val="0"/>
              <w:widowControl w:val="0"/>
              <w:numPr>
                <w:ilvl w:val="0"/>
                <w:numId w:val="19"/>
              </w:numPr>
              <w:shd w:val="clear" w:color="auto" w:fill="auto"/>
              <w:tabs>
                <w:tab w:pos="82" w:val="left"/>
              </w:tabs>
              <w:bidi w:val="0"/>
              <w:spacing w:before="0" w:after="0" w:line="240" w:lineRule="auto"/>
              <w:ind w:left="0" w:right="0" w:firstLine="0"/>
              <w:jc w:val="left"/>
              <w:rPr>
                <w:sz w:val="14"/>
                <w:szCs w:val="14"/>
              </w:rPr>
            </w:pPr>
            <w:r>
              <w:rPr>
                <w:color w:val="000000"/>
                <w:spacing w:val="0"/>
                <w:w w:val="100"/>
                <w:position w:val="0"/>
                <w:sz w:val="14"/>
                <w:szCs w:val="14"/>
                <w:shd w:val="clear" w:color="auto" w:fill="auto"/>
                <w:lang w:val="cs-CZ" w:eastAsia="cs-CZ" w:bidi="cs-CZ"/>
              </w:rPr>
              <w:t>předpokládaný počet týdnů ...</w:t>
            </w:r>
          </w:p>
        </w:tc>
        <w:tc>
          <w:tcPr>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800,00 Kč</w:t>
            </w: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720"/>
              <w:jc w:val="both"/>
              <w:rPr>
                <w:sz w:val="14"/>
                <w:szCs w:val="14"/>
              </w:rPr>
            </w:pPr>
            <w:r>
              <w:rPr>
                <w:color w:val="000000"/>
                <w:spacing w:val="0"/>
                <w:w w:val="100"/>
                <w:position w:val="0"/>
                <w:sz w:val="14"/>
                <w:szCs w:val="14"/>
                <w:shd w:val="clear" w:color="auto" w:fill="auto"/>
                <w:lang w:val="cs-CZ" w:eastAsia="cs-CZ" w:bidi="cs-CZ"/>
              </w:rPr>
              <w:t>7 200,00 K č</w:t>
            </w:r>
          </w:p>
        </w:tc>
      </w:tr>
      <w:tr>
        <w:trPr>
          <w:trHeight w:val="509" w:hRule="exact"/>
        </w:trPr>
        <w:tc>
          <w:tcPr>
            <w:vMerge w:val="restart"/>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180"/>
              <w:jc w:val="both"/>
              <w:rPr>
                <w:sz w:val="14"/>
                <w:szCs w:val="14"/>
              </w:rPr>
            </w:pPr>
            <w:r>
              <w:rPr>
                <w:color w:val="000000"/>
                <w:spacing w:val="0"/>
                <w:w w:val="100"/>
                <w:position w:val="0"/>
                <w:sz w:val="14"/>
                <w:szCs w:val="14"/>
                <w:shd w:val="clear" w:color="auto" w:fill="auto"/>
                <w:lang w:val="cs-CZ" w:eastAsia="cs-CZ" w:bidi="cs-CZ"/>
              </w:rPr>
              <w:t>4.</w:t>
            </w:r>
          </w:p>
        </w:tc>
        <w:tc>
          <w:tcPr>
            <w:vMerge w:val="restart"/>
            <w:tcBorders>
              <w:top w:val="single" w:sz="4"/>
              <w:left w:val="single" w:sz="4"/>
            </w:tcBorders>
            <w:shd w:val="clear" w:color="auto" w:fill="FFFF00"/>
            <w:vAlign w:val="bottom"/>
          </w:tcPr>
          <w:p>
            <w:pPr>
              <w:pStyle w:val="Style21"/>
              <w:keepNext w:val="0"/>
              <w:keepLines w:val="0"/>
              <w:widowControl w:val="0"/>
              <w:shd w:val="clear" w:color="auto" w:fill="auto"/>
              <w:bidi w:val="0"/>
              <w:spacing w:before="0" w:after="0" w:line="264" w:lineRule="auto"/>
              <w:ind w:left="0" w:right="0" w:firstLine="0"/>
              <w:jc w:val="left"/>
              <w:rPr>
                <w:sz w:val="14"/>
                <w:szCs w:val="14"/>
              </w:rPr>
            </w:pPr>
            <w:r>
              <w:rPr>
                <w:b/>
                <w:bCs/>
                <w:color w:val="000000"/>
                <w:spacing w:val="0"/>
                <w:w w:val="100"/>
                <w:position w:val="0"/>
                <w:sz w:val="14"/>
                <w:szCs w:val="14"/>
                <w:shd w:val="clear" w:color="auto" w:fill="auto"/>
                <w:lang w:val="cs-CZ" w:eastAsia="cs-CZ" w:bidi="cs-CZ"/>
              </w:rPr>
              <w:t>Práce spojené s výkonem TDS na staveništi</w:t>
            </w:r>
          </w:p>
          <w:p>
            <w:pPr>
              <w:pStyle w:val="Style21"/>
              <w:keepNext w:val="0"/>
              <w:keepLines w:val="0"/>
              <w:widowControl w:val="0"/>
              <w:numPr>
                <w:ilvl w:val="0"/>
                <w:numId w:val="21"/>
              </w:numPr>
              <w:shd w:val="clear" w:color="auto" w:fill="auto"/>
              <w:tabs>
                <w:tab w:pos="82"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předpokládané náklady </w:t>
            </w:r>
            <w:r>
              <w:rPr>
                <w:b/>
                <w:bCs/>
                <w:color w:val="000000"/>
                <w:spacing w:val="0"/>
                <w:w w:val="100"/>
                <w:position w:val="0"/>
                <w:sz w:val="14"/>
                <w:szCs w:val="14"/>
                <w:shd w:val="clear" w:color="auto" w:fill="auto"/>
                <w:lang w:val="cs-CZ" w:eastAsia="cs-CZ" w:bidi="cs-CZ"/>
              </w:rPr>
              <w:t>včetně cestovného</w:t>
            </w:r>
          </w:p>
          <w:p>
            <w:pPr>
              <w:pStyle w:val="Style21"/>
              <w:keepNext w:val="0"/>
              <w:keepLines w:val="0"/>
              <w:widowControl w:val="0"/>
              <w:numPr>
                <w:ilvl w:val="0"/>
                <w:numId w:val="21"/>
              </w:numPr>
              <w:shd w:val="clear" w:color="auto" w:fill="auto"/>
              <w:tabs>
                <w:tab w:pos="82" w:val="left"/>
              </w:tabs>
              <w:bidi w:val="0"/>
              <w:spacing w:before="0" w:after="0" w:line="264" w:lineRule="auto"/>
              <w:ind w:left="0" w:right="0" w:firstLine="0"/>
              <w:jc w:val="left"/>
              <w:rPr>
                <w:sz w:val="14"/>
                <w:szCs w:val="14"/>
              </w:rPr>
            </w:pPr>
            <w:r>
              <w:rPr>
                <w:color w:val="000000"/>
                <w:spacing w:val="0"/>
                <w:w w:val="100"/>
                <w:position w:val="0"/>
                <w:sz w:val="14"/>
                <w:szCs w:val="14"/>
                <w:shd w:val="clear" w:color="auto" w:fill="auto"/>
                <w:lang w:val="cs-CZ" w:eastAsia="cs-CZ" w:bidi="cs-CZ"/>
              </w:rPr>
              <w:t xml:space="preserve">v předpokládaném rozsahu 2 </w:t>
            </w:r>
            <w:r>
              <w:rPr>
                <w:b/>
                <w:bCs/>
                <w:color w:val="000000"/>
                <w:spacing w:val="0"/>
                <w:w w:val="100"/>
                <w:position w:val="0"/>
                <w:sz w:val="14"/>
                <w:szCs w:val="14"/>
                <w:shd w:val="clear" w:color="auto" w:fill="auto"/>
                <w:lang w:val="cs-CZ" w:eastAsia="cs-CZ" w:bidi="cs-CZ"/>
              </w:rPr>
              <w:t>návštěva/týden á 3 hodiny, celkem 8 týdnů</w:t>
            </w:r>
          </w:p>
          <w:p>
            <w:pPr>
              <w:pStyle w:val="Style21"/>
              <w:keepNext w:val="0"/>
              <w:keepLines w:val="0"/>
              <w:widowControl w:val="0"/>
              <w:shd w:val="clear" w:color="auto" w:fill="auto"/>
              <w:bidi w:val="0"/>
              <w:spacing w:before="0" w:after="0" w:line="264" w:lineRule="auto"/>
              <w:ind w:left="0" w:right="0" w:firstLine="0"/>
              <w:jc w:val="left"/>
              <w:rPr>
                <w:sz w:val="14"/>
                <w:szCs w:val="14"/>
              </w:rPr>
            </w:pPr>
            <w:r>
              <w:rPr>
                <w:i/>
                <w:iCs/>
                <w:color w:val="000000"/>
                <w:spacing w:val="0"/>
                <w:w w:val="100"/>
                <w:position w:val="0"/>
                <w:sz w:val="14"/>
                <w:szCs w:val="14"/>
                <w:shd w:val="clear" w:color="auto" w:fill="auto"/>
                <w:lang w:val="cs-CZ" w:eastAsia="cs-CZ" w:bidi="cs-CZ"/>
              </w:rPr>
              <w:t xml:space="preserve">(vzorec pro výpočet hodin: 2 návštěva x </w:t>
            </w:r>
            <w:r>
              <w:rPr>
                <w:b/>
                <w:bCs/>
                <w:i/>
                <w:iCs/>
                <w:color w:val="000000"/>
                <w:spacing w:val="0"/>
                <w:w w:val="100"/>
                <w:position w:val="0"/>
                <w:sz w:val="14"/>
                <w:szCs w:val="14"/>
                <w:shd w:val="clear" w:color="auto" w:fill="auto"/>
                <w:lang w:val="cs-CZ" w:eastAsia="cs-CZ" w:bidi="cs-CZ"/>
              </w:rPr>
              <w:t xml:space="preserve">3 </w:t>
            </w:r>
            <w:r>
              <w:rPr>
                <w:i/>
                <w:iCs/>
                <w:color w:val="000000"/>
                <w:spacing w:val="0"/>
                <w:w w:val="100"/>
                <w:position w:val="0"/>
                <w:sz w:val="14"/>
                <w:szCs w:val="14"/>
                <w:shd w:val="clear" w:color="auto" w:fill="auto"/>
                <w:lang w:val="cs-CZ" w:eastAsia="cs-CZ" w:bidi="cs-CZ"/>
              </w:rPr>
              <w:t xml:space="preserve">hod. výkonu TDS x 8 týdnů = ... </w:t>
            </w:r>
            <w:r>
              <w:rPr>
                <w:b/>
                <w:bCs/>
                <w:i/>
                <w:iCs/>
                <w:color w:val="000000"/>
                <w:spacing w:val="0"/>
                <w:w w:val="100"/>
                <w:position w:val="0"/>
                <w:sz w:val="14"/>
                <w:szCs w:val="14"/>
                <w:shd w:val="clear" w:color="auto" w:fill="auto"/>
                <w:lang w:val="cs-CZ" w:eastAsia="cs-CZ" w:bidi="cs-CZ"/>
              </w:rPr>
              <w:t xml:space="preserve">hodin výkonu TDS celkem </w:t>
            </w:r>
            <w:r>
              <w:rPr>
                <w:i/>
                <w:iCs/>
                <w:color w:val="000000"/>
                <w:spacing w:val="0"/>
                <w:w w:val="100"/>
                <w:position w:val="0"/>
                <w:sz w:val="14"/>
                <w:szCs w:val="14"/>
                <w:shd w:val="clear" w:color="auto" w:fill="auto"/>
                <w:lang w:val="cs-CZ" w:eastAsia="cs-CZ" w:bidi="cs-CZ"/>
              </w:rPr>
              <w:t>)</w:t>
            </w:r>
          </w:p>
          <w:p>
            <w:pPr>
              <w:pStyle w:val="Style21"/>
              <w:keepNext w:val="0"/>
              <w:keepLines w:val="0"/>
              <w:widowControl w:val="0"/>
              <w:shd w:val="clear" w:color="auto" w:fill="auto"/>
              <w:bidi w:val="0"/>
              <w:spacing w:before="0" w:after="0" w:line="264" w:lineRule="auto"/>
              <w:ind w:left="0" w:right="0" w:firstLine="0"/>
              <w:jc w:val="left"/>
              <w:rPr>
                <w:sz w:val="14"/>
                <w:szCs w:val="14"/>
              </w:rPr>
            </w:pPr>
            <w:r>
              <w:rPr>
                <w:b/>
                <w:bCs/>
                <w:color w:val="C00000"/>
                <w:spacing w:val="0"/>
                <w:w w:val="100"/>
                <w:position w:val="0"/>
                <w:sz w:val="14"/>
                <w:szCs w:val="14"/>
                <w:shd w:val="clear" w:color="auto" w:fill="auto"/>
                <w:lang w:val="cs-CZ" w:eastAsia="cs-CZ" w:bidi="cs-CZ"/>
              </w:rPr>
              <w:t>Čas strávený cestou na/ze staveniště se do času výkonu TDS na staveništi nepočítá.</w:t>
            </w:r>
          </w:p>
        </w:tc>
        <w:tc>
          <w:tcPr>
            <w:vMerge w:val="restart"/>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820,00 Kč</w:t>
            </w:r>
          </w:p>
        </w:tc>
        <w:tc>
          <w:tcPr>
            <w:tcBorders>
              <w:top w:val="single" w:sz="4"/>
              <w:left w:val="single" w:sz="4"/>
              <w:right w:val="single" w:sz="4"/>
            </w:tcBorders>
            <w:shd w:val="clear" w:color="auto" w:fill="FFFF00"/>
            <w:vAlign w:val="center"/>
          </w:tcPr>
          <w:p>
            <w:pPr>
              <w:pStyle w:val="Style21"/>
              <w:keepNext w:val="0"/>
              <w:keepLines w:val="0"/>
              <w:widowControl w:val="0"/>
              <w:shd w:val="clear" w:color="auto" w:fill="auto"/>
              <w:bidi w:val="0"/>
              <w:spacing w:before="0" w:after="0" w:line="240" w:lineRule="auto"/>
              <w:ind w:left="0" w:right="0" w:firstLine="0"/>
              <w:jc w:val="right"/>
              <w:rPr>
                <w:sz w:val="14"/>
                <w:szCs w:val="14"/>
              </w:rPr>
            </w:pPr>
            <w:r>
              <w:rPr>
                <w:b/>
                <w:bCs/>
                <w:i/>
                <w:iCs/>
                <w:color w:val="000000"/>
                <w:spacing w:val="0"/>
                <w:w w:val="100"/>
                <w:position w:val="0"/>
                <w:sz w:val="14"/>
                <w:szCs w:val="14"/>
                <w:shd w:val="clear" w:color="auto" w:fill="auto"/>
                <w:lang w:val="cs-CZ" w:eastAsia="cs-CZ" w:bidi="cs-CZ"/>
              </w:rPr>
              <w:t>celkem za 48 ho din *</w:t>
            </w:r>
          </w:p>
        </w:tc>
      </w:tr>
      <w:tr>
        <w:trPr>
          <w:trHeight w:val="821" w:hRule="exact"/>
        </w:trPr>
        <w:tc>
          <w:tcPr>
            <w:vMerge/>
            <w:tcBorders>
              <w:left w:val="single" w:sz="4"/>
            </w:tcBorders>
            <w:shd w:val="clear" w:color="auto" w:fill="FFFFFF"/>
            <w:vAlign w:val="center"/>
          </w:tcPr>
          <w:p>
            <w:pPr/>
          </w:p>
        </w:tc>
        <w:tc>
          <w:tcPr>
            <w:vMerge/>
            <w:tcBorders>
              <w:left w:val="single" w:sz="4"/>
            </w:tcBorders>
            <w:shd w:val="clear" w:color="auto" w:fill="FFFF00"/>
            <w:vAlign w:val="bottom"/>
          </w:tcPr>
          <w:p>
            <w:pPr/>
          </w:p>
        </w:tc>
        <w:tc>
          <w:tcPr>
            <w:vMerge/>
            <w:tcBorders>
              <w:left w:val="single" w:sz="4"/>
            </w:tcBorders>
            <w:shd w:val="clear" w:color="auto" w:fill="FFFFFF"/>
            <w:vAlign w:val="center"/>
          </w:tcPr>
          <w:p>
            <w:pPr/>
          </w:p>
        </w:tc>
        <w:tc>
          <w:tcPr>
            <w:tcBorders>
              <w:top w:val="single" w:sz="4"/>
              <w:left w:val="single" w:sz="4"/>
              <w:righ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color w:val="000000"/>
                <w:spacing w:val="0"/>
                <w:w w:val="100"/>
                <w:position w:val="0"/>
                <w:sz w:val="14"/>
                <w:szCs w:val="14"/>
                <w:shd w:val="clear" w:color="auto" w:fill="auto"/>
                <w:lang w:val="cs-CZ" w:eastAsia="cs-CZ" w:bidi="cs-CZ"/>
              </w:rPr>
              <w:t>39 360,00 Kč</w:t>
            </w:r>
          </w:p>
        </w:tc>
      </w:tr>
      <w:tr>
        <w:trPr>
          <w:trHeight w:val="466" w:hRule="exact"/>
        </w:trPr>
        <w:tc>
          <w:tcPr>
            <w:gridSpan w:val="2"/>
            <w:tcBorders>
              <w:top w:val="single" w:sz="4"/>
              <w:left w:val="single" w:sz="4"/>
            </w:tcBorders>
            <w:shd w:val="clear" w:color="auto" w:fill="FFFFFF"/>
            <w:vAlign w:val="center"/>
          </w:tcPr>
          <w:p>
            <w:pPr>
              <w:pStyle w:val="Style21"/>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B. Cena za výkon TDS při provádění stavby celkem</w:t>
            </w:r>
          </w:p>
        </w:tc>
        <w:tc>
          <w:tcPr>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46 560,00 Kč</w:t>
            </w:r>
          </w:p>
        </w:tc>
      </w:tr>
      <w:tr>
        <w:trPr>
          <w:trHeight w:val="470" w:hRule="exact"/>
        </w:trPr>
        <w:tc>
          <w:tcPr>
            <w:gridSpan w:val="2"/>
            <w:tcBorders>
              <w:top w:val="single" w:sz="4"/>
              <w:left w:val="single" w:sz="4"/>
            </w:tcBorders>
            <w:shd w:val="clear" w:color="auto" w:fill="D1D1D1"/>
            <w:vAlign w:val="bottom"/>
          </w:tcPr>
          <w:p>
            <w:pPr>
              <w:pStyle w:val="Style21"/>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BEZ DPH (A + B)</w:t>
            </w:r>
          </w:p>
        </w:tc>
        <w:tc>
          <w:tcPr>
            <w:tcBorders>
              <w:top w:val="single" w:sz="4"/>
              <w:left w:val="single" w:sz="4"/>
            </w:tcBorders>
            <w:shd w:val="clear" w:color="auto" w:fill="D1D1D1"/>
            <w:vAlign w:val="bottom"/>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56 560,00 Kč</w:t>
            </w:r>
          </w:p>
        </w:tc>
      </w:tr>
      <w:tr>
        <w:trPr>
          <w:trHeight w:val="437" w:hRule="exact"/>
        </w:trPr>
        <w:tc>
          <w:tcPr>
            <w:gridSpan w:val="2"/>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DPH 21 %</w:t>
            </w:r>
          </w:p>
        </w:tc>
        <w:tc>
          <w:tcPr>
            <w:tcBorders>
              <w:top w:val="single" w:sz="4"/>
              <w:lef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righ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11 877,60 Kč</w:t>
            </w:r>
          </w:p>
        </w:tc>
      </w:tr>
      <w:tr>
        <w:trPr>
          <w:trHeight w:val="595" w:hRule="exact"/>
        </w:trPr>
        <w:tc>
          <w:tcPr>
            <w:gridSpan w:val="2"/>
            <w:tcBorders>
              <w:top w:val="single" w:sz="4"/>
              <w:left w:val="single" w:sz="4"/>
              <w:bottom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520"/>
              <w:jc w:val="left"/>
              <w:rPr>
                <w:sz w:val="14"/>
                <w:szCs w:val="14"/>
              </w:rPr>
            </w:pPr>
            <w:r>
              <w:rPr>
                <w:b/>
                <w:bCs/>
                <w:color w:val="000000"/>
                <w:spacing w:val="0"/>
                <w:w w:val="100"/>
                <w:position w:val="0"/>
                <w:sz w:val="14"/>
                <w:szCs w:val="14"/>
                <w:shd w:val="clear" w:color="auto" w:fill="auto"/>
                <w:lang w:val="cs-CZ" w:eastAsia="cs-CZ" w:bidi="cs-CZ"/>
              </w:rPr>
              <w:t>CENA CELKEM VČETNĚ DPH **</w:t>
            </w:r>
          </w:p>
        </w:tc>
        <w:tc>
          <w:tcPr>
            <w:tcBorders>
              <w:top w:val="single" w:sz="4"/>
              <w:left w:val="single" w:sz="4"/>
              <w:bottom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0"/>
              <w:jc w:val="center"/>
              <w:rPr>
                <w:sz w:val="14"/>
                <w:szCs w:val="14"/>
              </w:rPr>
            </w:pPr>
            <w:r>
              <w:rPr>
                <w:b/>
                <w:bCs/>
                <w:color w:val="000000"/>
                <w:spacing w:val="0"/>
                <w:w w:val="100"/>
                <w:position w:val="0"/>
                <w:sz w:val="14"/>
                <w:szCs w:val="14"/>
                <w:shd w:val="clear" w:color="auto" w:fill="auto"/>
                <w:lang w:val="cs-CZ" w:eastAsia="cs-CZ" w:bidi="cs-CZ"/>
              </w:rPr>
              <w:t>x</w:t>
            </w:r>
          </w:p>
        </w:tc>
        <w:tc>
          <w:tcPr>
            <w:tcBorders>
              <w:top w:val="single" w:sz="4"/>
              <w:left w:val="single" w:sz="4"/>
              <w:bottom w:val="single" w:sz="4"/>
              <w:right w:val="single" w:sz="4"/>
            </w:tcBorders>
            <w:shd w:val="clear" w:color="auto" w:fill="D1D1D1"/>
            <w:vAlign w:val="center"/>
          </w:tcPr>
          <w:p>
            <w:pPr>
              <w:pStyle w:val="Style21"/>
              <w:keepNext w:val="0"/>
              <w:keepLines w:val="0"/>
              <w:widowControl w:val="0"/>
              <w:shd w:val="clear" w:color="auto" w:fill="auto"/>
              <w:bidi w:val="0"/>
              <w:spacing w:before="0" w:after="0" w:line="240" w:lineRule="auto"/>
              <w:ind w:left="0" w:right="0" w:firstLine="640"/>
              <w:jc w:val="both"/>
              <w:rPr>
                <w:sz w:val="14"/>
                <w:szCs w:val="14"/>
              </w:rPr>
            </w:pPr>
            <w:r>
              <w:rPr>
                <w:b/>
                <w:bCs/>
                <w:color w:val="000000"/>
                <w:spacing w:val="0"/>
                <w:w w:val="100"/>
                <w:position w:val="0"/>
                <w:sz w:val="14"/>
                <w:szCs w:val="14"/>
                <w:shd w:val="clear" w:color="auto" w:fill="auto"/>
                <w:lang w:val="cs-CZ" w:eastAsia="cs-CZ" w:bidi="cs-CZ"/>
              </w:rPr>
              <w:t>68 437,60 Kč</w:t>
            </w:r>
          </w:p>
        </w:tc>
      </w:tr>
    </w:tbl>
    <w:p>
      <w:pPr>
        <w:widowControl w:val="0"/>
        <w:spacing w:after="279" w:line="1" w:lineRule="exact"/>
      </w:pPr>
    </w:p>
    <w:p>
      <w:pPr>
        <w:pStyle w:val="Style46"/>
        <w:keepNext w:val="0"/>
        <w:keepLines w:val="0"/>
        <w:widowControl w:val="0"/>
        <w:shd w:val="clear" w:color="auto" w:fill="auto"/>
        <w:bidi w:val="0"/>
        <w:spacing w:before="0" w:after="360" w:line="240" w:lineRule="auto"/>
        <w:ind w:left="0" w:right="0" w:firstLine="500"/>
        <w:jc w:val="left"/>
      </w:pPr>
      <w:r>
        <w:rPr>
          <w:color w:val="000000"/>
          <w:spacing w:val="0"/>
          <w:w w:val="100"/>
          <w:position w:val="0"/>
          <w:shd w:val="clear" w:color="auto" w:fill="auto"/>
          <w:lang w:val="cs-CZ" w:eastAsia="cs-CZ" w:bidi="cs-CZ"/>
        </w:rPr>
        <w:t>Tabulka pro zpracování ceny plnění bude jako příloha nedílnou součástí Smlouvy o zajištění výkonu TDS na staveništi.</w:t>
      </w:r>
    </w:p>
    <w:p>
      <w:pPr>
        <w:pStyle w:val="Style46"/>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1 - </w:t>
      </w:r>
      <w:r>
        <w:rPr>
          <w:b w:val="0"/>
          <w:bCs w:val="0"/>
          <w:color w:val="000000"/>
          <w:spacing w:val="0"/>
          <w:w w:val="100"/>
          <w:position w:val="0"/>
          <w:u w:val="single"/>
          <w:shd w:val="clear" w:color="auto" w:fill="auto"/>
          <w:lang w:val="cs-CZ" w:eastAsia="cs-CZ" w:bidi="cs-CZ"/>
        </w:rPr>
        <w:t>Cena za práci před zahájením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6"/>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2 - </w:t>
      </w:r>
      <w:r>
        <w:rPr>
          <w:b w:val="0"/>
          <w:bCs w:val="0"/>
          <w:color w:val="000000"/>
          <w:spacing w:val="0"/>
          <w:w w:val="100"/>
          <w:position w:val="0"/>
          <w:u w:val="single"/>
          <w:shd w:val="clear" w:color="auto" w:fill="auto"/>
          <w:lang w:val="cs-CZ" w:eastAsia="cs-CZ" w:bidi="cs-CZ"/>
        </w:rPr>
        <w:t>Cena za práci po dokončení stavby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w:t>
      </w:r>
    </w:p>
    <w:p>
      <w:pPr>
        <w:pStyle w:val="Style46"/>
        <w:keepNext w:val="0"/>
        <w:keepLines w:val="0"/>
        <w:widowControl w:val="0"/>
        <w:shd w:val="clear" w:color="auto" w:fill="auto"/>
        <w:bidi w:val="0"/>
        <w:spacing w:before="0" w:after="0" w:line="271" w:lineRule="auto"/>
        <w:ind w:left="0" w:right="0" w:firstLine="0"/>
        <w:jc w:val="left"/>
      </w:pPr>
      <w:r>
        <w:rPr>
          <w:b w:val="0"/>
          <w:bCs w:val="0"/>
          <w:color w:val="000000"/>
          <w:spacing w:val="0"/>
          <w:w w:val="100"/>
          <w:position w:val="0"/>
          <w:shd w:val="clear" w:color="auto" w:fill="auto"/>
          <w:lang w:val="cs-CZ" w:eastAsia="cs-CZ" w:bidi="cs-CZ"/>
        </w:rPr>
        <w:t xml:space="preserve">Položka č. 3 - </w:t>
      </w:r>
      <w:r>
        <w:rPr>
          <w:b w:val="0"/>
          <w:bCs w:val="0"/>
          <w:color w:val="000000"/>
          <w:spacing w:val="0"/>
          <w:w w:val="100"/>
          <w:position w:val="0"/>
          <w:u w:val="single"/>
          <w:shd w:val="clear" w:color="auto" w:fill="auto"/>
          <w:lang w:val="cs-CZ" w:eastAsia="cs-CZ" w:bidi="cs-CZ"/>
        </w:rPr>
        <w:t>Cena za práci v kanceláři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 xml:space="preserve">bude uvedena ve Smlouvě o zajištění výkonu TDS a bude sloužit pro fakturaci výkonu TDS </w:t>
      </w:r>
      <w:r>
        <w:rPr>
          <w:b w:val="0"/>
          <w:bCs w:val="0"/>
          <w:color w:val="000000"/>
          <w:spacing w:val="0"/>
          <w:w w:val="100"/>
          <w:position w:val="0"/>
          <w:shd w:val="clear" w:color="auto" w:fill="auto"/>
          <w:lang w:val="cs-CZ" w:eastAsia="cs-CZ" w:bidi="cs-CZ"/>
        </w:rPr>
        <w:t>dle skutečnosti.</w:t>
      </w:r>
    </w:p>
    <w:p>
      <w:pPr>
        <w:pStyle w:val="Style46"/>
        <w:keepNext w:val="0"/>
        <w:keepLines w:val="0"/>
        <w:widowControl w:val="0"/>
        <w:shd w:val="clear" w:color="auto" w:fill="auto"/>
        <w:bidi w:val="0"/>
        <w:spacing w:before="0" w:after="72" w:line="271" w:lineRule="auto"/>
        <w:ind w:left="0" w:right="0" w:firstLine="0"/>
        <w:jc w:val="left"/>
      </w:pPr>
      <w:r>
        <w:rPr>
          <w:b w:val="0"/>
          <w:bCs w:val="0"/>
          <w:color w:val="000000"/>
          <w:spacing w:val="0"/>
          <w:w w:val="100"/>
          <w:position w:val="0"/>
          <w:shd w:val="clear" w:color="auto" w:fill="auto"/>
          <w:lang w:val="cs-CZ" w:eastAsia="cs-CZ" w:bidi="cs-CZ"/>
        </w:rPr>
        <w:t xml:space="preserve">Položka č. 4 - </w:t>
      </w:r>
      <w:r>
        <w:rPr>
          <w:b w:val="0"/>
          <w:bCs w:val="0"/>
          <w:color w:val="000000"/>
          <w:spacing w:val="0"/>
          <w:w w:val="100"/>
          <w:position w:val="0"/>
          <w:u w:val="single"/>
          <w:shd w:val="clear" w:color="auto" w:fill="auto"/>
          <w:lang w:val="cs-CZ" w:eastAsia="cs-CZ" w:bidi="cs-CZ"/>
        </w:rPr>
        <w:t>Cena za práci na staveništi při provádění stavby v rozsahu 1 hodiny</w:t>
      </w:r>
      <w:r>
        <w:rPr>
          <w:b w:val="0"/>
          <w:bCs w:val="0"/>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bude uvedena ve Smlouvě o zajištění výkonu TDS a bude sloužit pro fakturaci výkonu TDS dle doložené skutečnosti.</w:t>
      </w:r>
    </w:p>
    <w:p>
      <w:pPr>
        <w:pStyle w:val="Style46"/>
        <w:keepNext w:val="0"/>
        <w:keepLines w:val="0"/>
        <w:widowControl w:val="0"/>
        <w:pBdr>
          <w:top w:val="single" w:sz="0" w:space="2" w:color="FFFF00"/>
          <w:left w:val="single" w:sz="0" w:space="0" w:color="FFFF00"/>
          <w:bottom w:val="single" w:sz="0" w:space="12" w:color="FFFF00"/>
          <w:right w:val="single" w:sz="0" w:space="0" w:color="FFFF00"/>
        </w:pBdr>
        <w:shd w:val="clear" w:color="auto" w:fill="FFFF00"/>
        <w:bidi w:val="0"/>
        <w:spacing w:before="0" w:after="0" w:line="271" w:lineRule="auto"/>
        <w:ind w:left="0" w:right="0" w:firstLine="0"/>
        <w:jc w:val="left"/>
        <w:sectPr>
          <w:headerReference w:type="default" r:id="rId21"/>
          <w:footerReference w:type="default" r:id="rId22"/>
          <w:headerReference w:type="even" r:id="rId23"/>
          <w:footerReference w:type="even" r:id="rId24"/>
          <w:footnotePr>
            <w:pos w:val="pageBottom"/>
            <w:numFmt w:val="decimal"/>
            <w:numRestart w:val="continuous"/>
          </w:footnotePr>
          <w:pgSz w:w="12240" w:h="15840"/>
          <w:pgMar w:top="877" w:left="1169" w:right="2187" w:bottom="2751" w:header="449" w:footer="3" w:gutter="0"/>
          <w:cols w:space="720"/>
          <w:noEndnote/>
          <w:rtlGutter w:val="0"/>
          <w:docGrid w:linePitch="360"/>
        </w:sectPr>
      </w:pPr>
      <w:r>
        <w:rPr>
          <w:color w:val="000000"/>
          <w:spacing w:val="0"/>
          <w:w w:val="100"/>
          <w:position w:val="0"/>
          <w:shd w:val="clear" w:color="auto" w:fill="auto"/>
          <w:lang w:val="cs-CZ" w:eastAsia="cs-CZ" w:bidi="cs-CZ"/>
        </w:rPr>
        <w:t xml:space="preserve">* </w:t>
      </w:r>
      <w:r>
        <w:rPr>
          <w:b w:val="0"/>
          <w:bCs w:val="0"/>
          <w:color w:val="000000"/>
          <w:spacing w:val="0"/>
          <w:w w:val="100"/>
          <w:position w:val="0"/>
          <w:shd w:val="clear" w:color="auto" w:fill="auto"/>
          <w:lang w:val="cs-CZ" w:eastAsia="cs-CZ" w:bidi="cs-CZ"/>
        </w:rPr>
        <w:t xml:space="preserve">Cena za práci na staveništi při provádění stavby (pol. č. 3 a č. 4) </w:t>
      </w:r>
      <w:r>
        <w:rPr>
          <w:color w:val="000000"/>
          <w:spacing w:val="0"/>
          <w:w w:val="100"/>
          <w:position w:val="0"/>
          <w:shd w:val="clear" w:color="auto" w:fill="auto"/>
          <w:lang w:val="cs-CZ" w:eastAsia="cs-CZ" w:bidi="cs-CZ"/>
        </w:rPr>
        <w:t xml:space="preserve">v celkovém předpokládaném rozsahu ... hodin v kanceláři a ... hodin na staveništi </w:t>
      </w:r>
      <w:r>
        <w:rPr>
          <w:b w:val="0"/>
          <w:bCs w:val="0"/>
          <w:color w:val="000000"/>
          <w:spacing w:val="0"/>
          <w:w w:val="100"/>
          <w:position w:val="0"/>
          <w:shd w:val="clear" w:color="auto" w:fill="auto"/>
          <w:lang w:val="cs-CZ" w:eastAsia="cs-CZ" w:bidi="cs-CZ"/>
        </w:rPr>
        <w:t xml:space="preserve">je uvedena pouze pro rovnocenné hodnocení podaných nabídek. </w:t>
      </w:r>
      <w:r>
        <w:rPr>
          <w:color w:val="000000"/>
          <w:spacing w:val="0"/>
          <w:w w:val="100"/>
          <w:position w:val="0"/>
          <w:shd w:val="clear" w:color="auto" w:fill="auto"/>
          <w:lang w:val="cs-CZ" w:eastAsia="cs-CZ" w:bidi="cs-CZ"/>
        </w:rPr>
        <w:t>Ve Smlouvě o zajištění výkonu TDS uvedena nebude.</w:t>
      </w:r>
    </w:p>
    <w:p>
      <w:pPr>
        <w:pStyle w:val="Style46"/>
        <w:keepNext w:val="0"/>
        <w:keepLines w:val="0"/>
        <w:framePr w:w="806" w:h="394" w:wrap="none" w:hAnchor="page" w:x="1184" w:y="1"/>
        <w:widowControl w:val="0"/>
        <w:shd w:val="clear" w:color="auto" w:fill="auto"/>
        <w:bidi w:val="0"/>
        <w:spacing w:before="0" w:after="0" w:line="264" w:lineRule="auto"/>
        <w:ind w:left="0" w:right="0" w:firstLine="0"/>
        <w:jc w:val="left"/>
      </w:pPr>
      <w:r>
        <w:rPr>
          <w:b w:val="0"/>
          <w:bCs w:val="0"/>
          <w:color w:val="000000"/>
          <w:spacing w:val="0"/>
          <w:w w:val="100"/>
          <w:position w:val="0"/>
          <w:shd w:val="clear" w:color="auto" w:fill="auto"/>
          <w:lang w:val="cs-CZ" w:eastAsia="cs-CZ" w:bidi="cs-CZ"/>
        </w:rPr>
        <w:t>nepočítá automaticky</w:t>
      </w:r>
    </w:p>
    <w:p>
      <w:pPr>
        <w:pStyle w:val="Style46"/>
        <w:keepNext w:val="0"/>
        <w:keepLines w:val="0"/>
        <w:framePr w:w="806" w:h="384" w:wrap="none" w:hAnchor="page" w:x="1184" w:y="1316"/>
        <w:widowControl w:val="0"/>
        <w:shd w:val="clear" w:color="auto" w:fill="auto"/>
        <w:bidi w:val="0"/>
        <w:spacing w:before="0" w:after="0" w:line="257" w:lineRule="auto"/>
        <w:ind w:left="0" w:right="0" w:firstLine="0"/>
        <w:jc w:val="left"/>
      </w:pPr>
      <w:r>
        <w:rPr>
          <w:b w:val="0"/>
          <w:bCs w:val="0"/>
          <w:color w:val="000000"/>
          <w:spacing w:val="0"/>
          <w:w w:val="100"/>
          <w:position w:val="0"/>
          <w:shd w:val="clear" w:color="auto" w:fill="auto"/>
          <w:lang w:val="cs-CZ" w:eastAsia="cs-CZ" w:bidi="cs-CZ"/>
        </w:rPr>
        <w:t>nepočítá automaticky</w:t>
      </w:r>
    </w:p>
    <w:p>
      <w:pPr>
        <w:pStyle w:val="Style46"/>
        <w:keepNext w:val="0"/>
        <w:keepLines w:val="0"/>
        <w:framePr w:w="859" w:h="562" w:wrap="none" w:hAnchor="page" w:x="1280" w:y="3073"/>
        <w:widowControl w:val="0"/>
        <w:shd w:val="clear" w:color="auto" w:fill="auto"/>
        <w:bidi w:val="0"/>
        <w:spacing w:before="0" w:after="0" w:line="262" w:lineRule="auto"/>
        <w:ind w:left="0" w:right="0" w:firstLine="0"/>
        <w:jc w:val="center"/>
      </w:pPr>
      <w:r>
        <w:rPr>
          <w:b w:val="0"/>
          <w:bCs w:val="0"/>
          <w:color w:val="000000"/>
          <w:spacing w:val="0"/>
          <w:w w:val="100"/>
          <w:position w:val="0"/>
          <w:shd w:val="clear" w:color="auto" w:fill="auto"/>
          <w:lang w:val="cs-CZ" w:eastAsia="cs-CZ" w:bidi="cs-CZ"/>
        </w:rPr>
        <w:t>nepočítá</w:t>
        <w:br/>
        <w:t>automaticky,</w:t>
        <w:br/>
        <w:t>nutno doplnit</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93" w:line="1" w:lineRule="exact"/>
      </w:pPr>
    </w:p>
    <w:p>
      <w:pPr>
        <w:widowControl w:val="0"/>
        <w:spacing w:line="1" w:lineRule="exact"/>
      </w:pPr>
    </w:p>
    <w:sectPr>
      <w:headerReference w:type="default" r:id="rId25"/>
      <w:footerReference w:type="default" r:id="rId26"/>
      <w:headerReference w:type="even" r:id="rId27"/>
      <w:footerReference w:type="even" r:id="rId28"/>
      <w:footnotePr>
        <w:pos w:val="pageBottom"/>
        <w:numFmt w:val="decimal"/>
        <w:numRestart w:val="continuous"/>
      </w:footnotePr>
      <w:pgSz w:w="12240" w:h="15840"/>
      <w:pgMar w:top="5956" w:left="1183" w:right="10101" w:bottom="5956" w:header="5528" w:footer="5528"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755650</wp:posOffset>
              </wp:positionH>
              <wp:positionV relativeFrom="page">
                <wp:posOffset>9476105</wp:posOffset>
              </wp:positionV>
              <wp:extent cx="2142490" cy="216535"/>
              <wp:wrapNone/>
              <wp:docPr id="5" name="Shape 5"/>
              <a:graphic xmlns:a="http://schemas.openxmlformats.org/drawingml/2006/main">
                <a:graphicData uri="http://schemas.microsoft.com/office/word/2010/wordprocessingShape">
                  <wps:wsp>
                    <wps:cNvSpPr txBox="1"/>
                    <wps:spPr>
                      <a:xfrm>
                        <a:ext cx="214249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31" type="#_x0000_t202" style="position:absolute;margin-left:59.5pt;margin-top:746.14999999999998pt;width:168.69999999999999pt;height:17.05000000000000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696" behindDoc="1" locked="0" layoutInCell="1" allowOverlap="1">
              <wp:simplePos x="0" y="0"/>
              <wp:positionH relativeFrom="page">
                <wp:posOffset>5925185</wp:posOffset>
              </wp:positionH>
              <wp:positionV relativeFrom="page">
                <wp:posOffset>9476105</wp:posOffset>
              </wp:positionV>
              <wp:extent cx="594360" cy="94615"/>
              <wp:wrapNone/>
              <wp:docPr id="7" name="Shape 7"/>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33" type="#_x0000_t202" style="position:absolute;margin-left:466.55000000000001pt;margin-top:746.14999999999998pt;width:46.799999999999997pt;height:7.4500000000000002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9" name="Shape 9"/>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778510</wp:posOffset>
              </wp:positionH>
              <wp:positionV relativeFrom="page">
                <wp:posOffset>8311515</wp:posOffset>
              </wp:positionV>
              <wp:extent cx="5099050" cy="85090"/>
              <wp:wrapNone/>
              <wp:docPr id="103" name="Shape 103"/>
              <a:graphic xmlns:a="http://schemas.openxmlformats.org/drawingml/2006/main">
                <a:graphicData uri="http://schemas.microsoft.com/office/word/2010/wordprocessingShape">
                  <wps:wsp>
                    <wps:cNvSpPr txBox="1"/>
                    <wps:spPr>
                      <a:xfrm>
                        <a:ext cx="5099050" cy="850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wps:txbx>
                    <wps:bodyPr wrap="none" lIns="0" tIns="0" rIns="0" bIns="0">
                      <a:spAutoFit/>
                    </wps:bodyPr>
                  </wps:wsp>
                </a:graphicData>
              </a:graphic>
            </wp:anchor>
          </w:drawing>
        </mc:Choice>
        <mc:Fallback>
          <w:pict>
            <v:shape id="_x0000_s1129" type="#_x0000_t202" style="position:absolute;margin-left:61.299999999999997pt;margin-top:654.45000000000005pt;width:401.5pt;height:6.7000000000000002pt;z-index:-18874398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755650</wp:posOffset>
              </wp:positionH>
              <wp:positionV relativeFrom="page">
                <wp:posOffset>9476105</wp:posOffset>
              </wp:positionV>
              <wp:extent cx="2142490" cy="216535"/>
              <wp:wrapNone/>
              <wp:docPr id="14" name="Shape 14"/>
              <a:graphic xmlns:a="http://schemas.openxmlformats.org/drawingml/2006/main">
                <a:graphicData uri="http://schemas.microsoft.com/office/word/2010/wordprocessingShape">
                  <wps:wsp>
                    <wps:cNvSpPr txBox="1"/>
                    <wps:spPr>
                      <a:xfrm>
                        <a:ext cx="2142490" cy="21653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40" type="#_x0000_t202" style="position:absolute;margin-left:59.5pt;margin-top:746.14999999999998pt;width:168.69999999999999pt;height:17.050000000000001pt;z-index:-18874405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04" behindDoc="1" locked="0" layoutInCell="1" allowOverlap="1">
              <wp:simplePos x="0" y="0"/>
              <wp:positionH relativeFrom="page">
                <wp:posOffset>5925185</wp:posOffset>
              </wp:positionH>
              <wp:positionV relativeFrom="page">
                <wp:posOffset>9476105</wp:posOffset>
              </wp:positionV>
              <wp:extent cx="594360" cy="94615"/>
              <wp:wrapNone/>
              <wp:docPr id="16" name="Shape 16"/>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42" type="#_x0000_t202" style="position:absolute;margin-left:466.55000000000001pt;margin-top:746.14999999999998pt;width:46.799999999999997pt;height:7.4500000000000002pt;z-index:-18874404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18" name="Shape 18"/>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759460</wp:posOffset>
              </wp:positionH>
              <wp:positionV relativeFrom="page">
                <wp:posOffset>9479280</wp:posOffset>
              </wp:positionV>
              <wp:extent cx="2139950" cy="213360"/>
              <wp:wrapNone/>
              <wp:docPr id="29" name="Shape 29"/>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55" type="#_x0000_t202" style="position:absolute;margin-left:59.799999999999997pt;margin-top:746.39999999999998pt;width:168.5pt;height:16.800000000000001pt;z-index:-18874404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14" behindDoc="1" locked="0" layoutInCell="1" allowOverlap="1">
              <wp:simplePos x="0" y="0"/>
              <wp:positionH relativeFrom="page">
                <wp:posOffset>5925820</wp:posOffset>
              </wp:positionH>
              <wp:positionV relativeFrom="page">
                <wp:posOffset>9479280</wp:posOffset>
              </wp:positionV>
              <wp:extent cx="594360" cy="94615"/>
              <wp:wrapNone/>
              <wp:docPr id="31" name="Shape 31"/>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57" type="#_x0000_t202" style="position:absolute;margin-left:466.60000000000002pt;margin-top:746.39999999999998pt;width:46.799999999999997pt;height:7.4500000000000002pt;z-index:-18874403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735330</wp:posOffset>
              </wp:positionH>
              <wp:positionV relativeFrom="page">
                <wp:posOffset>9441180</wp:posOffset>
              </wp:positionV>
              <wp:extent cx="6217920" cy="0"/>
              <wp:wrapNone/>
              <wp:docPr id="33" name="Shape 33"/>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99999999999999pt;margin-top:743.39999999999998pt;width:489.60000000000002pt;height:0;z-index:-251658240;mso-position-horizontal-relative:page;mso-position-vertical-relative:page">
              <v:stroke weight="1.pt"/>
            </v:shape>
          </w:pict>
        </mc:Fallback>
      </mc:AlternateContent>
    </w: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759460</wp:posOffset>
              </wp:positionH>
              <wp:positionV relativeFrom="page">
                <wp:posOffset>9479280</wp:posOffset>
              </wp:positionV>
              <wp:extent cx="2139950" cy="213360"/>
              <wp:wrapNone/>
              <wp:docPr id="42" name="Shape 42"/>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68" type="#_x0000_t202" style="position:absolute;margin-left:59.799999999999997pt;margin-top:746.39999999999998pt;width:168.5pt;height:16.800000000000001pt;z-index:-18874403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24" behindDoc="1" locked="0" layoutInCell="1" allowOverlap="1">
              <wp:simplePos x="0" y="0"/>
              <wp:positionH relativeFrom="page">
                <wp:posOffset>5925820</wp:posOffset>
              </wp:positionH>
              <wp:positionV relativeFrom="page">
                <wp:posOffset>9479280</wp:posOffset>
              </wp:positionV>
              <wp:extent cx="594360" cy="94615"/>
              <wp:wrapNone/>
              <wp:docPr id="44" name="Shape 44"/>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70" type="#_x0000_t202" style="position:absolute;margin-left:466.60000000000002pt;margin-top:746.39999999999998pt;width:46.799999999999997pt;height:7.4500000000000002pt;z-index:-18874402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735330</wp:posOffset>
              </wp:positionH>
              <wp:positionV relativeFrom="page">
                <wp:posOffset>9441180</wp:posOffset>
              </wp:positionV>
              <wp:extent cx="6217920" cy="0"/>
              <wp:wrapNone/>
              <wp:docPr id="46" name="Shape 46"/>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99999999999999pt;margin-top:743.39999999999998pt;width:489.60000000000002pt;height:0;z-index:-251658240;mso-position-horizontal-relative:page;mso-position-vertical-relative:page">
              <v:stroke weight="1.pt"/>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759460</wp:posOffset>
              </wp:positionH>
              <wp:positionV relativeFrom="page">
                <wp:posOffset>9479280</wp:posOffset>
              </wp:positionV>
              <wp:extent cx="2139950" cy="213360"/>
              <wp:wrapNone/>
              <wp:docPr id="59" name="Shape 59"/>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85" type="#_x0000_t202" style="position:absolute;margin-left:59.799999999999997pt;margin-top:746.39999999999998pt;width:168.5pt;height:16.800000000000001pt;z-index:-18874402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34" behindDoc="1" locked="0" layoutInCell="1" allowOverlap="1">
              <wp:simplePos x="0" y="0"/>
              <wp:positionH relativeFrom="page">
                <wp:posOffset>5925820</wp:posOffset>
              </wp:positionH>
              <wp:positionV relativeFrom="page">
                <wp:posOffset>9479280</wp:posOffset>
              </wp:positionV>
              <wp:extent cx="594360" cy="94615"/>
              <wp:wrapNone/>
              <wp:docPr id="61" name="Shape 61"/>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87" type="#_x0000_t202" style="position:absolute;margin-left:466.60000000000002pt;margin-top:746.39999999999998pt;width:46.799999999999997pt;height:7.4500000000000002pt;z-index:-18874401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735330</wp:posOffset>
              </wp:positionH>
              <wp:positionV relativeFrom="page">
                <wp:posOffset>9441180</wp:posOffset>
              </wp:positionV>
              <wp:extent cx="6217920" cy="0"/>
              <wp:wrapNone/>
              <wp:docPr id="63" name="Shape 63"/>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99999999999999pt;margin-top:743.39999999999998pt;width:489.60000000000002pt;height:0;z-index:-251658240;mso-position-horizontal-relative:page;mso-position-vertical-relative:page">
              <v:stroke weight="1.pt"/>
            </v:shape>
          </w:pict>
        </mc:Fallback>
      </mc:AlternateContent>
    </w: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758825</wp:posOffset>
              </wp:positionH>
              <wp:positionV relativeFrom="page">
                <wp:posOffset>9476105</wp:posOffset>
              </wp:positionV>
              <wp:extent cx="2139950" cy="213360"/>
              <wp:wrapNone/>
              <wp:docPr id="70" name="Shape 70"/>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096" type="#_x0000_t202" style="position:absolute;margin-left:59.75pt;margin-top:746.14999999999998pt;width:168.5pt;height:16.800000000000001pt;z-index:-18874401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44" behindDoc="1" locked="0" layoutInCell="1" allowOverlap="1">
              <wp:simplePos x="0" y="0"/>
              <wp:positionH relativeFrom="page">
                <wp:posOffset>5925185</wp:posOffset>
              </wp:positionH>
              <wp:positionV relativeFrom="page">
                <wp:posOffset>9476105</wp:posOffset>
              </wp:positionV>
              <wp:extent cx="594360" cy="94615"/>
              <wp:wrapNone/>
              <wp:docPr id="72" name="Shape 72"/>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098" type="#_x0000_t202" style="position:absolute;margin-left:466.55000000000001pt;margin-top:746.14999999999998pt;width:46.799999999999997pt;height:7.4500000000000002pt;z-index:-18874400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74" name="Shape 74"/>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758825</wp:posOffset>
              </wp:positionH>
              <wp:positionV relativeFrom="page">
                <wp:posOffset>9476105</wp:posOffset>
              </wp:positionV>
              <wp:extent cx="2139950" cy="213360"/>
              <wp:wrapNone/>
              <wp:docPr id="85" name="Shape 85"/>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111" type="#_x0000_t202" style="position:absolute;margin-left:59.75pt;margin-top:746.14999999999998pt;width:168.5pt;height:16.800000000000001pt;z-index:-18874400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54" behindDoc="1" locked="0" layoutInCell="1" allowOverlap="1">
              <wp:simplePos x="0" y="0"/>
              <wp:positionH relativeFrom="page">
                <wp:posOffset>5925185</wp:posOffset>
              </wp:positionH>
              <wp:positionV relativeFrom="page">
                <wp:posOffset>9476105</wp:posOffset>
              </wp:positionV>
              <wp:extent cx="594360" cy="94615"/>
              <wp:wrapNone/>
              <wp:docPr id="87" name="Shape 87"/>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113" type="#_x0000_t202" style="position:absolute;margin-left:466.55000000000001pt;margin-top:746.14999999999998pt;width:46.799999999999997pt;height:7.4500000000000002pt;z-index:-18874399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89" name="Shape 89"/>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758825</wp:posOffset>
              </wp:positionH>
              <wp:positionV relativeFrom="page">
                <wp:posOffset>9476105</wp:posOffset>
              </wp:positionV>
              <wp:extent cx="2139950" cy="213360"/>
              <wp:wrapNone/>
              <wp:docPr id="96" name="Shape 96"/>
              <a:graphic xmlns:a="http://schemas.openxmlformats.org/drawingml/2006/main">
                <a:graphicData uri="http://schemas.microsoft.com/office/word/2010/wordprocessingShape">
                  <wps:wsp>
                    <wps:cNvSpPr txBox="1"/>
                    <wps:spPr>
                      <a:xfrm>
                        <a:ext cx="2139950" cy="21336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wps:txbx>
                    <wps:bodyPr wrap="none" lIns="0" tIns="0" rIns="0" bIns="0">
                      <a:spAutoFit/>
                    </wps:bodyPr>
                  </wps:wsp>
                </a:graphicData>
              </a:graphic>
            </wp:anchor>
          </w:drawing>
        </mc:Choice>
        <mc:Fallback>
          <w:pict>
            <v:shape id="_x0000_s1122" type="#_x0000_t202" style="position:absolute;margin-left:59.75pt;margin-top:746.14999999999998pt;width:168.5pt;height:16.800000000000001pt;z-index:-18874399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Smlouva o zajištění výkonu TDS na staveništi -</w:t>
                    </w:r>
                  </w:p>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akce: </w:t>
                    </w:r>
                    <w:r>
                      <w:rPr>
                        <w:rFonts w:ascii="Arial" w:eastAsia="Arial" w:hAnsi="Arial" w:cs="Arial"/>
                        <w:b/>
                        <w:bCs/>
                        <w:color w:val="000000"/>
                        <w:spacing w:val="0"/>
                        <w:w w:val="100"/>
                        <w:position w:val="0"/>
                        <w:sz w:val="16"/>
                        <w:szCs w:val="16"/>
                        <w:shd w:val="clear" w:color="auto" w:fill="auto"/>
                        <w:lang w:val="cs-CZ" w:eastAsia="cs-CZ" w:bidi="cs-CZ"/>
                      </w:rPr>
                      <w:t>„III/36068 Šebkovice - křiž. III/36072“</w:t>
                    </w:r>
                  </w:p>
                </w:txbxContent>
              </v:textbox>
              <w10:wrap anchorx="page" anchory="page"/>
            </v:shape>
          </w:pict>
        </mc:Fallback>
      </mc:AlternateContent>
    </w:r>
    <w:r>
      <mc:AlternateContent>
        <mc:Choice Requires="wps">
          <w:drawing>
            <wp:anchor distT="0" distB="0" distL="0" distR="0" simplePos="0" relativeHeight="62914764" behindDoc="1" locked="0" layoutInCell="1" allowOverlap="1">
              <wp:simplePos x="0" y="0"/>
              <wp:positionH relativeFrom="page">
                <wp:posOffset>5925185</wp:posOffset>
              </wp:positionH>
              <wp:positionV relativeFrom="page">
                <wp:posOffset>9476105</wp:posOffset>
              </wp:positionV>
              <wp:extent cx="594360" cy="94615"/>
              <wp:wrapNone/>
              <wp:docPr id="98" name="Shape 98"/>
              <a:graphic xmlns:a="http://schemas.openxmlformats.org/drawingml/2006/main">
                <a:graphicData uri="http://schemas.microsoft.com/office/word/2010/wordprocessingShape">
                  <wps:wsp>
                    <wps:cNvSpPr txBox="1"/>
                    <wps:spPr>
                      <a:xfrm>
                        <a:ext cx="594360" cy="9461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wps:txbx>
                    <wps:bodyPr wrap="none" lIns="0" tIns="0" rIns="0" bIns="0">
                      <a:spAutoFit/>
                    </wps:bodyPr>
                  </wps:wsp>
                </a:graphicData>
              </a:graphic>
            </wp:anchor>
          </w:drawing>
        </mc:Choice>
        <mc:Fallback>
          <w:pict>
            <v:shape id="_x0000_s1124" type="#_x0000_t202" style="position:absolute;margin-left:466.55000000000001pt;margin-top:746.14999999999998pt;width:46.799999999999997pt;height:7.4500000000000002pt;z-index:-18874398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cs-CZ" w:eastAsia="cs-CZ" w:bidi="cs-CZ"/>
                      </w:rPr>
                      <w:t xml:space="preserve">Stránka </w:t>
                    </w:r>
                    <w:fldSimple w:instr=" PAGE \* MERGEFORMAT ">
                      <w:r>
                        <w:rPr>
                          <w:rFonts w:ascii="Arial" w:eastAsia="Arial" w:hAnsi="Arial" w:cs="Arial"/>
                          <w:color w:val="000000"/>
                          <w:spacing w:val="0"/>
                          <w:w w:val="100"/>
                          <w:position w:val="0"/>
                          <w:sz w:val="16"/>
                          <w:szCs w:val="16"/>
                          <w:shd w:val="clear" w:color="auto" w:fill="auto"/>
                          <w:lang w:val="cs-CZ" w:eastAsia="cs-CZ" w:bidi="cs-CZ"/>
                        </w:rPr>
                        <w:t>#</w:t>
                      </w:r>
                    </w:fldSimple>
                    <w:r>
                      <w:rPr>
                        <w:rFonts w:ascii="Arial" w:eastAsia="Arial" w:hAnsi="Arial" w:cs="Arial"/>
                        <w:color w:val="000000"/>
                        <w:spacing w:val="0"/>
                        <w:w w:val="100"/>
                        <w:position w:val="0"/>
                        <w:sz w:val="16"/>
                        <w:szCs w:val="16"/>
                        <w:shd w:val="clear" w:color="auto" w:fill="auto"/>
                        <w:lang w:val="cs-CZ" w:eastAsia="cs-CZ" w:bidi="cs-CZ"/>
                      </w:rPr>
                      <w:t xml:space="preserve"> z 9</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734695</wp:posOffset>
              </wp:positionH>
              <wp:positionV relativeFrom="page">
                <wp:posOffset>9441180</wp:posOffset>
              </wp:positionV>
              <wp:extent cx="6217920" cy="0"/>
              <wp:wrapNone/>
              <wp:docPr id="100" name="Shape 100"/>
              <a:graphic xmlns:a="http://schemas.openxmlformats.org/drawingml/2006/main">
                <a:graphicData uri="http://schemas.microsoft.com/office/word/2010/wordprocessingShape">
                  <wps:wsp>
                    <wps:cNvCnPr/>
                    <wps:spPr>
                      <a:xfrm>
                        <a:ext cx="6217920" cy="0"/>
                      </a:xfrm>
                      <a:prstGeom prst="straightConnector1"/>
                      <a:ln w="12700">
                        <a:solidFill/>
                      </a:ln>
                    </wps:spPr>
                    <wps:bodyPr/>
                  </wps:wsp>
                </a:graphicData>
              </a:graphic>
            </wp:anchor>
          </w:drawing>
        </mc:Choice>
        <mc:Fallback>
          <w:pict>
            <v:shape o:spt="32" o:oned="true" path="m,l21600,21600e" style="position:absolute;margin-left:57.850000000000001pt;margin-top:743.39999999999998pt;width:489.60000000000002pt;height:0;z-index:-251658240;mso-position-horizontal-relative:page;mso-position-vertical-relative:page">
              <v:stroke weight="1.pt"/>
            </v:shape>
          </w:pict>
        </mc:Fallback>
      </mc:AlternateContent>
    </w: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778510</wp:posOffset>
              </wp:positionH>
              <wp:positionV relativeFrom="page">
                <wp:posOffset>8311515</wp:posOffset>
              </wp:positionV>
              <wp:extent cx="5099050" cy="85090"/>
              <wp:wrapNone/>
              <wp:docPr id="101" name="Shape 101"/>
              <a:graphic xmlns:a="http://schemas.openxmlformats.org/drawingml/2006/main">
                <a:graphicData uri="http://schemas.microsoft.com/office/word/2010/wordprocessingShape">
                  <wps:wsp>
                    <wps:cNvSpPr txBox="1"/>
                    <wps:spPr>
                      <a:xfrm>
                        <a:ext cx="5099050" cy="850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wps:txbx>
                    <wps:bodyPr wrap="none" lIns="0" tIns="0" rIns="0" bIns="0">
                      <a:spAutoFit/>
                    </wps:bodyPr>
                  </wps:wsp>
                </a:graphicData>
              </a:graphic>
            </wp:anchor>
          </w:drawing>
        </mc:Choice>
        <mc:Fallback>
          <w:pict>
            <v:shape id="_x0000_s1127" type="#_x0000_t202" style="position:absolute;margin-left:61.299999999999997pt;margin-top:654.45000000000005pt;width:401.5pt;height:6.7000000000000002pt;z-index:-18874398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4"/>
                        <w:szCs w:val="14"/>
                      </w:rPr>
                    </w:pPr>
                    <w:r>
                      <w:rPr>
                        <w:rFonts w:ascii="Arial" w:eastAsia="Arial" w:hAnsi="Arial" w:cs="Arial"/>
                        <w:b/>
                        <w:bCs/>
                        <w:i/>
                        <w:iCs/>
                        <w:color w:val="000000"/>
                        <w:spacing w:val="0"/>
                        <w:w w:val="100"/>
                        <w:position w:val="0"/>
                        <w:sz w:val="14"/>
                        <w:szCs w:val="14"/>
                        <w:shd w:val="clear" w:color="auto" w:fill="auto"/>
                        <w:lang w:val="cs-CZ" w:eastAsia="cs-CZ" w:bidi="cs-CZ"/>
                      </w:rPr>
                      <w:t xml:space="preserve">** </w:t>
                    </w:r>
                    <w:r>
                      <w:rPr>
                        <w:rFonts w:ascii="Arial" w:eastAsia="Arial" w:hAnsi="Arial" w:cs="Arial"/>
                        <w:i/>
                        <w:iCs/>
                        <w:color w:val="000000"/>
                        <w:spacing w:val="0"/>
                        <w:w w:val="100"/>
                        <w:position w:val="0"/>
                        <w:sz w:val="14"/>
                        <w:szCs w:val="14"/>
                        <w:u w:val="single"/>
                        <w:shd w:val="clear" w:color="auto" w:fill="auto"/>
                        <w:lang w:val="cs-CZ" w:eastAsia="cs-CZ" w:bidi="cs-CZ"/>
                      </w:rPr>
                      <w:t>Cena celkem (vč. DPH)</w:t>
                    </w:r>
                    <w:r>
                      <w:rPr>
                        <w:rFonts w:ascii="Arial" w:eastAsia="Arial" w:hAnsi="Arial" w:cs="Arial"/>
                        <w:i/>
                        <w:iCs/>
                        <w:color w:val="000000"/>
                        <w:spacing w:val="0"/>
                        <w:w w:val="100"/>
                        <w:position w:val="0"/>
                        <w:sz w:val="14"/>
                        <w:szCs w:val="14"/>
                        <w:shd w:val="clear" w:color="auto" w:fill="auto"/>
                        <w:lang w:val="cs-CZ" w:eastAsia="cs-CZ" w:bidi="cs-CZ"/>
                      </w:rPr>
                      <w:t xml:space="preserve"> </w:t>
                    </w:r>
                    <w:r>
                      <w:rPr>
                        <w:rFonts w:ascii="Arial" w:eastAsia="Arial" w:hAnsi="Arial" w:cs="Arial"/>
                        <w:b/>
                        <w:bCs/>
                        <w:i/>
                        <w:iCs/>
                        <w:color w:val="000000"/>
                        <w:spacing w:val="0"/>
                        <w:w w:val="100"/>
                        <w:position w:val="0"/>
                        <w:sz w:val="14"/>
                        <w:szCs w:val="14"/>
                        <w:shd w:val="clear" w:color="auto" w:fill="auto"/>
                        <w:lang w:val="cs-CZ" w:eastAsia="cs-CZ" w:bidi="cs-CZ"/>
                      </w:rPr>
                      <w:t xml:space="preserve">bude použita k hodnocení podaných nabídek, </w:t>
                    </w:r>
                    <w:r>
                      <w:rPr>
                        <w:rFonts w:ascii="Arial" w:eastAsia="Arial" w:hAnsi="Arial" w:cs="Arial"/>
                        <w:i/>
                        <w:iCs/>
                        <w:color w:val="000000"/>
                        <w:spacing w:val="0"/>
                        <w:w w:val="100"/>
                        <w:position w:val="0"/>
                        <w:sz w:val="14"/>
                        <w:szCs w:val="14"/>
                        <w:shd w:val="clear" w:color="auto" w:fill="auto"/>
                        <w:lang w:val="cs-CZ" w:eastAsia="cs-CZ" w:bidi="cs-CZ"/>
                      </w:rPr>
                      <w:t>ve Smlouvě o zajištění výkonu TDS uvedena nebude.</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774065</wp:posOffset>
              </wp:positionH>
              <wp:positionV relativeFrom="page">
                <wp:posOffset>295910</wp:posOffset>
              </wp:positionV>
              <wp:extent cx="2179320" cy="463550"/>
              <wp:wrapNone/>
              <wp:docPr id="1" name="Shape 1"/>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60.950000000000003pt;margin-top:23.300000000000001pt;width:171.59999999999999pt;height:36.5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692" behindDoc="1" locked="0" layoutInCell="1" allowOverlap="1">
              <wp:simplePos x="0" y="0"/>
              <wp:positionH relativeFrom="page">
                <wp:posOffset>4666615</wp:posOffset>
              </wp:positionH>
              <wp:positionV relativeFrom="page">
                <wp:posOffset>636905</wp:posOffset>
              </wp:positionV>
              <wp:extent cx="966470" cy="161290"/>
              <wp:wrapNone/>
              <wp:docPr id="3" name="Shape 3"/>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29" type="#_x0000_t202" style="position:absolute;margin-left:367.44999999999999pt;margin-top:50.149999999999999pt;width:76.099999999999994pt;height:12.699999999999999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774065</wp:posOffset>
              </wp:positionH>
              <wp:positionV relativeFrom="page">
                <wp:posOffset>295910</wp:posOffset>
              </wp:positionV>
              <wp:extent cx="2179320" cy="463550"/>
              <wp:wrapNone/>
              <wp:docPr id="10" name="Shape 10"/>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36" type="#_x0000_t202" style="position:absolute;margin-left:60.950000000000003pt;margin-top:23.300000000000001pt;width:171.59999999999999pt;height:36.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00" behindDoc="1" locked="0" layoutInCell="1" allowOverlap="1">
              <wp:simplePos x="0" y="0"/>
              <wp:positionH relativeFrom="page">
                <wp:posOffset>4666615</wp:posOffset>
              </wp:positionH>
              <wp:positionV relativeFrom="page">
                <wp:posOffset>636905</wp:posOffset>
              </wp:positionV>
              <wp:extent cx="966470" cy="161290"/>
              <wp:wrapNone/>
              <wp:docPr id="12" name="Shape 12"/>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38" type="#_x0000_t202" style="position:absolute;margin-left:367.44999999999999pt;margin-top:50.149999999999999pt;width:76.099999999999994pt;height:12.699999999999999pt;z-index:-18874405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4660900</wp:posOffset>
              </wp:positionH>
              <wp:positionV relativeFrom="page">
                <wp:posOffset>247015</wp:posOffset>
              </wp:positionV>
              <wp:extent cx="981710" cy="356870"/>
              <wp:wrapNone/>
              <wp:docPr id="21" name="Shape 21"/>
              <a:graphic xmlns:a="http://schemas.openxmlformats.org/drawingml/2006/main">
                <a:graphicData uri="http://schemas.microsoft.com/office/word/2010/wordprocessingShape">
                  <wps:wsp>
                    <wps:cNvSpPr txBox="1"/>
                    <wps:spPr>
                      <a:xfrm>
                        <a:ext cx="981710" cy="356870"/>
                      </a:xfrm>
                      <a:prstGeom prst="rect"/>
                      <a:noFill/>
                    </wps:spPr>
                    <wps:txbx>
                      <w:txbxContent>
                        <w:p>
                          <w:pPr>
                            <w:widowControl w:val="0"/>
                            <w:rPr>
                              <w:sz w:val="2"/>
                              <w:szCs w:val="2"/>
                            </w:rPr>
                          </w:pPr>
                          <w:r>
                            <w:drawing>
                              <wp:inline>
                                <wp:extent cx="981710" cy="359410"/>
                                <wp:docPr id="22" name="Picutre 22"/>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
                                        <a:stretch/>
                                      </pic:blipFill>
                                      <pic:spPr>
                                        <a:xfrm>
                                          <a:ext cx="981710" cy="359410"/>
                                        </a:xfrm>
                                        <a:prstGeom prst="rect"/>
                                      </pic:spPr>
                                    </pic:pic>
                                  </a:graphicData>
                                </a:graphic>
                              </wp:inline>
                            </w:drawing>
                          </w:r>
                        </w:p>
                      </w:txbxContent>
                    </wps:txbx>
                    <wps:bodyPr lIns="0" tIns="0" rIns="0" bIns="0">
                      <a:noAutoFit/>
                    </wps:bodyPr>
                  </wps:wsp>
                </a:graphicData>
              </a:graphic>
            </wp:anchor>
          </w:drawing>
        </mc:Choice>
        <mc:Fallback>
          <w:pict>
            <v:shape id="_x0000_s1048" type="#_x0000_t202" style="position:absolute;margin-left:367.pt;margin-top:19.449999999999999pt;width:77.299999999999997pt;height:28.100000000000001pt;z-index:-188744047;mso-wrap-distance-left:0;mso-wrap-distance-right:0;mso-position-horizontal-relative:page;mso-position-vertical-relative:page" wrapcoords="0 0" filled="f" stroked="f">
              <v:textbox inset="0,0,0,0">
                <w:txbxContent>
                  <w:p>
                    <w:pPr>
                      <w:widowControl w:val="0"/>
                      <w:rPr>
                        <w:sz w:val="2"/>
                        <w:szCs w:val="2"/>
                      </w:rPr>
                    </w:pPr>
                    <w:r>
                      <w:drawing>
                        <wp:inline>
                          <wp:extent cx="981710" cy="359410"/>
                          <wp:docPr id="24" name="Picutre 24"/>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ext cx="981710" cy="3594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08" behindDoc="1" locked="0" layoutInCell="1" allowOverlap="1">
              <wp:simplePos x="0" y="0"/>
              <wp:positionH relativeFrom="page">
                <wp:posOffset>774700</wp:posOffset>
              </wp:positionH>
              <wp:positionV relativeFrom="page">
                <wp:posOffset>295910</wp:posOffset>
              </wp:positionV>
              <wp:extent cx="2179320" cy="463550"/>
              <wp:wrapNone/>
              <wp:docPr id="25" name="Shape 25"/>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51" type="#_x0000_t202" style="position:absolute;margin-left:61.pt;margin-top:23.300000000000001pt;width:171.59999999999999pt;height:36.5pt;z-index:-18874404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10" behindDoc="1" locked="0" layoutInCell="1" allowOverlap="1">
              <wp:simplePos x="0" y="0"/>
              <wp:positionH relativeFrom="page">
                <wp:posOffset>4667250</wp:posOffset>
              </wp:positionH>
              <wp:positionV relativeFrom="page">
                <wp:posOffset>636905</wp:posOffset>
              </wp:positionV>
              <wp:extent cx="966470" cy="161290"/>
              <wp:wrapNone/>
              <wp:docPr id="27" name="Shape 27"/>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53" type="#_x0000_t202" style="position:absolute;margin-left:367.5pt;margin-top:50.149999999999999pt;width:76.099999999999994pt;height:12.699999999999999pt;z-index:-18874404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4660900</wp:posOffset>
              </wp:positionH>
              <wp:positionV relativeFrom="page">
                <wp:posOffset>247015</wp:posOffset>
              </wp:positionV>
              <wp:extent cx="981710" cy="356870"/>
              <wp:wrapNone/>
              <wp:docPr id="34" name="Shape 34"/>
              <a:graphic xmlns:a="http://schemas.openxmlformats.org/drawingml/2006/main">
                <a:graphicData uri="http://schemas.microsoft.com/office/word/2010/wordprocessingShape">
                  <wps:wsp>
                    <wps:cNvSpPr txBox="1"/>
                    <wps:spPr>
                      <a:xfrm>
                        <a:ext cx="981710" cy="356870"/>
                      </a:xfrm>
                      <a:prstGeom prst="rect"/>
                      <a:noFill/>
                    </wps:spPr>
                    <wps:txbx>
                      <w:txbxContent>
                        <w:p>
                          <w:pPr>
                            <w:widowControl w:val="0"/>
                            <w:rPr>
                              <w:sz w:val="2"/>
                              <w:szCs w:val="2"/>
                            </w:rPr>
                          </w:pPr>
                          <w:r>
                            <w:drawing>
                              <wp:inline>
                                <wp:extent cx="981710" cy="359410"/>
                                <wp:docPr id="35" name="Picutre 35"/>
                                <a:graphic xmlns:a="http://schemas.openxmlformats.org/drawingml/2006/main">
                                  <a:graphicData uri="http://schemas.openxmlformats.org/drawingml/2006/picture">
                                    <pic:pic xmlns:pic="http://schemas.openxmlformats.org/drawingml/2006/picture">
                                      <pic:nvPicPr>
                                        <pic:cNvPr id="35" name="Picture 35"/>
                                        <pic:cNvPicPr/>
                                      </pic:nvPicPr>
                                      <pic:blipFill>
                                        <a:blip r:embed="rId1"/>
                                        <a:stretch/>
                                      </pic:blipFill>
                                      <pic:spPr>
                                        <a:xfrm>
                                          <a:ext cx="981710" cy="359410"/>
                                        </a:xfrm>
                                        <a:prstGeom prst="rect"/>
                                      </pic:spPr>
                                    </pic:pic>
                                  </a:graphicData>
                                </a:graphic>
                              </wp:inline>
                            </w:drawing>
                          </w:r>
                        </w:p>
                      </w:txbxContent>
                    </wps:txbx>
                    <wps:bodyPr lIns="0" tIns="0" rIns="0" bIns="0">
                      <a:noAutoFit/>
                    </wps:bodyPr>
                  </wps:wsp>
                </a:graphicData>
              </a:graphic>
            </wp:anchor>
          </w:drawing>
        </mc:Choice>
        <mc:Fallback>
          <w:pict>
            <v:shape id="_x0000_s1061" type="#_x0000_t202" style="position:absolute;margin-left:367.pt;margin-top:19.449999999999999pt;width:77.299999999999997pt;height:28.100000000000001pt;z-index:-188744037;mso-wrap-distance-left:0;mso-wrap-distance-right:0;mso-position-horizontal-relative:page;mso-position-vertical-relative:page" wrapcoords="0 0" filled="f" stroked="f">
              <v:textbox inset="0,0,0,0">
                <w:txbxContent>
                  <w:p>
                    <w:pPr>
                      <w:widowControl w:val="0"/>
                      <w:rPr>
                        <w:sz w:val="2"/>
                        <w:szCs w:val="2"/>
                      </w:rPr>
                    </w:pPr>
                    <w:r>
                      <w:drawing>
                        <wp:inline>
                          <wp:extent cx="981710" cy="359410"/>
                          <wp:docPr id="37" name="Picutre 37"/>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stretch/>
                                </pic:blipFill>
                                <pic:spPr>
                                  <a:xfrm>
                                    <a:ext cx="981710" cy="3594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18" behindDoc="1" locked="0" layoutInCell="1" allowOverlap="1">
              <wp:simplePos x="0" y="0"/>
              <wp:positionH relativeFrom="page">
                <wp:posOffset>774700</wp:posOffset>
              </wp:positionH>
              <wp:positionV relativeFrom="page">
                <wp:posOffset>295910</wp:posOffset>
              </wp:positionV>
              <wp:extent cx="2179320" cy="463550"/>
              <wp:wrapNone/>
              <wp:docPr id="38" name="Shape 38"/>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64" type="#_x0000_t202" style="position:absolute;margin-left:61.pt;margin-top:23.300000000000001pt;width:171.59999999999999pt;height:36.5pt;z-index:-18874403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20" behindDoc="1" locked="0" layoutInCell="1" allowOverlap="1">
              <wp:simplePos x="0" y="0"/>
              <wp:positionH relativeFrom="page">
                <wp:posOffset>4667250</wp:posOffset>
              </wp:positionH>
              <wp:positionV relativeFrom="page">
                <wp:posOffset>636905</wp:posOffset>
              </wp:positionV>
              <wp:extent cx="966470" cy="161290"/>
              <wp:wrapNone/>
              <wp:docPr id="40" name="Shape 40"/>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66" type="#_x0000_t202" style="position:absolute;margin-left:367.5pt;margin-top:50.149999999999999pt;width:76.099999999999994pt;height:12.699999999999999pt;z-index:-18874403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4660900</wp:posOffset>
              </wp:positionH>
              <wp:positionV relativeFrom="page">
                <wp:posOffset>247015</wp:posOffset>
              </wp:positionV>
              <wp:extent cx="981710" cy="356870"/>
              <wp:wrapNone/>
              <wp:docPr id="51" name="Shape 51"/>
              <a:graphic xmlns:a="http://schemas.openxmlformats.org/drawingml/2006/main">
                <a:graphicData uri="http://schemas.microsoft.com/office/word/2010/wordprocessingShape">
                  <wps:wsp>
                    <wps:cNvSpPr txBox="1"/>
                    <wps:spPr>
                      <a:xfrm>
                        <a:ext cx="981710" cy="356870"/>
                      </a:xfrm>
                      <a:prstGeom prst="rect"/>
                      <a:noFill/>
                    </wps:spPr>
                    <wps:txbx>
                      <w:txbxContent>
                        <w:p>
                          <w:pPr>
                            <w:widowControl w:val="0"/>
                            <w:rPr>
                              <w:sz w:val="2"/>
                              <w:szCs w:val="2"/>
                            </w:rPr>
                          </w:pPr>
                          <w:r>
                            <w:drawing>
                              <wp:inline>
                                <wp:extent cx="981710" cy="359410"/>
                                <wp:docPr id="52" name="Picutre 52"/>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pic:blipFill>
                                      <pic:spPr>
                                        <a:xfrm>
                                          <a:ext cx="981710" cy="359410"/>
                                        </a:xfrm>
                                        <a:prstGeom prst="rect"/>
                                      </pic:spPr>
                                    </pic:pic>
                                  </a:graphicData>
                                </a:graphic>
                              </wp:inline>
                            </w:drawing>
                          </w:r>
                        </w:p>
                      </w:txbxContent>
                    </wps:txbx>
                    <wps:bodyPr lIns="0" tIns="0" rIns="0" bIns="0">
                      <a:noAutoFit/>
                    </wps:bodyPr>
                  </wps:wsp>
                </a:graphicData>
              </a:graphic>
            </wp:anchor>
          </w:drawing>
        </mc:Choice>
        <mc:Fallback>
          <w:pict>
            <v:shape id="_x0000_s1078" type="#_x0000_t202" style="position:absolute;margin-left:367.pt;margin-top:19.449999999999999pt;width:77.299999999999997pt;height:28.100000000000001pt;z-index:-188744027;mso-wrap-distance-left:0;mso-wrap-distance-right:0;mso-position-horizontal-relative:page;mso-position-vertical-relative:page" wrapcoords="0 0" filled="f" stroked="f">
              <v:textbox inset="0,0,0,0">
                <w:txbxContent>
                  <w:p>
                    <w:pPr>
                      <w:widowControl w:val="0"/>
                      <w:rPr>
                        <w:sz w:val="2"/>
                        <w:szCs w:val="2"/>
                      </w:rPr>
                    </w:pPr>
                    <w:r>
                      <w:drawing>
                        <wp:inline>
                          <wp:extent cx="981710" cy="359410"/>
                          <wp:docPr id="54" name="Picutre 54"/>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pic:blipFill>
                                <pic:spPr>
                                  <a:xfrm>
                                    <a:ext cx="981710" cy="359410"/>
                                  </a:xfrm>
                                  <a:prstGeom prst="rect"/>
                                </pic:spPr>
                              </pic:pic>
                            </a:graphicData>
                          </a:graphic>
                        </wp:inline>
                      </w:drawing>
                    </w:r>
                  </w:p>
                </w:txbxContent>
              </v:textbox>
              <w10:wrap anchorx="page" anchory="page"/>
            </v:shape>
          </w:pict>
        </mc:Fallback>
      </mc:AlternateContent>
    </w:r>
    <w:r>
      <mc:AlternateContent>
        <mc:Choice Requires="wps">
          <w:drawing>
            <wp:anchor distT="0" distB="0" distL="0" distR="0" simplePos="0" relativeHeight="62914728" behindDoc="1" locked="0" layoutInCell="1" allowOverlap="1">
              <wp:simplePos x="0" y="0"/>
              <wp:positionH relativeFrom="page">
                <wp:posOffset>774700</wp:posOffset>
              </wp:positionH>
              <wp:positionV relativeFrom="page">
                <wp:posOffset>295910</wp:posOffset>
              </wp:positionV>
              <wp:extent cx="2179320" cy="463550"/>
              <wp:wrapNone/>
              <wp:docPr id="55" name="Shape 55"/>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81" type="#_x0000_t202" style="position:absolute;margin-left:61.pt;margin-top:23.300000000000001pt;width:171.59999999999999pt;height:36.5pt;z-index:-18874402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30" behindDoc="1" locked="0" layoutInCell="1" allowOverlap="1">
              <wp:simplePos x="0" y="0"/>
              <wp:positionH relativeFrom="page">
                <wp:posOffset>4667250</wp:posOffset>
              </wp:positionH>
              <wp:positionV relativeFrom="page">
                <wp:posOffset>636905</wp:posOffset>
              </wp:positionV>
              <wp:extent cx="966470" cy="161290"/>
              <wp:wrapNone/>
              <wp:docPr id="57" name="Shape 57"/>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83" type="#_x0000_t202" style="position:absolute;margin-left:367.5pt;margin-top:50.149999999999999pt;width:76.099999999999994pt;height:12.699999999999999pt;z-index:-18874402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4666615</wp:posOffset>
              </wp:positionH>
              <wp:positionV relativeFrom="page">
                <wp:posOffset>247015</wp:posOffset>
              </wp:positionV>
              <wp:extent cx="963295" cy="353695"/>
              <wp:wrapNone/>
              <wp:docPr id="64" name="Shape 64"/>
              <a:graphic xmlns:a="http://schemas.openxmlformats.org/drawingml/2006/main">
                <a:graphicData uri="http://schemas.microsoft.com/office/word/2010/wordprocessingShape">
                  <wps:wsp>
                    <wps:cNvSpPr txBox="1"/>
                    <wps:spPr>
                      <a:xfrm>
                        <a:ext cx="963295" cy="3536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wps:txbx>
                    <wps:bodyPr wrap="none" lIns="0" tIns="0" rIns="0" bIns="0">
                      <a:spAutoFit/>
                    </wps:bodyPr>
                  </wps:wsp>
                </a:graphicData>
              </a:graphic>
            </wp:anchor>
          </w:drawing>
        </mc:Choice>
        <mc:Fallback>
          <w:pict>
            <v:shape id="_x0000_s1090" type="#_x0000_t202" style="position:absolute;margin-left:367.44999999999999pt;margin-top:19.449999999999999pt;width:75.849999999999994pt;height:27.850000000000001pt;z-index:-18874401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38" behindDoc="1" locked="0" layoutInCell="1" allowOverlap="1">
              <wp:simplePos x="0" y="0"/>
              <wp:positionH relativeFrom="page">
                <wp:posOffset>774065</wp:posOffset>
              </wp:positionH>
              <wp:positionV relativeFrom="page">
                <wp:posOffset>295910</wp:posOffset>
              </wp:positionV>
              <wp:extent cx="2179320" cy="463550"/>
              <wp:wrapNone/>
              <wp:docPr id="66" name="Shape 66"/>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092" type="#_x0000_t202" style="position:absolute;margin-left:60.950000000000003pt;margin-top:23.300000000000001pt;width:171.59999999999999pt;height:36.5pt;z-index:-18874401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40" behindDoc="1" locked="0" layoutInCell="1" allowOverlap="1">
              <wp:simplePos x="0" y="0"/>
              <wp:positionH relativeFrom="page">
                <wp:posOffset>4666615</wp:posOffset>
              </wp:positionH>
              <wp:positionV relativeFrom="page">
                <wp:posOffset>636905</wp:posOffset>
              </wp:positionV>
              <wp:extent cx="966470" cy="161290"/>
              <wp:wrapNone/>
              <wp:docPr id="68" name="Shape 68"/>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094" type="#_x0000_t202" style="position:absolute;margin-left:367.44999999999999pt;margin-top:50.149999999999999pt;width:76.099999999999994pt;height:12.699999999999999pt;z-index:-18874401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4666615</wp:posOffset>
              </wp:positionH>
              <wp:positionV relativeFrom="page">
                <wp:posOffset>247015</wp:posOffset>
              </wp:positionV>
              <wp:extent cx="963295" cy="353695"/>
              <wp:wrapNone/>
              <wp:docPr id="79" name="Shape 79"/>
              <a:graphic xmlns:a="http://schemas.openxmlformats.org/drawingml/2006/main">
                <a:graphicData uri="http://schemas.microsoft.com/office/word/2010/wordprocessingShape">
                  <wps:wsp>
                    <wps:cNvSpPr txBox="1"/>
                    <wps:spPr>
                      <a:xfrm>
                        <a:ext cx="963295" cy="3536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wps:txbx>
                    <wps:bodyPr wrap="none" lIns="0" tIns="0" rIns="0" bIns="0">
                      <a:spAutoFit/>
                    </wps:bodyPr>
                  </wps:wsp>
                </a:graphicData>
              </a:graphic>
            </wp:anchor>
          </w:drawing>
        </mc:Choice>
        <mc:Fallback>
          <w:pict>
            <v:shape id="_x0000_s1105" type="#_x0000_t202" style="position:absolute;margin-left:367.44999999999999pt;margin-top:19.449999999999999pt;width:75.849999999999994pt;height:27.850000000000001pt;z-index:-18874400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48" behindDoc="1" locked="0" layoutInCell="1" allowOverlap="1">
              <wp:simplePos x="0" y="0"/>
              <wp:positionH relativeFrom="page">
                <wp:posOffset>774065</wp:posOffset>
              </wp:positionH>
              <wp:positionV relativeFrom="page">
                <wp:posOffset>295910</wp:posOffset>
              </wp:positionV>
              <wp:extent cx="2179320" cy="463550"/>
              <wp:wrapNone/>
              <wp:docPr id="81" name="Shape 81"/>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107" type="#_x0000_t202" style="position:absolute;margin-left:60.950000000000003pt;margin-top:23.300000000000001pt;width:171.59999999999999pt;height:36.5pt;z-index:-18874400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50" behindDoc="1" locked="0" layoutInCell="1" allowOverlap="1">
              <wp:simplePos x="0" y="0"/>
              <wp:positionH relativeFrom="page">
                <wp:posOffset>4666615</wp:posOffset>
              </wp:positionH>
              <wp:positionV relativeFrom="page">
                <wp:posOffset>636905</wp:posOffset>
              </wp:positionV>
              <wp:extent cx="966470" cy="161290"/>
              <wp:wrapNone/>
              <wp:docPr id="83" name="Shape 83"/>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109" type="#_x0000_t202" style="position:absolute;margin-left:367.44999999999999pt;margin-top:50.149999999999999pt;width:76.099999999999994pt;height:12.699999999999999pt;z-index:-18874400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4666615</wp:posOffset>
              </wp:positionH>
              <wp:positionV relativeFrom="page">
                <wp:posOffset>247015</wp:posOffset>
              </wp:positionV>
              <wp:extent cx="963295" cy="353695"/>
              <wp:wrapNone/>
              <wp:docPr id="90" name="Shape 90"/>
              <a:graphic xmlns:a="http://schemas.openxmlformats.org/drawingml/2006/main">
                <a:graphicData uri="http://schemas.microsoft.com/office/word/2010/wordprocessingShape">
                  <wps:wsp>
                    <wps:cNvSpPr txBox="1"/>
                    <wps:spPr>
                      <a:xfrm>
                        <a:ext cx="963295" cy="3536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wps:txbx>
                    <wps:bodyPr wrap="none" lIns="0" tIns="0" rIns="0" bIns="0">
                      <a:spAutoFit/>
                    </wps:bodyPr>
                  </wps:wsp>
                </a:graphicData>
              </a:graphic>
            </wp:anchor>
          </w:drawing>
        </mc:Choice>
        <mc:Fallback>
          <w:pict>
            <v:shape id="_x0000_s1116" type="#_x0000_t202" style="position:absolute;margin-left:367.44999999999999pt;margin-top:19.449999999999999pt;width:75.849999999999994pt;height:27.850000000000001pt;z-index:-18874399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62"/>
                        <w:szCs w:val="62"/>
                      </w:rPr>
                    </w:pPr>
                    <w:r>
                      <w:rPr>
                        <w:rFonts w:ascii="Arial" w:eastAsia="Arial" w:hAnsi="Arial" w:cs="Arial"/>
                        <w:color w:val="66235A"/>
                        <w:spacing w:val="0"/>
                        <w:w w:val="100"/>
                        <w:position w:val="0"/>
                        <w:sz w:val="62"/>
                        <w:szCs w:val="62"/>
                        <w:shd w:val="clear" w:color="auto" w:fill="auto"/>
                        <w:lang w:val="cs-CZ" w:eastAsia="cs-CZ" w:bidi="cs-CZ"/>
                      </w:rPr>
                      <w:t xml:space="preserve">S </w:t>
                    </w:r>
                    <w:r>
                      <w:rPr>
                        <w:rFonts w:ascii="Arial" w:eastAsia="Arial" w:hAnsi="Arial" w:cs="Arial"/>
                        <w:color w:val="044378"/>
                        <w:spacing w:val="0"/>
                        <w:w w:val="100"/>
                        <w:position w:val="0"/>
                        <w:sz w:val="62"/>
                        <w:szCs w:val="62"/>
                        <w:shd w:val="clear" w:color="auto" w:fill="auto"/>
                        <w:lang w:val="cs-CZ" w:eastAsia="cs-CZ" w:bidi="cs-CZ"/>
                      </w:rPr>
                      <w:t>sfdi</w:t>
                    </w:r>
                  </w:p>
                </w:txbxContent>
              </v:textbox>
              <w10:wrap anchorx="page" anchory="page"/>
            </v:shape>
          </w:pict>
        </mc:Fallback>
      </mc:AlternateContent>
    </w:r>
    <w:r>
      <mc:AlternateContent>
        <mc:Choice Requires="wps">
          <w:drawing>
            <wp:anchor distT="0" distB="0" distL="0" distR="0" simplePos="0" relativeHeight="62914758" behindDoc="1" locked="0" layoutInCell="1" allowOverlap="1">
              <wp:simplePos x="0" y="0"/>
              <wp:positionH relativeFrom="page">
                <wp:posOffset>774065</wp:posOffset>
              </wp:positionH>
              <wp:positionV relativeFrom="page">
                <wp:posOffset>295910</wp:posOffset>
              </wp:positionV>
              <wp:extent cx="2179320" cy="463550"/>
              <wp:wrapNone/>
              <wp:docPr id="92" name="Shape 92"/>
              <a:graphic xmlns:a="http://schemas.openxmlformats.org/drawingml/2006/main">
                <a:graphicData uri="http://schemas.microsoft.com/office/word/2010/wordprocessingShape">
                  <wps:wsp>
                    <wps:cNvSpPr txBox="1"/>
                    <wps:spPr>
                      <a:xfrm>
                        <a:ext cx="2179320" cy="46355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wps:txbx>
                    <wps:bodyPr wrap="none" lIns="0" tIns="0" rIns="0" bIns="0">
                      <a:spAutoFit/>
                    </wps:bodyPr>
                  </wps:wsp>
                </a:graphicData>
              </a:graphic>
            </wp:anchor>
          </w:drawing>
        </mc:Choice>
        <mc:Fallback>
          <w:pict>
            <v:shape id="_x0000_s1118" type="#_x0000_t202" style="position:absolute;margin-left:60.950000000000003pt;margin-top:23.300000000000001pt;width:171.59999999999999pt;height:36.5pt;z-index:-18874399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i/>
                        <w:iCs/>
                        <w:color w:val="3B3E59"/>
                        <w:spacing w:val="0"/>
                        <w:w w:val="100"/>
                        <w:position w:val="0"/>
                        <w:sz w:val="28"/>
                        <w:szCs w:val="28"/>
                        <w:shd w:val="clear" w:color="auto" w:fill="auto"/>
                        <w:lang w:val="cs-CZ" w:eastAsia="cs-CZ" w:bidi="cs-CZ"/>
                      </w:rPr>
                      <w:t>Krajská správa</w:t>
                    </w:r>
                    <w:r>
                      <w:rPr>
                        <w:rFonts w:ascii="Arial" w:eastAsia="Arial" w:hAnsi="Arial" w:cs="Arial"/>
                        <w:b/>
                        <w:bCs/>
                        <w:i/>
                        <w:iCs/>
                        <w:color w:val="000000"/>
                        <w:spacing w:val="0"/>
                        <w:w w:val="100"/>
                        <w:position w:val="0"/>
                        <w:sz w:val="28"/>
                        <w:szCs w:val="28"/>
                        <w:shd w:val="clear" w:color="auto" w:fill="auto"/>
                        <w:lang w:val="cs-CZ" w:eastAsia="cs-CZ" w:bidi="cs-CZ"/>
                      </w:rPr>
                      <w:t xml:space="preserve"> </w:t>
                    </w:r>
                  </w:p>
                  <w:p>
                    <w:pPr>
                      <w:pStyle w:val="Style5"/>
                      <w:keepNext w:val="0"/>
                      <w:keepLines w:val="0"/>
                      <w:widowControl w:val="0"/>
                      <w:shd w:val="clear" w:color="auto" w:fill="auto"/>
                      <w:bidi w:val="0"/>
                      <w:spacing w:before="0" w:after="0" w:line="240" w:lineRule="auto"/>
                      <w:ind w:left="0" w:right="0" w:firstLine="0"/>
                      <w:jc w:val="left"/>
                      <w:rPr>
                        <w:sz w:val="28"/>
                        <w:szCs w:val="28"/>
                      </w:rPr>
                    </w:pPr>
                    <w:r>
                      <w:rPr>
                        <w:rFonts w:ascii="Arial" w:eastAsia="Arial" w:hAnsi="Arial" w:cs="Arial"/>
                        <w:b/>
                        <w:bCs/>
                        <w:color w:val="3B3E59"/>
                        <w:spacing w:val="0"/>
                        <w:w w:val="100"/>
                        <w:position w:val="0"/>
                        <w:sz w:val="28"/>
                        <w:szCs w:val="28"/>
                        <w:shd w:val="clear" w:color="auto" w:fill="auto"/>
                        <w:lang w:val="cs-CZ" w:eastAsia="cs-CZ" w:bidi="cs-CZ"/>
                      </w:rPr>
                      <w:t>a údržba silníc Vysočiny</w:t>
                    </w:r>
                  </w:p>
                </w:txbxContent>
              </v:textbox>
              <w10:wrap anchorx="page" anchory="page"/>
            </v:shape>
          </w:pict>
        </mc:Fallback>
      </mc:AlternateContent>
    </w:r>
    <w:r>
      <mc:AlternateContent>
        <mc:Choice Requires="wps">
          <w:drawing>
            <wp:anchor distT="0" distB="0" distL="0" distR="0" simplePos="0" relativeHeight="62914760" behindDoc="1" locked="0" layoutInCell="1" allowOverlap="1">
              <wp:simplePos x="0" y="0"/>
              <wp:positionH relativeFrom="page">
                <wp:posOffset>4666615</wp:posOffset>
              </wp:positionH>
              <wp:positionV relativeFrom="page">
                <wp:posOffset>636905</wp:posOffset>
              </wp:positionV>
              <wp:extent cx="966470" cy="161290"/>
              <wp:wrapNone/>
              <wp:docPr id="94" name="Shape 94"/>
              <a:graphic xmlns:a="http://schemas.openxmlformats.org/drawingml/2006/main">
                <a:graphicData uri="http://schemas.microsoft.com/office/word/2010/wordprocessingShape">
                  <wps:wsp>
                    <wps:cNvSpPr txBox="1"/>
                    <wps:spPr>
                      <a:xfrm>
                        <a:ext cx="966470" cy="16129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wps:txbx>
                    <wps:bodyPr wrap="none" lIns="0" tIns="0" rIns="0" bIns="0">
                      <a:spAutoFit/>
                    </wps:bodyPr>
                  </wps:wsp>
                </a:graphicData>
              </a:graphic>
            </wp:anchor>
          </w:drawing>
        </mc:Choice>
        <mc:Fallback>
          <w:pict>
            <v:shape id="_x0000_s1120" type="#_x0000_t202" style="position:absolute;margin-left:367.44999999999999pt;margin-top:50.149999999999999pt;width:76.099999999999994pt;height:12.699999999999999pt;z-index:-18874399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STÁTNÍ FOND DOPRAVNÍ</w:t>
                    </w:r>
                  </w:p>
                  <w:p>
                    <w:pPr>
                      <w:pStyle w:val="Style5"/>
                      <w:keepNext w:val="0"/>
                      <w:keepLines w:val="0"/>
                      <w:widowControl w:val="0"/>
                      <w:shd w:val="clear" w:color="auto" w:fill="auto"/>
                      <w:bidi w:val="0"/>
                      <w:spacing w:before="0" w:after="0" w:line="240" w:lineRule="auto"/>
                      <w:ind w:left="0" w:right="0" w:firstLine="0"/>
                      <w:jc w:val="left"/>
                      <w:rPr>
                        <w:sz w:val="12"/>
                        <w:szCs w:val="12"/>
                      </w:rPr>
                    </w:pPr>
                    <w:r>
                      <w:rPr>
                        <w:rFonts w:ascii="Arial" w:eastAsia="Arial" w:hAnsi="Arial" w:cs="Arial"/>
                        <w:color w:val="365D7D"/>
                        <w:spacing w:val="0"/>
                        <w:w w:val="100"/>
                        <w:position w:val="0"/>
                        <w:sz w:val="12"/>
                        <w:szCs w:val="12"/>
                        <w:shd w:val="clear" w:color="auto" w:fill="auto"/>
                        <w:lang w:val="cs-CZ" w:eastAsia="cs-CZ" w:bidi="cs-CZ"/>
                      </w:rPr>
                      <w:t>INFRASTRUKTURY</w:t>
                    </w:r>
                  </w:p>
                </w:txbxContent>
              </v:textbox>
              <w10:wrap anchorx="page" anchory="page"/>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2.%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lvl w:ilvl="1">
      <w:start w:val="1"/>
      <w:numFmt w:val="decimal"/>
      <w:lvlText w:val="%1.%2."/>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2">
    <w:multiLevelType w:val="multilevel"/>
    <w:lvl w:ilvl="0">
      <w:start w:val="3"/>
      <w:numFmt w:val="decimal"/>
      <w:lvlText w:val="3.%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4">
    <w:multiLevelType w:val="multilevel"/>
    <w:lvl w:ilvl="0">
      <w:start w:val="1"/>
      <w:numFmt w:val="decimal"/>
      <w:lvlText w:val="4.%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6">
    <w:multiLevelType w:val="multilevel"/>
    <w:lvl w:ilvl="0">
      <w:start w:val="1"/>
      <w:numFmt w:val="decimal"/>
      <w:lvlText w:val="5.%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8">
    <w:multiLevelType w:val="multilevel"/>
    <w:lvl w:ilvl="0">
      <w:start w:val="1"/>
      <w:numFmt w:val="decimal"/>
      <w:lvlText w:val="6.%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0">
    <w:multiLevelType w:val="multilevel"/>
    <w:lvl w:ilvl="0">
      <w:start w:val="1"/>
      <w:numFmt w:val="decimal"/>
      <w:lvlText w:val="7.%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2">
    <w:multiLevelType w:val="multilevel"/>
    <w:lvl w:ilvl="0">
      <w:start w:val="1"/>
      <w:numFmt w:val="decimal"/>
      <w:lvlText w:val="8.%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4">
    <w:multiLevelType w:val="multilevel"/>
    <w:lvl w:ilvl="0">
      <w:start w:val="1"/>
      <w:numFmt w:val="decimal"/>
      <w:lvlText w:val="9.%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6">
    <w:multiLevelType w:val="multilevel"/>
    <w:lvl w:ilvl="0">
      <w:start w:val="1"/>
      <w:numFmt w:val="decimal"/>
      <w:lvlText w:val="10.%1."/>
      <w:rPr>
        <w:rFonts w:ascii="Arial" w:eastAsia="Arial" w:hAnsi="Arial" w:cs="Arial"/>
        <w:b/>
        <w:bCs/>
        <w:i w:val="0"/>
        <w:iCs w:val="0"/>
        <w:smallCaps w:val="0"/>
        <w:strike w:val="0"/>
        <w:color w:val="000000"/>
        <w:spacing w:val="0"/>
        <w:w w:val="100"/>
        <w:position w:val="0"/>
        <w:sz w:val="20"/>
        <w:szCs w:val="20"/>
        <w:u w:val="none"/>
        <w:shd w:val="clear" w:color="auto" w:fill="auto"/>
        <w:lang w:val="cs-CZ" w:eastAsia="cs-CZ" w:bidi="cs-CZ"/>
      </w:rPr>
    </w:lvl>
  </w:abstractNum>
  <w:abstractNum w:abstractNumId="18">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abstractNum w:abstractNumId="20">
    <w:multiLevelType w:val="multilevel"/>
    <w:lvl w:ilvl="0">
      <w:start w:val="1"/>
      <w:numFmt w:val="bullet"/>
      <w:lvlText w:val="-"/>
      <w:rPr>
        <w:rFonts w:ascii="Arial" w:eastAsia="Arial" w:hAnsi="Arial" w:cs="Arial"/>
        <w:b w:val="0"/>
        <w:bCs w:val="0"/>
        <w:i w:val="0"/>
        <w:iCs w:val="0"/>
        <w:smallCaps w:val="0"/>
        <w:strike w:val="0"/>
        <w:color w:val="000000"/>
        <w:spacing w:val="0"/>
        <w:w w:val="100"/>
        <w:position w:val="0"/>
        <w:sz w:val="14"/>
        <w:szCs w:val="14"/>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Nadpis #1_"/>
    <w:basedOn w:val="DefaultParagraphFont"/>
    <w:link w:val="Style2"/>
    <w:rPr>
      <w:rFonts w:ascii="Arial" w:eastAsia="Arial" w:hAnsi="Arial" w:cs="Arial"/>
      <w:b w:val="0"/>
      <w:bCs w:val="0"/>
      <w:i w:val="0"/>
      <w:iCs w:val="0"/>
      <w:smallCaps w:val="0"/>
      <w:strike w:val="0"/>
      <w:color w:val="044378"/>
      <w:sz w:val="62"/>
      <w:szCs w:val="62"/>
      <w:u w:val="none"/>
    </w:rPr>
  </w:style>
  <w:style w:type="character" w:customStyle="1" w:styleId="CharStyle6">
    <w:name w:val="Záhlaví nebo zápatí (2)_"/>
    <w:basedOn w:val="DefaultParagraphFont"/>
    <w:link w:val="Style5"/>
    <w:rPr>
      <w:rFonts w:ascii="Times New Roman" w:eastAsia="Times New Roman" w:hAnsi="Times New Roman" w:cs="Times New Roman"/>
      <w:b w:val="0"/>
      <w:bCs w:val="0"/>
      <w:i w:val="0"/>
      <w:iCs w:val="0"/>
      <w:smallCaps w:val="0"/>
      <w:strike w:val="0"/>
      <w:sz w:val="20"/>
      <w:szCs w:val="20"/>
      <w:u w:val="none"/>
    </w:rPr>
  </w:style>
  <w:style w:type="character" w:customStyle="1" w:styleId="CharStyle13">
    <w:name w:val="Nadpis #2_"/>
    <w:basedOn w:val="DefaultParagraphFont"/>
    <w:link w:val="Style12"/>
    <w:rPr>
      <w:rFonts w:ascii="Arial" w:eastAsia="Arial" w:hAnsi="Arial" w:cs="Arial"/>
      <w:b/>
      <w:bCs/>
      <w:i w:val="0"/>
      <w:iCs w:val="0"/>
      <w:smallCaps w:val="0"/>
      <w:strike w:val="0"/>
      <w:u w:val="none"/>
    </w:rPr>
  </w:style>
  <w:style w:type="character" w:customStyle="1" w:styleId="CharStyle15">
    <w:name w:val="Základní text (4)_"/>
    <w:basedOn w:val="DefaultParagraphFont"/>
    <w:link w:val="Style14"/>
    <w:rPr>
      <w:rFonts w:ascii="Arial" w:eastAsia="Arial" w:hAnsi="Arial" w:cs="Arial"/>
      <w:b w:val="0"/>
      <w:bCs w:val="0"/>
      <w:i w:val="0"/>
      <w:iCs w:val="0"/>
      <w:smallCaps w:val="0"/>
      <w:strike w:val="0"/>
      <w:u w:val="none"/>
    </w:rPr>
  </w:style>
  <w:style w:type="character" w:customStyle="1" w:styleId="CharStyle17">
    <w:name w:val="Základní text_"/>
    <w:basedOn w:val="DefaultParagraphFont"/>
    <w:link w:val="Style16"/>
    <w:rPr>
      <w:rFonts w:ascii="Arial" w:eastAsia="Arial" w:hAnsi="Arial" w:cs="Arial"/>
      <w:b w:val="0"/>
      <w:bCs w:val="0"/>
      <w:i w:val="0"/>
      <w:iCs w:val="0"/>
      <w:smallCaps w:val="0"/>
      <w:strike w:val="0"/>
      <w:sz w:val="20"/>
      <w:szCs w:val="20"/>
      <w:u w:val="none"/>
    </w:rPr>
  </w:style>
  <w:style w:type="character" w:customStyle="1" w:styleId="CharStyle20">
    <w:name w:val="Titulek tabulky_"/>
    <w:basedOn w:val="DefaultParagraphFont"/>
    <w:link w:val="Style19"/>
    <w:rPr>
      <w:rFonts w:ascii="Arial" w:eastAsia="Arial" w:hAnsi="Arial" w:cs="Arial"/>
      <w:b w:val="0"/>
      <w:bCs w:val="0"/>
      <w:i w:val="0"/>
      <w:iCs w:val="0"/>
      <w:smallCaps w:val="0"/>
      <w:strike w:val="0"/>
      <w:sz w:val="20"/>
      <w:szCs w:val="20"/>
      <w:u w:val="none"/>
    </w:rPr>
  </w:style>
  <w:style w:type="character" w:customStyle="1" w:styleId="CharStyle22">
    <w:name w:val="Jiné_"/>
    <w:basedOn w:val="DefaultParagraphFont"/>
    <w:link w:val="Style21"/>
    <w:rPr>
      <w:rFonts w:ascii="Arial" w:eastAsia="Arial" w:hAnsi="Arial" w:cs="Arial"/>
      <w:b w:val="0"/>
      <w:bCs w:val="0"/>
      <w:i w:val="0"/>
      <w:iCs w:val="0"/>
      <w:smallCaps w:val="0"/>
      <w:strike w:val="0"/>
      <w:sz w:val="20"/>
      <w:szCs w:val="20"/>
      <w:u w:val="none"/>
    </w:rPr>
  </w:style>
  <w:style w:type="character" w:customStyle="1" w:styleId="CharStyle34">
    <w:name w:val="Základní text (3)_"/>
    <w:basedOn w:val="DefaultParagraphFont"/>
    <w:link w:val="Style33"/>
    <w:rPr>
      <w:rFonts w:ascii="Arial" w:eastAsia="Arial" w:hAnsi="Arial" w:cs="Arial"/>
      <w:b w:val="0"/>
      <w:bCs w:val="0"/>
      <w:i w:val="0"/>
      <w:iCs w:val="0"/>
      <w:smallCaps w:val="0"/>
      <w:strike w:val="0"/>
      <w:sz w:val="16"/>
      <w:szCs w:val="16"/>
      <w:u w:val="none"/>
    </w:rPr>
  </w:style>
  <w:style w:type="character" w:customStyle="1" w:styleId="CharStyle47">
    <w:name w:val="Základní text (2)_"/>
    <w:basedOn w:val="DefaultParagraphFont"/>
    <w:link w:val="Style46"/>
    <w:rPr>
      <w:rFonts w:ascii="Arial" w:eastAsia="Arial" w:hAnsi="Arial" w:cs="Arial"/>
      <w:b/>
      <w:bCs/>
      <w:i/>
      <w:iCs/>
      <w:smallCaps w:val="0"/>
      <w:strike w:val="0"/>
      <w:sz w:val="14"/>
      <w:szCs w:val="14"/>
      <w:u w:val="none"/>
    </w:rPr>
  </w:style>
  <w:style w:type="paragraph" w:customStyle="1" w:styleId="Style2">
    <w:name w:val="Nadpis #1"/>
    <w:basedOn w:val="Normal"/>
    <w:link w:val="CharStyle3"/>
    <w:pPr>
      <w:widowControl w:val="0"/>
      <w:shd w:val="clear" w:color="auto" w:fill="FFFFFF"/>
      <w:spacing w:after="1080"/>
      <w:ind w:left="6140"/>
      <w:outlineLvl w:val="0"/>
    </w:pPr>
    <w:rPr>
      <w:rFonts w:ascii="Arial" w:eastAsia="Arial" w:hAnsi="Arial" w:cs="Arial"/>
      <w:b w:val="0"/>
      <w:bCs w:val="0"/>
      <w:i w:val="0"/>
      <w:iCs w:val="0"/>
      <w:smallCaps w:val="0"/>
      <w:strike w:val="0"/>
      <w:color w:val="044378"/>
      <w:sz w:val="62"/>
      <w:szCs w:val="62"/>
      <w:u w:val="none"/>
    </w:rPr>
  </w:style>
  <w:style w:type="paragraph" w:customStyle="1" w:styleId="Style5">
    <w:name w:val="Záhlaví nebo zápatí (2)"/>
    <w:basedOn w:val="Normal"/>
    <w:link w:val="CharStyle6"/>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12">
    <w:name w:val="Nadpis #2"/>
    <w:basedOn w:val="Normal"/>
    <w:link w:val="CharStyle13"/>
    <w:pPr>
      <w:widowControl w:val="0"/>
      <w:shd w:val="clear" w:color="auto" w:fill="FFFFFF"/>
      <w:spacing w:after="160"/>
      <w:jc w:val="center"/>
      <w:outlineLvl w:val="1"/>
    </w:pPr>
    <w:rPr>
      <w:rFonts w:ascii="Arial" w:eastAsia="Arial" w:hAnsi="Arial" w:cs="Arial"/>
      <w:b/>
      <w:bCs/>
      <w:i w:val="0"/>
      <w:iCs w:val="0"/>
      <w:smallCaps w:val="0"/>
      <w:strike w:val="0"/>
      <w:u w:val="none"/>
    </w:rPr>
  </w:style>
  <w:style w:type="paragraph" w:customStyle="1" w:styleId="Style14">
    <w:name w:val="Základní text (4)"/>
    <w:basedOn w:val="Normal"/>
    <w:link w:val="CharStyle15"/>
    <w:pPr>
      <w:widowControl w:val="0"/>
      <w:shd w:val="clear" w:color="auto" w:fill="FFFFFF"/>
      <w:spacing w:after="100"/>
      <w:jc w:val="center"/>
    </w:pPr>
    <w:rPr>
      <w:rFonts w:ascii="Arial" w:eastAsia="Arial" w:hAnsi="Arial" w:cs="Arial"/>
      <w:b w:val="0"/>
      <w:bCs w:val="0"/>
      <w:i w:val="0"/>
      <w:iCs w:val="0"/>
      <w:smallCaps w:val="0"/>
      <w:strike w:val="0"/>
      <w:u w:val="none"/>
    </w:rPr>
  </w:style>
  <w:style w:type="paragraph" w:customStyle="1" w:styleId="Style16">
    <w:name w:val="Základní text"/>
    <w:basedOn w:val="Normal"/>
    <w:link w:val="CharStyle17"/>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19">
    <w:name w:val="Titulek tabulky"/>
    <w:basedOn w:val="Normal"/>
    <w:link w:val="CharStyle20"/>
    <w:pPr>
      <w:widowControl w:val="0"/>
      <w:shd w:val="clear" w:color="auto" w:fill="FFFFFF"/>
    </w:pPr>
    <w:rPr>
      <w:rFonts w:ascii="Arial" w:eastAsia="Arial" w:hAnsi="Arial" w:cs="Arial"/>
      <w:b w:val="0"/>
      <w:bCs w:val="0"/>
      <w:i w:val="0"/>
      <w:iCs w:val="0"/>
      <w:smallCaps w:val="0"/>
      <w:strike w:val="0"/>
      <w:sz w:val="20"/>
      <w:szCs w:val="20"/>
      <w:u w:val="none"/>
    </w:rPr>
  </w:style>
  <w:style w:type="paragraph" w:customStyle="1" w:styleId="Style21">
    <w:name w:val="Jiné"/>
    <w:basedOn w:val="Normal"/>
    <w:link w:val="CharStyle22"/>
    <w:pPr>
      <w:widowControl w:val="0"/>
      <w:shd w:val="clear" w:color="auto" w:fill="FFFFFF"/>
      <w:spacing w:after="120"/>
    </w:pPr>
    <w:rPr>
      <w:rFonts w:ascii="Arial" w:eastAsia="Arial" w:hAnsi="Arial" w:cs="Arial"/>
      <w:b w:val="0"/>
      <w:bCs w:val="0"/>
      <w:i w:val="0"/>
      <w:iCs w:val="0"/>
      <w:smallCaps w:val="0"/>
      <w:strike w:val="0"/>
      <w:sz w:val="20"/>
      <w:szCs w:val="20"/>
      <w:u w:val="none"/>
    </w:rPr>
  </w:style>
  <w:style w:type="paragraph" w:customStyle="1" w:styleId="Style33">
    <w:name w:val="Základní text (3)"/>
    <w:basedOn w:val="Normal"/>
    <w:link w:val="CharStyle34"/>
    <w:pPr>
      <w:widowControl w:val="0"/>
      <w:shd w:val="clear" w:color="auto" w:fill="FFFFFF"/>
      <w:ind w:left="2740"/>
    </w:pPr>
    <w:rPr>
      <w:rFonts w:ascii="Arial" w:eastAsia="Arial" w:hAnsi="Arial" w:cs="Arial"/>
      <w:b w:val="0"/>
      <w:bCs w:val="0"/>
      <w:i w:val="0"/>
      <w:iCs w:val="0"/>
      <w:smallCaps w:val="0"/>
      <w:strike w:val="0"/>
      <w:sz w:val="16"/>
      <w:szCs w:val="16"/>
      <w:u w:val="none"/>
    </w:rPr>
  </w:style>
  <w:style w:type="paragraph" w:customStyle="1" w:styleId="Style46">
    <w:name w:val="Základní text (2)"/>
    <w:basedOn w:val="Normal"/>
    <w:link w:val="CharStyle47"/>
    <w:pPr>
      <w:widowControl w:val="0"/>
      <w:shd w:val="clear" w:color="auto" w:fill="FFFFFF"/>
      <w:spacing w:line="266" w:lineRule="auto"/>
    </w:pPr>
    <w:rPr>
      <w:rFonts w:ascii="Arial" w:eastAsia="Arial" w:hAnsi="Arial" w:cs="Arial"/>
      <w:b/>
      <w:bCs/>
      <w:i/>
      <w:iCs/>
      <w:smallCaps w:val="0"/>
      <w:strike w:val="0"/>
      <w:sz w:val="14"/>
      <w:szCs w:val="14"/>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 Id="rId11" Type="http://schemas.openxmlformats.org/officeDocument/2006/relationships/header" Target="header4.xml"/><Relationship Id="rId12" Type="http://schemas.openxmlformats.org/officeDocument/2006/relationships/footer" Target="footer4.xml"/><Relationship Id="rId13" Type="http://schemas.openxmlformats.org/officeDocument/2006/relationships/header" Target="header5.xml"/><Relationship Id="rId14" Type="http://schemas.openxmlformats.org/officeDocument/2006/relationships/footer" Target="footer5.xml"/><Relationship Id="rId15" Type="http://schemas.openxmlformats.org/officeDocument/2006/relationships/header" Target="header6.xml"/><Relationship Id="rId16" Type="http://schemas.openxmlformats.org/officeDocument/2006/relationships/footer" Target="footer6.xml"/><Relationship Id="rId17" Type="http://schemas.openxmlformats.org/officeDocument/2006/relationships/header" Target="header7.xml"/><Relationship Id="rId18" Type="http://schemas.openxmlformats.org/officeDocument/2006/relationships/footer" Target="footer7.xml"/><Relationship Id="rId19" Type="http://schemas.openxmlformats.org/officeDocument/2006/relationships/header" Target="header8.xml"/><Relationship Id="rId20" Type="http://schemas.openxmlformats.org/officeDocument/2006/relationships/footer" Target="footer8.xml"/><Relationship Id="rId21" Type="http://schemas.openxmlformats.org/officeDocument/2006/relationships/header" Target="header9.xml"/><Relationship Id="rId22" Type="http://schemas.openxmlformats.org/officeDocument/2006/relationships/footer" Target="footer9.xml"/><Relationship Id="rId23" Type="http://schemas.openxmlformats.org/officeDocument/2006/relationships/header" Target="header10.xml"/><Relationship Id="rId24" Type="http://schemas.openxmlformats.org/officeDocument/2006/relationships/footer" Target="footer10.xml"/><Relationship Id="rId25" Type="http://schemas.openxmlformats.org/officeDocument/2006/relationships/header" Target="header11.xml"/><Relationship Id="rId26" Type="http://schemas.openxmlformats.org/officeDocument/2006/relationships/footer" Target="footer11.xml"/><Relationship Id="rId27" Type="http://schemas.openxmlformats.org/officeDocument/2006/relationships/header" Target="header12.xml"/><Relationship Id="rId28" Type="http://schemas.openxmlformats.org/officeDocument/2006/relationships/footer" Target="footer12.xml"/></Relationships>
</file>

<file path=word/_rels/header3.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4.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

<file path=word/_rels/header5.xml.rels>&#65279;<?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1.jpeg" TargetMode="External"/></Relationships>
</file>