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30942E" w14:textId="23EE8FE8" w:rsidR="001A476E" w:rsidRDefault="0006446B">
      <w:pPr>
        <w:pStyle w:val="Heading210"/>
        <w:framePr w:w="9869" w:h="304" w:hRule="exact" w:wrap="none" w:vAnchor="page" w:hAnchor="page" w:x="1112" w:y="958"/>
        <w:shd w:val="clear" w:color="auto" w:fill="C7C8C4"/>
        <w:ind w:left="4598"/>
      </w:pPr>
      <w:bookmarkStart w:id="0" w:name="bookmark0"/>
      <w:r>
        <w:rPr>
          <w:rStyle w:val="Heading211"/>
          <w:b/>
          <w:bCs/>
        </w:rPr>
        <w:t>Podmínky ke Spoři</w:t>
      </w:r>
      <w:r>
        <w:rPr>
          <w:rStyle w:val="Heading211"/>
          <w:b/>
          <w:bCs/>
        </w:rPr>
        <w:t>címu účtu s výpovědí</w:t>
      </w:r>
      <w:bookmarkEnd w:id="0"/>
    </w:p>
    <w:p w14:paraId="2E30942F" w14:textId="77777777" w:rsidR="001A476E" w:rsidRDefault="0006446B">
      <w:pPr>
        <w:pStyle w:val="Heading310"/>
        <w:framePr w:w="4694" w:h="12387" w:hRule="exact" w:wrap="none" w:vAnchor="page" w:hAnchor="page" w:x="1117" w:y="2558"/>
        <w:shd w:val="clear" w:color="auto" w:fill="auto"/>
        <w:tabs>
          <w:tab w:val="left" w:pos="1103"/>
        </w:tabs>
        <w:spacing w:after="76"/>
        <w:ind w:left="460" w:hanging="460"/>
      </w:pPr>
      <w:bookmarkStart w:id="1" w:name="bookmark1"/>
      <w:r>
        <w:t>Článek 1.</w:t>
      </w:r>
      <w:r>
        <w:tab/>
        <w:t>Úvodní ustanovení</w:t>
      </w:r>
      <w:bookmarkEnd w:id="1"/>
    </w:p>
    <w:p w14:paraId="2E309430" w14:textId="77777777" w:rsidR="001A476E" w:rsidRDefault="0006446B">
      <w:pPr>
        <w:pStyle w:val="Bodytext20"/>
        <w:framePr w:w="4694" w:h="12387" w:hRule="exact" w:wrap="none" w:vAnchor="page" w:hAnchor="page" w:x="1117" w:y="2558"/>
        <w:numPr>
          <w:ilvl w:val="0"/>
          <w:numId w:val="1"/>
        </w:numPr>
        <w:shd w:val="clear" w:color="auto" w:fill="auto"/>
        <w:tabs>
          <w:tab w:val="left" w:pos="430"/>
        </w:tabs>
        <w:spacing w:before="0" w:after="56"/>
        <w:ind w:left="460" w:hanging="460"/>
      </w:pPr>
      <w:r>
        <w:t xml:space="preserve">Tyto Podmínky k Účtu (dále jen </w:t>
      </w:r>
      <w:r>
        <w:rPr>
          <w:rStyle w:val="Bodytext2Bold"/>
        </w:rPr>
        <w:t xml:space="preserve">„Podmínky") </w:t>
      </w:r>
      <w:r>
        <w:t xml:space="preserve">představují Produktové podmínky ve smyslu Všeobecných obchodních podmínek Banky (dále jen </w:t>
      </w:r>
      <w:r>
        <w:rPr>
          <w:rStyle w:val="Bodytext2Bold"/>
        </w:rPr>
        <w:t xml:space="preserve">„Všeobecné podmínky"). </w:t>
      </w:r>
      <w:r>
        <w:t>Tyto Podmínky tvoří součást Smlouvy a Klient je povinen se s nimi seznámit a dodržovat je.</w:t>
      </w:r>
    </w:p>
    <w:p w14:paraId="2E309431" w14:textId="77777777" w:rsidR="001A476E" w:rsidRDefault="0006446B">
      <w:pPr>
        <w:pStyle w:val="Bodytext20"/>
        <w:framePr w:w="4694" w:h="12387" w:hRule="exact" w:wrap="none" w:vAnchor="page" w:hAnchor="page" w:x="1117" w:y="2558"/>
        <w:numPr>
          <w:ilvl w:val="0"/>
          <w:numId w:val="1"/>
        </w:numPr>
        <w:shd w:val="clear" w:color="auto" w:fill="auto"/>
        <w:tabs>
          <w:tab w:val="left" w:pos="430"/>
        </w:tabs>
        <w:spacing w:before="0" w:after="148" w:line="163" w:lineRule="exact"/>
        <w:ind w:left="460" w:hanging="460"/>
      </w:pPr>
      <w:r>
        <w:t>Pojmy s v</w:t>
      </w:r>
      <w:r>
        <w:t>elkým počátečním písmenem jsou v těchto Podmínkách užívány ve významu uvedeném v článku 6. těchto Podmínek.</w:t>
      </w:r>
    </w:p>
    <w:p w14:paraId="2E309432" w14:textId="77777777" w:rsidR="001A476E" w:rsidRDefault="0006446B">
      <w:pPr>
        <w:pStyle w:val="Heading310"/>
        <w:framePr w:w="4694" w:h="12387" w:hRule="exact" w:wrap="none" w:vAnchor="page" w:hAnchor="page" w:x="1117" w:y="2558"/>
        <w:shd w:val="clear" w:color="auto" w:fill="auto"/>
        <w:tabs>
          <w:tab w:val="left" w:pos="1103"/>
        </w:tabs>
        <w:spacing w:after="76"/>
        <w:ind w:left="460" w:hanging="460"/>
      </w:pPr>
      <w:bookmarkStart w:id="2" w:name="bookmark2"/>
      <w:r>
        <w:t>Článek 2.</w:t>
      </w:r>
      <w:r>
        <w:tab/>
        <w:t>Zřízení a vedení účtu</w:t>
      </w:r>
      <w:bookmarkEnd w:id="2"/>
    </w:p>
    <w:p w14:paraId="2E309433" w14:textId="77777777" w:rsidR="001A476E" w:rsidRDefault="0006446B">
      <w:pPr>
        <w:pStyle w:val="Bodytext20"/>
        <w:framePr w:w="4694" w:h="12387" w:hRule="exact" w:wrap="none" w:vAnchor="page" w:hAnchor="page" w:x="1117" w:y="2558"/>
        <w:numPr>
          <w:ilvl w:val="1"/>
          <w:numId w:val="1"/>
        </w:numPr>
        <w:shd w:val="clear" w:color="auto" w:fill="auto"/>
        <w:tabs>
          <w:tab w:val="left" w:pos="430"/>
        </w:tabs>
        <w:spacing w:before="0" w:after="56"/>
        <w:ind w:left="460" w:hanging="460"/>
      </w:pPr>
      <w:r>
        <w:t>Banka zřizuje a vede Účet v měně dle Smlouvy uzavřené s Klientem.</w:t>
      </w:r>
    </w:p>
    <w:p w14:paraId="2E309434" w14:textId="77777777" w:rsidR="001A476E" w:rsidRDefault="0006446B">
      <w:pPr>
        <w:pStyle w:val="Bodytext20"/>
        <w:framePr w:w="4694" w:h="12387" w:hRule="exact" w:wrap="none" w:vAnchor="page" w:hAnchor="page" w:x="1117" w:y="2558"/>
        <w:numPr>
          <w:ilvl w:val="1"/>
          <w:numId w:val="1"/>
        </w:numPr>
        <w:shd w:val="clear" w:color="auto" w:fill="auto"/>
        <w:tabs>
          <w:tab w:val="left" w:pos="430"/>
        </w:tabs>
        <w:spacing w:before="0" w:line="163" w:lineRule="exact"/>
        <w:ind w:left="460" w:hanging="460"/>
      </w:pPr>
      <w:r>
        <w:t xml:space="preserve">Podmínkou zřízení a vedení Účtu je, že Klient je </w:t>
      </w:r>
      <w:r>
        <w:t>majitelem běžného nebo kontokorentního účtu v české měně, který je určený k podnikání Klienta a který je zároveň</w:t>
      </w:r>
    </w:p>
    <w:p w14:paraId="2E309435" w14:textId="77777777" w:rsidR="001A476E" w:rsidRDefault="0006446B">
      <w:pPr>
        <w:pStyle w:val="Bodytext20"/>
        <w:framePr w:w="4694" w:h="12387" w:hRule="exact" w:wrap="none" w:vAnchor="page" w:hAnchor="page" w:x="1117" w:y="2558"/>
        <w:numPr>
          <w:ilvl w:val="0"/>
          <w:numId w:val="2"/>
        </w:numPr>
        <w:shd w:val="clear" w:color="auto" w:fill="auto"/>
        <w:tabs>
          <w:tab w:val="left" w:pos="743"/>
        </w:tabs>
        <w:spacing w:before="0" w:after="0" w:line="163" w:lineRule="exact"/>
        <w:ind w:left="760" w:hanging="300"/>
      </w:pPr>
      <w:r>
        <w:t>zřízený a vedený samostatně nebo v rámci balíčku produktů a služeb,</w:t>
      </w:r>
    </w:p>
    <w:p w14:paraId="2E309436" w14:textId="77777777" w:rsidR="001A476E" w:rsidRDefault="0006446B">
      <w:pPr>
        <w:pStyle w:val="Bodytext20"/>
        <w:framePr w:w="4694" w:h="12387" w:hRule="exact" w:wrap="none" w:vAnchor="page" w:hAnchor="page" w:x="1117" w:y="2558"/>
        <w:numPr>
          <w:ilvl w:val="0"/>
          <w:numId w:val="2"/>
        </w:numPr>
        <w:shd w:val="clear" w:color="auto" w:fill="auto"/>
        <w:tabs>
          <w:tab w:val="left" w:pos="743"/>
        </w:tabs>
        <w:spacing w:before="0" w:after="66" w:line="163" w:lineRule="exact"/>
        <w:ind w:left="760" w:hanging="300"/>
      </w:pPr>
      <w:r>
        <w:t xml:space="preserve">vedený dle Sazebníku účinného ke dni uzavření Smlouvy v obsluze obchodních </w:t>
      </w:r>
      <w:r>
        <w:t>divizí Banky,</w:t>
      </w:r>
    </w:p>
    <w:p w14:paraId="2E309437" w14:textId="77777777" w:rsidR="001A476E" w:rsidRDefault="0006446B">
      <w:pPr>
        <w:pStyle w:val="Bodytext20"/>
        <w:framePr w:w="4694" w:h="12387" w:hRule="exact" w:wrap="none" w:vAnchor="page" w:hAnchor="page" w:x="1117" w:y="2558"/>
        <w:shd w:val="clear" w:color="auto" w:fill="auto"/>
        <w:spacing w:before="0" w:after="58" w:line="156" w:lineRule="exact"/>
        <w:ind w:left="760" w:hanging="300"/>
      </w:pPr>
      <w:r>
        <w:t>s výjimkou následujících účtů:</w:t>
      </w:r>
    </w:p>
    <w:p w14:paraId="2E309438" w14:textId="77777777" w:rsidR="001A476E" w:rsidRDefault="0006446B">
      <w:pPr>
        <w:pStyle w:val="Bodytext20"/>
        <w:framePr w:w="4694" w:h="12387" w:hRule="exact" w:wrap="none" w:vAnchor="page" w:hAnchor="page" w:x="1117" w:y="2558"/>
        <w:numPr>
          <w:ilvl w:val="0"/>
          <w:numId w:val="2"/>
        </w:numPr>
        <w:shd w:val="clear" w:color="auto" w:fill="auto"/>
        <w:tabs>
          <w:tab w:val="left" w:pos="743"/>
        </w:tabs>
        <w:spacing w:before="0" w:after="0"/>
        <w:ind w:left="760" w:hanging="300"/>
      </w:pPr>
      <w:r>
        <w:t xml:space="preserve">běžné účty určené </w:t>
      </w:r>
      <w:r>
        <w:rPr>
          <w:lang w:val="en-US" w:eastAsia="en-US" w:bidi="en-US"/>
        </w:rPr>
        <w:t xml:space="preserve">pro cashpooling </w:t>
      </w:r>
      <w:r>
        <w:t>nebo</w:t>
      </w:r>
    </w:p>
    <w:p w14:paraId="2E309439" w14:textId="77777777" w:rsidR="001A476E" w:rsidRDefault="0006446B">
      <w:pPr>
        <w:pStyle w:val="Bodytext20"/>
        <w:framePr w:w="4694" w:h="12387" w:hRule="exact" w:wrap="none" w:vAnchor="page" w:hAnchor="page" w:x="1117" w:y="2558"/>
        <w:numPr>
          <w:ilvl w:val="0"/>
          <w:numId w:val="2"/>
        </w:numPr>
        <w:shd w:val="clear" w:color="auto" w:fill="auto"/>
        <w:tabs>
          <w:tab w:val="left" w:pos="743"/>
        </w:tabs>
        <w:spacing w:before="0" w:after="62"/>
        <w:ind w:left="760" w:hanging="300"/>
      </w:pPr>
      <w:r>
        <w:t>běžné účty ze zákona účelově vázané nebo zřízené výhradně pro určitý účel sjednaný ve smlouvě, na základě které je daný účet veden</w:t>
      </w:r>
    </w:p>
    <w:p w14:paraId="2E30943A" w14:textId="77777777" w:rsidR="001A476E" w:rsidRDefault="0006446B">
      <w:pPr>
        <w:pStyle w:val="Bodytext20"/>
        <w:framePr w:w="4694" w:h="12387" w:hRule="exact" w:wrap="none" w:vAnchor="page" w:hAnchor="page" w:x="1117" w:y="2558"/>
        <w:shd w:val="clear" w:color="auto" w:fill="auto"/>
        <w:spacing w:before="0" w:after="54" w:line="156" w:lineRule="exact"/>
        <w:ind w:left="760" w:hanging="300"/>
      </w:pPr>
      <w:r>
        <w:t xml:space="preserve">a číslo tohoto účtu je uvedeno ve </w:t>
      </w:r>
      <w:r>
        <w:t>Smlouvě.</w:t>
      </w:r>
    </w:p>
    <w:p w14:paraId="2E30943B" w14:textId="77777777" w:rsidR="001A476E" w:rsidRDefault="0006446B">
      <w:pPr>
        <w:pStyle w:val="Bodytext20"/>
        <w:framePr w:w="4694" w:h="12387" w:hRule="exact" w:wrap="none" w:vAnchor="page" w:hAnchor="page" w:x="1117" w:y="2558"/>
        <w:numPr>
          <w:ilvl w:val="1"/>
          <w:numId w:val="1"/>
        </w:numPr>
        <w:shd w:val="clear" w:color="auto" w:fill="auto"/>
        <w:tabs>
          <w:tab w:val="left" w:pos="430"/>
        </w:tabs>
        <w:spacing w:before="0" w:after="64" w:line="163" w:lineRule="exact"/>
        <w:ind w:left="460" w:hanging="460"/>
      </w:pPr>
      <w:r>
        <w:t>Banka zřídí a vede Klientovi Účet u obchodního místa, které vede Běžný účet.</w:t>
      </w:r>
    </w:p>
    <w:p w14:paraId="2E30943C" w14:textId="77777777" w:rsidR="001A476E" w:rsidRDefault="0006446B">
      <w:pPr>
        <w:pStyle w:val="Bodytext20"/>
        <w:framePr w:w="4694" w:h="12387" w:hRule="exact" w:wrap="none" w:vAnchor="page" w:hAnchor="page" w:x="1117" w:y="2558"/>
        <w:numPr>
          <w:ilvl w:val="1"/>
          <w:numId w:val="1"/>
        </w:numPr>
        <w:shd w:val="clear" w:color="auto" w:fill="auto"/>
        <w:tabs>
          <w:tab w:val="left" w:pos="430"/>
        </w:tabs>
        <w:spacing w:before="0"/>
        <w:ind w:left="460" w:hanging="460"/>
      </w:pPr>
      <w:r>
        <w:t>Klient se zavazuje udržovat na Účtu zůstatek minimálně ve výši uvedené v článku 5.1 těchto Podmínek.</w:t>
      </w:r>
    </w:p>
    <w:p w14:paraId="2E30943D" w14:textId="77777777" w:rsidR="001A476E" w:rsidRDefault="0006446B">
      <w:pPr>
        <w:pStyle w:val="Bodytext20"/>
        <w:framePr w:w="4694" w:h="12387" w:hRule="exact" w:wrap="none" w:vAnchor="page" w:hAnchor="page" w:x="1117" w:y="2558"/>
        <w:numPr>
          <w:ilvl w:val="1"/>
          <w:numId w:val="1"/>
        </w:numPr>
        <w:shd w:val="clear" w:color="auto" w:fill="auto"/>
        <w:tabs>
          <w:tab w:val="left" w:pos="430"/>
        </w:tabs>
        <w:spacing w:before="0" w:after="144"/>
        <w:ind w:left="460" w:hanging="460"/>
      </w:pPr>
      <w:r>
        <w:t xml:space="preserve">Zprávy o zúčtování budou zasílány měsíčně v elektronické formě </w:t>
      </w:r>
      <w:r>
        <w:t>zdarma. Kratší periodicita nebo jiný způsob zasílání zpráv o zúčtování sjednané ve Smlouvě jsou zpoplatněny dle Sazebníku.</w:t>
      </w:r>
    </w:p>
    <w:p w14:paraId="2E30943E" w14:textId="77777777" w:rsidR="001A476E" w:rsidRDefault="0006446B">
      <w:pPr>
        <w:pStyle w:val="Heading310"/>
        <w:framePr w:w="4694" w:h="12387" w:hRule="exact" w:wrap="none" w:vAnchor="page" w:hAnchor="page" w:x="1117" w:y="2558"/>
        <w:shd w:val="clear" w:color="auto" w:fill="auto"/>
        <w:tabs>
          <w:tab w:val="left" w:pos="1103"/>
        </w:tabs>
        <w:spacing w:after="78"/>
        <w:ind w:left="460" w:hanging="460"/>
      </w:pPr>
      <w:bookmarkStart w:id="3" w:name="bookmark3"/>
      <w:r>
        <w:t>Článek 3.</w:t>
      </w:r>
      <w:r>
        <w:tab/>
        <w:t>Úročení</w:t>
      </w:r>
      <w:bookmarkEnd w:id="3"/>
    </w:p>
    <w:p w14:paraId="2E30943F" w14:textId="774B772C" w:rsidR="001A476E" w:rsidRDefault="0006446B">
      <w:pPr>
        <w:pStyle w:val="Bodytext20"/>
        <w:framePr w:w="4694" w:h="12387" w:hRule="exact" w:wrap="none" w:vAnchor="page" w:hAnchor="page" w:x="1117" w:y="2558"/>
        <w:numPr>
          <w:ilvl w:val="0"/>
          <w:numId w:val="3"/>
        </w:numPr>
        <w:shd w:val="clear" w:color="auto" w:fill="auto"/>
        <w:tabs>
          <w:tab w:val="left" w:pos="430"/>
        </w:tabs>
        <w:spacing w:before="0" w:after="142" w:line="156" w:lineRule="exact"/>
        <w:ind w:left="460" w:hanging="460"/>
      </w:pPr>
      <w:r>
        <w:t>Zúčtování úroků provádí</w:t>
      </w:r>
      <w:r>
        <w:t xml:space="preserve"> Banka ve prospěch Účtu měsíčně.</w:t>
      </w:r>
    </w:p>
    <w:p w14:paraId="2E309440" w14:textId="77777777" w:rsidR="001A476E" w:rsidRDefault="0006446B">
      <w:pPr>
        <w:pStyle w:val="Bodytext30"/>
        <w:framePr w:w="4694" w:h="12387" w:hRule="exact" w:wrap="none" w:vAnchor="page" w:hAnchor="page" w:x="1117" w:y="2558"/>
        <w:shd w:val="clear" w:color="auto" w:fill="auto"/>
        <w:tabs>
          <w:tab w:val="left" w:pos="1103"/>
        </w:tabs>
        <w:spacing w:before="0" w:after="76"/>
        <w:ind w:left="460"/>
      </w:pPr>
      <w:r>
        <w:t>Článek 4.</w:t>
      </w:r>
      <w:r>
        <w:tab/>
        <w:t>Nakládání s prostředky na účtu</w:t>
      </w:r>
    </w:p>
    <w:p w14:paraId="2E309441" w14:textId="77777777" w:rsidR="001A476E" w:rsidRDefault="0006446B">
      <w:pPr>
        <w:pStyle w:val="Bodytext20"/>
        <w:framePr w:w="4694" w:h="12387" w:hRule="exact" w:wrap="none" w:vAnchor="page" w:hAnchor="page" w:x="1117" w:y="2558"/>
        <w:numPr>
          <w:ilvl w:val="0"/>
          <w:numId w:val="4"/>
        </w:numPr>
        <w:shd w:val="clear" w:color="auto" w:fill="auto"/>
        <w:tabs>
          <w:tab w:val="left" w:pos="430"/>
        </w:tabs>
        <w:spacing w:before="0" w:after="56"/>
        <w:ind w:left="460" w:hanging="460"/>
      </w:pPr>
      <w:r>
        <w:t>Klient může naklád</w:t>
      </w:r>
      <w:r>
        <w:t>at s prostředky na Účtu pouze bezhotovostně. Banka připíše na Účet platby došlé z jakéhokoli účtu. Výběr prostředků z Účtu lze provést jako výběr vkladu nebo jeho části, a to pouze na základě jednorázových Příkazů k úhradě ve prospěch Běžného účtu. Příkazy</w:t>
      </w:r>
      <w:r>
        <w:t xml:space="preserve"> dle předchozí věty předává Klient Bance některým z těchto způsobů:</w:t>
      </w:r>
    </w:p>
    <w:p w14:paraId="2E309442" w14:textId="77777777" w:rsidR="001A476E" w:rsidRDefault="0006446B">
      <w:pPr>
        <w:pStyle w:val="Bodytext20"/>
        <w:framePr w:w="4694" w:h="12387" w:hRule="exact" w:wrap="none" w:vAnchor="page" w:hAnchor="page" w:x="1117" w:y="2558"/>
        <w:numPr>
          <w:ilvl w:val="0"/>
          <w:numId w:val="5"/>
        </w:numPr>
        <w:shd w:val="clear" w:color="auto" w:fill="auto"/>
        <w:tabs>
          <w:tab w:val="left" w:pos="743"/>
        </w:tabs>
        <w:spacing w:before="0" w:after="66" w:line="163" w:lineRule="exact"/>
        <w:ind w:left="760" w:hanging="300"/>
      </w:pPr>
      <w:r>
        <w:t>v obchodním místě, které je Klientovým obchodním místem, nikoliv však s využitím samoobslužného boxu,</w:t>
      </w:r>
    </w:p>
    <w:p w14:paraId="2E309443" w14:textId="77777777" w:rsidR="001A476E" w:rsidRDefault="0006446B">
      <w:pPr>
        <w:pStyle w:val="Bodytext20"/>
        <w:framePr w:w="4694" w:h="12387" w:hRule="exact" w:wrap="none" w:vAnchor="page" w:hAnchor="page" w:x="1117" w:y="2558"/>
        <w:numPr>
          <w:ilvl w:val="0"/>
          <w:numId w:val="5"/>
        </w:numPr>
        <w:shd w:val="clear" w:color="auto" w:fill="auto"/>
        <w:tabs>
          <w:tab w:val="left" w:pos="743"/>
        </w:tabs>
        <w:spacing w:before="0" w:line="156" w:lineRule="exact"/>
        <w:ind w:left="760" w:hanging="300"/>
      </w:pPr>
      <w:r>
        <w:t>e-mailem za podmínek sjednaných dále v těchto Podmínkách,</w:t>
      </w:r>
    </w:p>
    <w:p w14:paraId="2E309444" w14:textId="77777777" w:rsidR="001A476E" w:rsidRDefault="0006446B">
      <w:pPr>
        <w:pStyle w:val="Bodytext20"/>
        <w:framePr w:w="4694" w:h="12387" w:hRule="exact" w:wrap="none" w:vAnchor="page" w:hAnchor="page" w:x="1117" w:y="2558"/>
        <w:numPr>
          <w:ilvl w:val="0"/>
          <w:numId w:val="5"/>
        </w:numPr>
        <w:shd w:val="clear" w:color="auto" w:fill="auto"/>
        <w:tabs>
          <w:tab w:val="left" w:pos="743"/>
        </w:tabs>
        <w:spacing w:before="0" w:after="58" w:line="156" w:lineRule="exact"/>
        <w:ind w:left="760" w:hanging="300"/>
      </w:pPr>
      <w:r>
        <w:t xml:space="preserve">prostřednictvím služby </w:t>
      </w:r>
      <w:r>
        <w:t>přímého bankovnictví MojeBanka.</w:t>
      </w:r>
    </w:p>
    <w:p w14:paraId="2E309445" w14:textId="77777777" w:rsidR="001A476E" w:rsidRDefault="0006446B">
      <w:pPr>
        <w:pStyle w:val="Bodytext20"/>
        <w:framePr w:w="4694" w:h="12387" w:hRule="exact" w:wrap="none" w:vAnchor="page" w:hAnchor="page" w:x="1117" w:y="2558"/>
        <w:numPr>
          <w:ilvl w:val="0"/>
          <w:numId w:val="4"/>
        </w:numPr>
        <w:shd w:val="clear" w:color="auto" w:fill="auto"/>
        <w:tabs>
          <w:tab w:val="left" w:pos="430"/>
        </w:tabs>
        <w:spacing w:before="0"/>
        <w:ind w:left="460" w:hanging="460"/>
      </w:pPr>
      <w:r>
        <w:t>Příkazy k nakládání s prostředky na Účtu může Klient zaslat e-mailem na e-mailovou adresu Banky sjednanou ve Smlouvě, a to výhradně z e-mailové adresy Klienta sjednané ve Smlouvě. Příkazy zasílané e-mailem ve formě nascanova</w:t>
      </w:r>
      <w:r>
        <w:t>ného dokumentu musí být vyhotoveny pouze na tiskopise Banky „Příkaz k úhradě". Příkazce musí vyplnit všechny předepsané náležitosti a podepsat Příkaz v souladu s Podpisovým vzorem k Účtu, dále tiskopis nahoře uprostřed výrazně označit doložkou s textem „ZA</w:t>
      </w:r>
      <w:r>
        <w:t>SLÁNO E-MAILEM”.</w:t>
      </w:r>
    </w:p>
    <w:p w14:paraId="2E309446" w14:textId="7F12E576" w:rsidR="001A476E" w:rsidRDefault="0006446B">
      <w:pPr>
        <w:pStyle w:val="Bodytext20"/>
        <w:framePr w:w="4694" w:h="12387" w:hRule="exact" w:wrap="none" w:vAnchor="page" w:hAnchor="page" w:x="1117" w:y="2558"/>
        <w:numPr>
          <w:ilvl w:val="0"/>
          <w:numId w:val="4"/>
        </w:numPr>
        <w:shd w:val="clear" w:color="auto" w:fill="auto"/>
        <w:tabs>
          <w:tab w:val="left" w:pos="430"/>
        </w:tabs>
        <w:spacing w:before="0"/>
        <w:ind w:left="460" w:hanging="460"/>
      </w:pPr>
      <w:r>
        <w:t>Ban</w:t>
      </w:r>
      <w:r>
        <w:t xml:space="preserve">ka </w:t>
      </w:r>
      <w:r>
        <w:t>je oprávněna provést autorizaci Příkazů zaslaných e-mailem, a to na telefonním čísle Klienta sjednaném ve Smlouvě. Nečitelný, nesprávně nebo neúplně vyplněný Příkaz zaslaný e-mailem nebo Příkaz zaslaný z jiné než ve Smlouvě sjednané e</w:t>
      </w:r>
      <w:r>
        <w:t>-mailové adresy Banka neprovede. O tom bude Klienta informovat e-mailem na jeho e-mailovou adresu sjednanou ve Smlouvě.</w:t>
      </w:r>
    </w:p>
    <w:p w14:paraId="2E309447" w14:textId="77777777" w:rsidR="001A476E" w:rsidRDefault="0006446B">
      <w:pPr>
        <w:pStyle w:val="Bodytext20"/>
        <w:framePr w:w="4694" w:h="12387" w:hRule="exact" w:wrap="none" w:vAnchor="page" w:hAnchor="page" w:x="1117" w:y="2558"/>
        <w:numPr>
          <w:ilvl w:val="0"/>
          <w:numId w:val="4"/>
        </w:numPr>
        <w:shd w:val="clear" w:color="auto" w:fill="auto"/>
        <w:tabs>
          <w:tab w:val="left" w:pos="430"/>
        </w:tabs>
        <w:spacing w:before="0" w:after="0"/>
        <w:ind w:left="460" w:hanging="460"/>
      </w:pPr>
      <w:r>
        <w:t xml:space="preserve">Banka neodpovídá za jakékoliv škody plynoucí z realizace e-mailem zaslaného Příkazu k úhradě, jestliže na tomto e-mailem zaslaném </w:t>
      </w:r>
      <w:r>
        <w:t>Příkaze shledá správnými formální náležitosti a odesílající e-mailovou adresu a ověří podpisy Oprávněných osob. Banka též neodpovídá za chyby či zpoždění v přenosu, za selhání přenosu, či za jakékoliv důsledky, vyplývající z příčin mimo její kontrolu.</w:t>
      </w:r>
    </w:p>
    <w:p w14:paraId="2E309448" w14:textId="77777777" w:rsidR="001A476E" w:rsidRDefault="0006446B">
      <w:pPr>
        <w:pStyle w:val="Heading410"/>
        <w:framePr w:w="9869" w:h="587" w:hRule="exact" w:wrap="none" w:vAnchor="page" w:hAnchor="page" w:x="1112" w:y="15673"/>
        <w:shd w:val="clear" w:color="auto" w:fill="auto"/>
        <w:ind w:firstLine="0"/>
      </w:pPr>
      <w:bookmarkStart w:id="4" w:name="bookmark4"/>
      <w:r>
        <w:t>Kome</w:t>
      </w:r>
      <w:r>
        <w:t>rční banka, a. s., se sídlem:</w:t>
      </w:r>
      <w:bookmarkEnd w:id="4"/>
    </w:p>
    <w:p w14:paraId="2E309449" w14:textId="77777777" w:rsidR="001A476E" w:rsidRDefault="0006446B">
      <w:pPr>
        <w:pStyle w:val="Heading410"/>
        <w:framePr w:w="9869" w:h="587" w:hRule="exact" w:wrap="none" w:vAnchor="page" w:hAnchor="page" w:x="1112" w:y="15673"/>
        <w:shd w:val="clear" w:color="auto" w:fill="auto"/>
        <w:ind w:firstLine="0"/>
      </w:pPr>
      <w:bookmarkStart w:id="5" w:name="bookmark5"/>
      <w:r>
        <w:t>Praha 1, Na Příkopě 33 čp. 969, PSČ 114 07, IČO: 45317054</w:t>
      </w:r>
      <w:bookmarkEnd w:id="5"/>
    </w:p>
    <w:p w14:paraId="2E30944A" w14:textId="77777777" w:rsidR="001A476E" w:rsidRDefault="0006446B">
      <w:pPr>
        <w:pStyle w:val="Bodytext40"/>
        <w:framePr w:w="9869" w:h="587" w:hRule="exact" w:wrap="none" w:vAnchor="page" w:hAnchor="page" w:x="1112" w:y="15673"/>
        <w:shd w:val="clear" w:color="auto" w:fill="auto"/>
        <w:ind w:firstLine="0"/>
      </w:pPr>
      <w:r>
        <w:t>ZAPSANÁ V OBCHODNÍM REJSTŘÍKU VEDENÉM MĚSTSKÝM SOUDEM V PRAZE, OODÍL B, VLOŽKA 1360</w:t>
      </w:r>
    </w:p>
    <w:p w14:paraId="2E30944B" w14:textId="77777777" w:rsidR="001A476E" w:rsidRDefault="0006446B">
      <w:pPr>
        <w:pStyle w:val="Bodytext20"/>
        <w:framePr w:w="4699" w:h="12652" w:hRule="exact" w:wrap="none" w:vAnchor="page" w:hAnchor="page" w:x="6200" w:y="2462"/>
        <w:numPr>
          <w:ilvl w:val="0"/>
          <w:numId w:val="4"/>
        </w:numPr>
        <w:shd w:val="clear" w:color="auto" w:fill="auto"/>
        <w:tabs>
          <w:tab w:val="left" w:pos="432"/>
        </w:tabs>
        <w:spacing w:before="0" w:after="82"/>
        <w:ind w:left="480"/>
      </w:pPr>
      <w:r>
        <w:t xml:space="preserve">Výběry prostředků z Účtu mohou být realizovány až po uplynutí výpovědní doby, která </w:t>
      </w:r>
      <w:r>
        <w:t>činí minimálně 32 kalendářních dnů. Výpověď vkladu učiní Klient Příkazem k nakládání s prostředky na Účtu, který Banka provede jako Příkaz s odloženou účinností v souladu s článkem 4.6 těchto Podmínek.</w:t>
      </w:r>
    </w:p>
    <w:p w14:paraId="2E30944C" w14:textId="77777777" w:rsidR="001A476E" w:rsidRDefault="0006446B">
      <w:pPr>
        <w:pStyle w:val="Bodytext20"/>
        <w:framePr w:w="4699" w:h="12652" w:hRule="exact" w:wrap="none" w:vAnchor="page" w:hAnchor="page" w:x="6200" w:y="2462"/>
        <w:numPr>
          <w:ilvl w:val="0"/>
          <w:numId w:val="4"/>
        </w:numPr>
        <w:shd w:val="clear" w:color="auto" w:fill="auto"/>
        <w:tabs>
          <w:tab w:val="left" w:pos="432"/>
        </w:tabs>
        <w:spacing w:before="0" w:after="78" w:line="156" w:lineRule="exact"/>
        <w:ind w:firstLine="0"/>
      </w:pPr>
      <w:r>
        <w:t>Okamžik účinnosti Klientova Příkazu nastává:</w:t>
      </w:r>
    </w:p>
    <w:p w14:paraId="2E30944D" w14:textId="77777777" w:rsidR="001A476E" w:rsidRDefault="0006446B">
      <w:pPr>
        <w:pStyle w:val="Bodytext20"/>
        <w:framePr w:w="4699" w:h="12652" w:hRule="exact" w:wrap="none" w:vAnchor="page" w:hAnchor="page" w:x="6200" w:y="2462"/>
        <w:numPr>
          <w:ilvl w:val="0"/>
          <w:numId w:val="6"/>
        </w:numPr>
        <w:shd w:val="clear" w:color="auto" w:fill="auto"/>
        <w:tabs>
          <w:tab w:val="left" w:pos="760"/>
        </w:tabs>
        <w:spacing w:before="0" w:after="0"/>
        <w:ind w:left="760" w:hanging="280"/>
      </w:pPr>
      <w:r>
        <w:t xml:space="preserve">je-li na </w:t>
      </w:r>
      <w:r>
        <w:t>Příkazu uvedeno datum splatnosti, které připadá na Obchodní den, v Obchodní den, který Klient uvedl jako den splatnosti, pokud Příkaz byl Bance doručen nejpozději 32. kalendářní den přede dnem splatnosti;</w:t>
      </w:r>
    </w:p>
    <w:p w14:paraId="2E30944E" w14:textId="77777777" w:rsidR="001A476E" w:rsidRDefault="0006446B">
      <w:pPr>
        <w:pStyle w:val="Bodytext20"/>
        <w:framePr w:w="4699" w:h="12652" w:hRule="exact" w:wrap="none" w:vAnchor="page" w:hAnchor="page" w:x="6200" w:y="2462"/>
        <w:numPr>
          <w:ilvl w:val="0"/>
          <w:numId w:val="6"/>
        </w:numPr>
        <w:shd w:val="clear" w:color="auto" w:fill="auto"/>
        <w:tabs>
          <w:tab w:val="left" w:pos="760"/>
        </w:tabs>
        <w:spacing w:before="0" w:after="80"/>
        <w:ind w:left="760" w:hanging="280"/>
      </w:pPr>
      <w:r>
        <w:t>není-li na Příkazu uvedeno datum splatnosti, nebo j</w:t>
      </w:r>
      <w:r>
        <w:t>e bližší než 32. kalendářní den ode dne doručení příkazu Bance:</w:t>
      </w:r>
    </w:p>
    <w:p w14:paraId="2E30944F" w14:textId="77777777" w:rsidR="001A476E" w:rsidRDefault="0006446B">
      <w:pPr>
        <w:pStyle w:val="Bodytext20"/>
        <w:framePr w:w="4699" w:h="12652" w:hRule="exact" w:wrap="none" w:vAnchor="page" w:hAnchor="page" w:x="6200" w:y="2462"/>
        <w:numPr>
          <w:ilvl w:val="0"/>
          <w:numId w:val="2"/>
        </w:numPr>
        <w:shd w:val="clear" w:color="auto" w:fill="auto"/>
        <w:tabs>
          <w:tab w:val="left" w:pos="1038"/>
        </w:tabs>
        <w:spacing w:before="0" w:after="0"/>
        <w:ind w:left="1060" w:hanging="300"/>
      </w:pPr>
      <w:r>
        <w:t>32. kalendářní den následující po dni doručení Příkazu Bance, pokud 32. kalendářní den je Obchodním dnem,</w:t>
      </w:r>
    </w:p>
    <w:p w14:paraId="2E309450" w14:textId="77777777" w:rsidR="001A476E" w:rsidRDefault="0006446B">
      <w:pPr>
        <w:pStyle w:val="Bodytext20"/>
        <w:framePr w:w="4699" w:h="12652" w:hRule="exact" w:wrap="none" w:vAnchor="page" w:hAnchor="page" w:x="6200" w:y="2462"/>
        <w:numPr>
          <w:ilvl w:val="0"/>
          <w:numId w:val="2"/>
        </w:numPr>
        <w:shd w:val="clear" w:color="auto" w:fill="auto"/>
        <w:tabs>
          <w:tab w:val="left" w:pos="1038"/>
        </w:tabs>
        <w:spacing w:before="0" w:after="0"/>
        <w:ind w:left="1060" w:hanging="300"/>
      </w:pPr>
      <w:r>
        <w:t>v Obchodní den následující po 32. kalendářním dni ode dne doručení Příkazu Bance, poku</w:t>
      </w:r>
      <w:r>
        <w:t>d 32. kalendářní den není Obchodním dnem;</w:t>
      </w:r>
    </w:p>
    <w:p w14:paraId="2E309451" w14:textId="77777777" w:rsidR="001A476E" w:rsidRDefault="0006446B">
      <w:pPr>
        <w:pStyle w:val="Bodytext20"/>
        <w:framePr w:w="4699" w:h="12652" w:hRule="exact" w:wrap="none" w:vAnchor="page" w:hAnchor="page" w:x="6200" w:y="2462"/>
        <w:numPr>
          <w:ilvl w:val="0"/>
          <w:numId w:val="6"/>
        </w:numPr>
        <w:shd w:val="clear" w:color="auto" w:fill="auto"/>
        <w:tabs>
          <w:tab w:val="left" w:pos="760"/>
        </w:tabs>
        <w:spacing w:before="0" w:after="80"/>
        <w:ind w:left="760" w:hanging="280"/>
      </w:pPr>
      <w:r>
        <w:t>je-li na Příkazu stanoveno datum splatnosti připadající na den, který není Obchodním dnem, v Obchodní den následující po dni uvedené splatnosti, pokud Příkaz byl Bance doručen nejpozději 32. kalendářní den přede dn</w:t>
      </w:r>
      <w:r>
        <w:t>em splatnosti,</w:t>
      </w:r>
    </w:p>
    <w:p w14:paraId="2E309452" w14:textId="77777777" w:rsidR="001A476E" w:rsidRDefault="0006446B">
      <w:pPr>
        <w:pStyle w:val="Bodytext20"/>
        <w:framePr w:w="4699" w:h="12652" w:hRule="exact" w:wrap="none" w:vAnchor="page" w:hAnchor="page" w:x="6200" w:y="2462"/>
        <w:shd w:val="clear" w:color="auto" w:fill="auto"/>
        <w:spacing w:before="0" w:after="80"/>
        <w:ind w:left="480" w:firstLine="0"/>
      </w:pPr>
      <w:r>
        <w:t>avšak pouze pokud jsou v takto určené době splněny všechny ostatní podmínky pro provedení Příkazu stanovené Smlouvou a právními předpisy, včetně dostatku volných prostředků na Účtu.</w:t>
      </w:r>
    </w:p>
    <w:p w14:paraId="2E309453" w14:textId="77777777" w:rsidR="001A476E" w:rsidRDefault="0006446B">
      <w:pPr>
        <w:pStyle w:val="Bodytext20"/>
        <w:framePr w:w="4699" w:h="12652" w:hRule="exact" w:wrap="none" w:vAnchor="page" w:hAnchor="page" w:x="6200" w:y="2462"/>
        <w:numPr>
          <w:ilvl w:val="0"/>
          <w:numId w:val="4"/>
        </w:numPr>
        <w:shd w:val="clear" w:color="auto" w:fill="auto"/>
        <w:tabs>
          <w:tab w:val="left" w:pos="432"/>
        </w:tabs>
        <w:spacing w:before="0" w:after="82"/>
        <w:ind w:left="480"/>
      </w:pPr>
      <w:r>
        <w:t xml:space="preserve">V případě nakládání s prostředky na Účtu po zániku Smlouvy </w:t>
      </w:r>
      <w:r>
        <w:t>mohou být prostředky z Účtu vybrány i v hotovosti nebo převedeny na jiný účet písemně určený Klientem.</w:t>
      </w:r>
    </w:p>
    <w:p w14:paraId="2E309454" w14:textId="77777777" w:rsidR="001A476E" w:rsidRDefault="0006446B">
      <w:pPr>
        <w:pStyle w:val="Bodytext20"/>
        <w:framePr w:w="4699" w:h="12652" w:hRule="exact" w:wrap="none" w:vAnchor="page" w:hAnchor="page" w:x="6200" w:y="2462"/>
        <w:numPr>
          <w:ilvl w:val="0"/>
          <w:numId w:val="4"/>
        </w:numPr>
        <w:shd w:val="clear" w:color="auto" w:fill="auto"/>
        <w:tabs>
          <w:tab w:val="left" w:pos="432"/>
        </w:tabs>
        <w:spacing w:before="0" w:after="80" w:line="156" w:lineRule="exact"/>
        <w:ind w:firstLine="0"/>
      </w:pPr>
      <w:r>
        <w:t>Účet není určen k provádění běžného platebního styku.</w:t>
      </w:r>
    </w:p>
    <w:p w14:paraId="2E309455" w14:textId="77777777" w:rsidR="001A476E" w:rsidRDefault="0006446B">
      <w:pPr>
        <w:pStyle w:val="Bodytext20"/>
        <w:framePr w:w="4699" w:h="12652" w:hRule="exact" w:wrap="none" w:vAnchor="page" w:hAnchor="page" w:x="6200" w:y="2462"/>
        <w:numPr>
          <w:ilvl w:val="0"/>
          <w:numId w:val="4"/>
        </w:numPr>
        <w:shd w:val="clear" w:color="auto" w:fill="auto"/>
        <w:tabs>
          <w:tab w:val="left" w:pos="432"/>
        </w:tabs>
        <w:spacing w:before="0" w:after="142" w:line="156" w:lineRule="exact"/>
        <w:ind w:firstLine="0"/>
      </w:pPr>
      <w:r>
        <w:t>Na Účtu není povolen debetní zůstatek.</w:t>
      </w:r>
    </w:p>
    <w:p w14:paraId="2E309456" w14:textId="77777777" w:rsidR="001A476E" w:rsidRDefault="0006446B">
      <w:pPr>
        <w:pStyle w:val="Heading310"/>
        <w:framePr w:w="4699" w:h="12652" w:hRule="exact" w:wrap="none" w:vAnchor="page" w:hAnchor="page" w:x="6200" w:y="2462"/>
        <w:shd w:val="clear" w:color="auto" w:fill="auto"/>
        <w:spacing w:after="96"/>
        <w:ind w:firstLine="0"/>
      </w:pPr>
      <w:bookmarkStart w:id="6" w:name="bookmark6"/>
      <w:r>
        <w:t>Článek 5. Zánik smluvního vztahu</w:t>
      </w:r>
      <w:bookmarkEnd w:id="6"/>
    </w:p>
    <w:p w14:paraId="2E309457" w14:textId="77777777" w:rsidR="001A476E" w:rsidRDefault="0006446B">
      <w:pPr>
        <w:pStyle w:val="Bodytext20"/>
        <w:framePr w:w="4699" w:h="12652" w:hRule="exact" w:wrap="none" w:vAnchor="page" w:hAnchor="page" w:x="6200" w:y="2462"/>
        <w:numPr>
          <w:ilvl w:val="0"/>
          <w:numId w:val="7"/>
        </w:numPr>
        <w:shd w:val="clear" w:color="auto" w:fill="auto"/>
        <w:tabs>
          <w:tab w:val="left" w:pos="432"/>
        </w:tabs>
        <w:spacing w:before="0" w:after="82"/>
        <w:ind w:left="480"/>
      </w:pPr>
      <w:r>
        <w:t>Pokud Klient do 3 měsíců od</w:t>
      </w:r>
      <w:r>
        <w:t xml:space="preserve"> nabytí účinnosti Smlouvy nesloží na Účet Minimální počáteční vklad alespoň ve výši 5 000 Kč nebo 200 EUR nebo pokud zůstatek na Účtu klesne pod 500 Kč nebo 20 EUR, jde o podstatné porušení povinností Klienta a Banka je oprávněna od Smlouvy odstoupit. Počá</w:t>
      </w:r>
      <w:r>
        <w:t>teční vklad lze složit na Účet v hotovosti nebo převést bezhotovostním převodem.</w:t>
      </w:r>
    </w:p>
    <w:p w14:paraId="2E309458" w14:textId="77777777" w:rsidR="001A476E" w:rsidRDefault="0006446B">
      <w:pPr>
        <w:pStyle w:val="Bodytext20"/>
        <w:framePr w:w="4699" w:h="12652" w:hRule="exact" w:wrap="none" w:vAnchor="page" w:hAnchor="page" w:x="6200" w:y="2462"/>
        <w:numPr>
          <w:ilvl w:val="0"/>
          <w:numId w:val="7"/>
        </w:numPr>
        <w:shd w:val="clear" w:color="auto" w:fill="auto"/>
        <w:tabs>
          <w:tab w:val="left" w:pos="432"/>
        </w:tabs>
        <w:spacing w:before="0" w:after="74" w:line="156" w:lineRule="exact"/>
        <w:ind w:firstLine="0"/>
      </w:pPr>
      <w:r>
        <w:t>Smlouva zaniká:</w:t>
      </w:r>
    </w:p>
    <w:p w14:paraId="2E309459" w14:textId="77777777" w:rsidR="001A476E" w:rsidRDefault="0006446B">
      <w:pPr>
        <w:pStyle w:val="Bodytext20"/>
        <w:framePr w:w="4699" w:h="12652" w:hRule="exact" w:wrap="none" w:vAnchor="page" w:hAnchor="page" w:x="6200" w:y="2462"/>
        <w:numPr>
          <w:ilvl w:val="0"/>
          <w:numId w:val="8"/>
        </w:numPr>
        <w:shd w:val="clear" w:color="auto" w:fill="auto"/>
        <w:tabs>
          <w:tab w:val="left" w:pos="760"/>
        </w:tabs>
        <w:spacing w:before="0" w:after="0" w:line="163" w:lineRule="exact"/>
        <w:ind w:left="760" w:hanging="280"/>
      </w:pPr>
      <w:r>
        <w:t>výpovědí Klienta nebo Banky s výpovědní dobou 32 kalendářních dnů běžící ode dne doručení výpovědi Smlouvy druhé smluvní straně,</w:t>
      </w:r>
    </w:p>
    <w:p w14:paraId="2E30945A" w14:textId="77777777" w:rsidR="001A476E" w:rsidRDefault="0006446B">
      <w:pPr>
        <w:pStyle w:val="Bodytext20"/>
        <w:framePr w:w="4699" w:h="12652" w:hRule="exact" w:wrap="none" w:vAnchor="page" w:hAnchor="page" w:x="6200" w:y="2462"/>
        <w:numPr>
          <w:ilvl w:val="0"/>
          <w:numId w:val="8"/>
        </w:numPr>
        <w:shd w:val="clear" w:color="auto" w:fill="auto"/>
        <w:tabs>
          <w:tab w:val="left" w:pos="760"/>
        </w:tabs>
        <w:spacing w:before="0" w:after="0" w:line="163" w:lineRule="exact"/>
        <w:ind w:left="760" w:hanging="280"/>
      </w:pPr>
      <w:r>
        <w:t>32. kalendářní den následující</w:t>
      </w:r>
      <w:r>
        <w:t xml:space="preserve"> po dni, ke kterému zanikla smlouva o zřízení a vedení Běžného účtu,</w:t>
      </w:r>
    </w:p>
    <w:p w14:paraId="2E30945B" w14:textId="77777777" w:rsidR="001A476E" w:rsidRDefault="0006446B">
      <w:pPr>
        <w:pStyle w:val="Bodytext20"/>
        <w:framePr w:w="4699" w:h="12652" w:hRule="exact" w:wrap="none" w:vAnchor="page" w:hAnchor="page" w:x="6200" w:y="2462"/>
        <w:numPr>
          <w:ilvl w:val="0"/>
          <w:numId w:val="8"/>
        </w:numPr>
        <w:shd w:val="clear" w:color="auto" w:fill="auto"/>
        <w:tabs>
          <w:tab w:val="left" w:pos="760"/>
        </w:tabs>
        <w:spacing w:before="0" w:after="148" w:line="163" w:lineRule="exact"/>
        <w:ind w:left="760" w:hanging="280"/>
      </w:pPr>
      <w:r>
        <w:t>odstoupením podle článku 5.1 těchto Podmínek.</w:t>
      </w:r>
    </w:p>
    <w:p w14:paraId="2E30945C" w14:textId="77777777" w:rsidR="001A476E" w:rsidRDefault="0006446B">
      <w:pPr>
        <w:pStyle w:val="Bodytext30"/>
        <w:framePr w:w="4699" w:h="12652" w:hRule="exact" w:wrap="none" w:vAnchor="page" w:hAnchor="page" w:x="6200" w:y="2462"/>
        <w:shd w:val="clear" w:color="auto" w:fill="auto"/>
        <w:spacing w:before="0" w:after="92"/>
        <w:ind w:firstLine="0"/>
      </w:pPr>
      <w:r>
        <w:t>Článek 6. Vymezení pojmů</w:t>
      </w:r>
    </w:p>
    <w:p w14:paraId="2E30945D" w14:textId="77777777" w:rsidR="001A476E" w:rsidRDefault="0006446B">
      <w:pPr>
        <w:pStyle w:val="Bodytext20"/>
        <w:framePr w:w="4699" w:h="12652" w:hRule="exact" w:wrap="none" w:vAnchor="page" w:hAnchor="page" w:x="6200" w:y="2462"/>
        <w:shd w:val="clear" w:color="auto" w:fill="auto"/>
        <w:spacing w:before="0" w:after="84" w:line="163" w:lineRule="exact"/>
        <w:ind w:firstLine="0"/>
      </w:pPr>
      <w:r>
        <w:t>Pojmy s velkým počátečním písmenem mají v těchto Podmínkách následující význam:</w:t>
      </w:r>
    </w:p>
    <w:p w14:paraId="2E30945E" w14:textId="12F9D7D5" w:rsidR="001A476E" w:rsidRDefault="0006446B">
      <w:pPr>
        <w:pStyle w:val="Bodytext20"/>
        <w:framePr w:w="4699" w:h="12652" w:hRule="exact" w:wrap="none" w:vAnchor="page" w:hAnchor="page" w:x="6200" w:y="2462"/>
        <w:shd w:val="clear" w:color="auto" w:fill="auto"/>
        <w:spacing w:before="0" w:after="72"/>
        <w:ind w:firstLine="0"/>
      </w:pPr>
      <w:r>
        <w:rPr>
          <w:rStyle w:val="Bodytext2Bold"/>
        </w:rPr>
        <w:t xml:space="preserve">„Banka" </w:t>
      </w:r>
      <w:r>
        <w:t xml:space="preserve">je Komerční banka, a s., se </w:t>
      </w:r>
      <w:r>
        <w:t xml:space="preserve">sídlem Praha 1, Na Příkopě 33, čp. 969, PSČ 114 07, IČO: 45317054, zapsaná v </w:t>
      </w:r>
      <w:r>
        <w:t>obchodním rejstříku vedeném Městským soudem v Praze, oddíl B, vložka 1360.</w:t>
      </w:r>
    </w:p>
    <w:p w14:paraId="2E30945F" w14:textId="77777777" w:rsidR="001A476E" w:rsidRDefault="0006446B">
      <w:pPr>
        <w:pStyle w:val="Bodytext20"/>
        <w:framePr w:w="4699" w:h="12652" w:hRule="exact" w:wrap="none" w:vAnchor="page" w:hAnchor="page" w:x="6200" w:y="2462"/>
        <w:shd w:val="clear" w:color="auto" w:fill="auto"/>
        <w:spacing w:before="0" w:after="84" w:line="168" w:lineRule="exact"/>
        <w:ind w:firstLine="0"/>
      </w:pPr>
      <w:r>
        <w:rPr>
          <w:rStyle w:val="Bodytext2Bold"/>
        </w:rPr>
        <w:t xml:space="preserve">„Běžný účet" </w:t>
      </w:r>
      <w:r>
        <w:t>je účet vedený pro Klienta Bankou specifikovaný v článku 2.2 těchto Podmínek.</w:t>
      </w:r>
    </w:p>
    <w:p w14:paraId="2E309460" w14:textId="77777777" w:rsidR="001A476E" w:rsidRDefault="0006446B">
      <w:pPr>
        <w:pStyle w:val="Bodytext20"/>
        <w:framePr w:w="4699" w:h="12652" w:hRule="exact" w:wrap="none" w:vAnchor="page" w:hAnchor="page" w:x="6200" w:y="2462"/>
        <w:shd w:val="clear" w:color="auto" w:fill="auto"/>
        <w:spacing w:before="0" w:after="80" w:line="163" w:lineRule="exact"/>
        <w:ind w:firstLine="0"/>
      </w:pPr>
      <w:r>
        <w:rPr>
          <w:rStyle w:val="Bodytext2Bold"/>
        </w:rPr>
        <w:t xml:space="preserve">„Klient" </w:t>
      </w:r>
      <w:r>
        <w:t xml:space="preserve">je </w:t>
      </w:r>
      <w:r>
        <w:t>fyzická osoba - podnikatel nebo právnická osoba, která s bankou uzavřela Smlouvu.</w:t>
      </w:r>
    </w:p>
    <w:p w14:paraId="2E309461" w14:textId="77777777" w:rsidR="001A476E" w:rsidRDefault="0006446B">
      <w:pPr>
        <w:pStyle w:val="Bodytext20"/>
        <w:framePr w:w="4699" w:h="12652" w:hRule="exact" w:wrap="none" w:vAnchor="page" w:hAnchor="page" w:x="6200" w:y="2462"/>
        <w:shd w:val="clear" w:color="auto" w:fill="auto"/>
        <w:spacing w:before="0" w:after="84" w:line="163" w:lineRule="exact"/>
        <w:ind w:firstLine="0"/>
      </w:pPr>
      <w:r>
        <w:rPr>
          <w:rStyle w:val="Bodytext2Bold"/>
        </w:rPr>
        <w:t xml:space="preserve">„Minimální počáteční vklad" </w:t>
      </w:r>
      <w:r>
        <w:t>je minimální povinná výše počátečního vkladu Klienta stanovená Bankou v těchto Podmínkách.</w:t>
      </w:r>
    </w:p>
    <w:p w14:paraId="2E309462" w14:textId="766E9F89" w:rsidR="001A476E" w:rsidRDefault="0006446B">
      <w:pPr>
        <w:pStyle w:val="Bodytext20"/>
        <w:framePr w:w="4699" w:h="12652" w:hRule="exact" w:wrap="none" w:vAnchor="page" w:hAnchor="page" w:x="6200" w:y="2462"/>
        <w:shd w:val="clear" w:color="auto" w:fill="auto"/>
        <w:spacing w:before="0" w:after="76"/>
        <w:ind w:firstLine="0"/>
      </w:pPr>
      <w:r>
        <w:rPr>
          <w:rStyle w:val="Bodytext2Bold"/>
        </w:rPr>
        <w:t xml:space="preserve">„Podpisový vzor" </w:t>
      </w:r>
      <w:r>
        <w:t>je Bankou akceptovaný vzor podpisu Opr</w:t>
      </w:r>
      <w:r>
        <w:t xml:space="preserve">ávněné osoby, obsahující grafickou podobu jejího jména, sloužící k </w:t>
      </w:r>
      <w:r>
        <w:t xml:space="preserve">její identifikaci pro účely nakládání s prostředky na Účtu či za účelem podání žádosti o poskytnutí Bankovní služby či k provedení jiného dohodnutého úkonu s Bankovní službou souvisejícího. </w:t>
      </w:r>
      <w:r>
        <w:t>Podpisový vzor musí mít náležitosti plné moci.</w:t>
      </w:r>
    </w:p>
    <w:p w14:paraId="2E309463" w14:textId="3C9E25B5" w:rsidR="001A476E" w:rsidRDefault="0006446B">
      <w:pPr>
        <w:pStyle w:val="Bodytext20"/>
        <w:framePr w:w="4699" w:h="12652" w:hRule="exact" w:wrap="none" w:vAnchor="page" w:hAnchor="page" w:x="6200" w:y="2462"/>
        <w:shd w:val="clear" w:color="auto" w:fill="auto"/>
        <w:spacing w:before="0" w:after="84" w:line="163" w:lineRule="exact"/>
        <w:ind w:firstLine="0"/>
      </w:pPr>
      <w:r>
        <w:rPr>
          <w:rStyle w:val="Bodytext2Bold"/>
        </w:rPr>
        <w:t xml:space="preserve">„Příkaz" </w:t>
      </w:r>
      <w:r>
        <w:t>je platební příkaz, tj. pokyn Klienta, jímž Banku žádá o provedení</w:t>
      </w:r>
      <w:r>
        <w:t xml:space="preserve"> platební transakce.</w:t>
      </w:r>
    </w:p>
    <w:p w14:paraId="2E309464" w14:textId="77777777" w:rsidR="001A476E" w:rsidRDefault="0006446B">
      <w:pPr>
        <w:pStyle w:val="Bodytext20"/>
        <w:framePr w:w="4699" w:h="12652" w:hRule="exact" w:wrap="none" w:vAnchor="page" w:hAnchor="page" w:x="6200" w:y="2462"/>
        <w:shd w:val="clear" w:color="auto" w:fill="auto"/>
        <w:spacing w:before="0" w:after="76"/>
        <w:ind w:firstLine="0"/>
      </w:pPr>
      <w:r>
        <w:rPr>
          <w:rStyle w:val="Bodytext2Bold"/>
        </w:rPr>
        <w:t xml:space="preserve">„Sazebník" </w:t>
      </w:r>
      <w:r>
        <w:t>je přehled všech poplatků, ostatních cen a jiných plateb za Bankovní služby a za úkony s Bankovními sl</w:t>
      </w:r>
      <w:r>
        <w:t>užbami souvisejícími.</w:t>
      </w:r>
    </w:p>
    <w:p w14:paraId="2E309465" w14:textId="258158A0" w:rsidR="001A476E" w:rsidRDefault="0006446B">
      <w:pPr>
        <w:pStyle w:val="Bodytext20"/>
        <w:framePr w:w="4699" w:h="12652" w:hRule="exact" w:wrap="none" w:vAnchor="page" w:hAnchor="page" w:x="6200" w:y="2462"/>
        <w:shd w:val="clear" w:color="auto" w:fill="auto"/>
        <w:spacing w:before="0" w:after="0" w:line="163" w:lineRule="exact"/>
        <w:ind w:firstLine="0"/>
      </w:pPr>
      <w:r>
        <w:rPr>
          <w:rStyle w:val="Bodytext2Bold"/>
        </w:rPr>
        <w:t xml:space="preserve">„Smlouva" </w:t>
      </w:r>
      <w:r>
        <w:t>je Smlouva o zřízení a vedení Spoři</w:t>
      </w:r>
      <w:r>
        <w:t>cího účtu s výpovědí uzavřená mezi Klientem a Bankou.</w:t>
      </w:r>
    </w:p>
    <w:p w14:paraId="2E309466" w14:textId="77777777" w:rsidR="001A476E" w:rsidRDefault="0006446B">
      <w:pPr>
        <w:pStyle w:val="Bodytext50"/>
        <w:framePr w:w="1814" w:h="488" w:hRule="exact" w:wrap="none" w:vAnchor="page" w:hAnchor="page" w:x="9056" w:y="15686"/>
        <w:shd w:val="clear" w:color="auto" w:fill="auto"/>
      </w:pPr>
      <w:r>
        <w:t>1/2</w:t>
      </w:r>
    </w:p>
    <w:p w14:paraId="2E309467" w14:textId="77777777" w:rsidR="001A476E" w:rsidRDefault="0006446B">
      <w:pPr>
        <w:pStyle w:val="Bodytext40"/>
        <w:framePr w:w="1814" w:h="488" w:hRule="exact" w:wrap="none" w:vAnchor="page" w:hAnchor="page" w:x="9056" w:y="15686"/>
        <w:shd w:val="clear" w:color="auto" w:fill="auto"/>
        <w:spacing w:line="134" w:lineRule="exact"/>
        <w:ind w:firstLine="0"/>
        <w:jc w:val="right"/>
      </w:pPr>
      <w:r>
        <w:t>DATUM ÚČINNOSTI ŠABLONY 28. 7. 2015 VER E PODMSU32.DOT 19.09.2023 10:58 DOP.</w:t>
      </w:r>
    </w:p>
    <w:p w14:paraId="2E309468" w14:textId="77777777" w:rsidR="001A476E" w:rsidRDefault="001A476E">
      <w:pPr>
        <w:rPr>
          <w:sz w:val="2"/>
          <w:szCs w:val="2"/>
        </w:rPr>
        <w:sectPr w:rsidR="001A476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E309469" w14:textId="77777777" w:rsidR="001A476E" w:rsidRDefault="0006446B">
      <w:pPr>
        <w:rPr>
          <w:sz w:val="2"/>
          <w:szCs w:val="2"/>
        </w:rPr>
      </w:pPr>
      <w:r>
        <w:lastRenderedPageBreak/>
        <w:pict w14:anchorId="2E309479">
          <v:rect id="_x0000_s1027" style="position:absolute;margin-left:277.15pt;margin-top:47.25pt;width:310.55pt;height:16.55pt;z-index:-251658752;mso-position-horizontal-relative:page;mso-position-vertical-relative:page" fillcolor="#c8c9c5" stroked="f">
            <w10:wrap anchorx="page" anchory="page"/>
          </v:rect>
        </w:pict>
      </w:r>
    </w:p>
    <w:p w14:paraId="2E30946B" w14:textId="16A20DA4" w:rsidR="001A476E" w:rsidRDefault="0006446B" w:rsidP="0006446B">
      <w:pPr>
        <w:pStyle w:val="Heading210"/>
        <w:framePr w:w="5581" w:wrap="none" w:vAnchor="page" w:hAnchor="page" w:x="5582" w:y="991"/>
        <w:shd w:val="clear" w:color="auto" w:fill="C7C8C4"/>
        <w:ind w:left="140"/>
        <w:jc w:val="left"/>
      </w:pPr>
      <w:bookmarkStart w:id="7" w:name="bookmark7"/>
      <w:r>
        <w:rPr>
          <w:rStyle w:val="Heading211"/>
          <w:b/>
          <w:bCs/>
        </w:rPr>
        <w:t>Podmínky ke Spoři</w:t>
      </w:r>
      <w:r>
        <w:rPr>
          <w:rStyle w:val="Heading211"/>
          <w:b/>
          <w:bCs/>
        </w:rPr>
        <w:t>címu účtu s</w:t>
      </w:r>
      <w:bookmarkEnd w:id="7"/>
      <w:r>
        <w:rPr>
          <w:rStyle w:val="Heading211"/>
          <w:b/>
          <w:bCs/>
        </w:rPr>
        <w:t xml:space="preserve"> výpovědí</w:t>
      </w:r>
    </w:p>
    <w:p w14:paraId="2E30946D" w14:textId="77777777" w:rsidR="001A476E" w:rsidRDefault="0006446B">
      <w:pPr>
        <w:pStyle w:val="Bodytext20"/>
        <w:framePr w:w="4680" w:h="1850" w:hRule="exact" w:wrap="none" w:vAnchor="page" w:hAnchor="page" w:x="1113" w:y="2472"/>
        <w:shd w:val="clear" w:color="auto" w:fill="auto"/>
        <w:spacing w:before="0" w:after="208" w:line="163" w:lineRule="exact"/>
        <w:ind w:firstLine="0"/>
      </w:pPr>
      <w:r>
        <w:rPr>
          <w:rStyle w:val="Bodytext2Bold"/>
        </w:rPr>
        <w:t xml:space="preserve">„Účet" </w:t>
      </w:r>
      <w:r>
        <w:t xml:space="preserve">je běžný účet spořícího charakteru vedený na </w:t>
      </w:r>
      <w:r>
        <w:t>základě Smlouvy, jehož zřízení a vedení je vázáno na Běžný účet.</w:t>
      </w:r>
    </w:p>
    <w:p w14:paraId="2E30946E" w14:textId="77777777" w:rsidR="001A476E" w:rsidRDefault="0006446B">
      <w:pPr>
        <w:pStyle w:val="Heading310"/>
        <w:framePr w:w="4680" w:h="1850" w:hRule="exact" w:wrap="none" w:vAnchor="page" w:hAnchor="page" w:x="1113" w:y="2472"/>
        <w:shd w:val="clear" w:color="auto" w:fill="auto"/>
        <w:spacing w:after="72"/>
        <w:ind w:left="480"/>
        <w:jc w:val="left"/>
      </w:pPr>
      <w:bookmarkStart w:id="8" w:name="bookmark9"/>
      <w:r>
        <w:t>Článek 7. Závěrečná ustanovení</w:t>
      </w:r>
      <w:bookmarkEnd w:id="8"/>
    </w:p>
    <w:p w14:paraId="2E30946F" w14:textId="77777777" w:rsidR="001A476E" w:rsidRDefault="0006446B">
      <w:pPr>
        <w:pStyle w:val="Bodytext20"/>
        <w:framePr w:w="4680" w:h="1850" w:hRule="exact" w:wrap="none" w:vAnchor="page" w:hAnchor="page" w:x="1113" w:y="2472"/>
        <w:numPr>
          <w:ilvl w:val="0"/>
          <w:numId w:val="9"/>
        </w:numPr>
        <w:shd w:val="clear" w:color="auto" w:fill="auto"/>
        <w:tabs>
          <w:tab w:val="left" w:pos="427"/>
        </w:tabs>
        <w:spacing w:before="0" w:after="64" w:line="163" w:lineRule="exact"/>
        <w:ind w:left="480"/>
        <w:jc w:val="left"/>
      </w:pPr>
      <w:r>
        <w:t>Banka je oprávněna tyto Podmínky průběžně měnit způsobem uvedeným ve Všeobecných podmínkách.</w:t>
      </w:r>
    </w:p>
    <w:p w14:paraId="2E309470" w14:textId="36DDA1E5" w:rsidR="001A476E" w:rsidRDefault="0006446B">
      <w:pPr>
        <w:pStyle w:val="Bodytext20"/>
        <w:framePr w:w="4680" w:h="1850" w:hRule="exact" w:wrap="none" w:vAnchor="page" w:hAnchor="page" w:x="1113" w:y="2472"/>
        <w:numPr>
          <w:ilvl w:val="0"/>
          <w:numId w:val="9"/>
        </w:numPr>
        <w:shd w:val="clear" w:color="auto" w:fill="auto"/>
        <w:tabs>
          <w:tab w:val="left" w:pos="427"/>
        </w:tabs>
        <w:spacing w:before="0" w:after="62"/>
        <w:ind w:left="480"/>
        <w:jc w:val="left"/>
      </w:pPr>
      <w:r>
        <w:t xml:space="preserve">Tyto Podmínky ruší a nahrazují Podmínky Komerční banky, a s,, ke </w:t>
      </w:r>
      <w:r>
        <w:t>Spoři</w:t>
      </w:r>
      <w:r>
        <w:t>címu účtu s výpovědí účinné od 1.1.2014.</w:t>
      </w:r>
    </w:p>
    <w:p w14:paraId="2E309471" w14:textId="77777777" w:rsidR="001A476E" w:rsidRDefault="0006446B">
      <w:pPr>
        <w:pStyle w:val="Bodytext20"/>
        <w:framePr w:w="4680" w:h="1850" w:hRule="exact" w:wrap="none" w:vAnchor="page" w:hAnchor="page" w:x="1113" w:y="2472"/>
        <w:numPr>
          <w:ilvl w:val="0"/>
          <w:numId w:val="9"/>
        </w:numPr>
        <w:shd w:val="clear" w:color="auto" w:fill="auto"/>
        <w:tabs>
          <w:tab w:val="left" w:pos="427"/>
        </w:tabs>
        <w:spacing w:before="0" w:after="0" w:line="156" w:lineRule="exact"/>
        <w:ind w:left="480"/>
        <w:jc w:val="left"/>
      </w:pPr>
      <w:r>
        <w:t>Tyto Podmínky nabývají účinnosti dne 28.7.2015.</w:t>
      </w:r>
    </w:p>
    <w:p w14:paraId="2E309472" w14:textId="77777777" w:rsidR="001A476E" w:rsidRDefault="0006446B">
      <w:pPr>
        <w:pStyle w:val="Heading410"/>
        <w:framePr w:w="4680" w:h="582" w:hRule="exact" w:wrap="none" w:vAnchor="page" w:hAnchor="page" w:x="1113" w:y="15688"/>
        <w:shd w:val="clear" w:color="auto" w:fill="auto"/>
        <w:spacing w:after="60"/>
        <w:ind w:left="480"/>
      </w:pPr>
      <w:bookmarkStart w:id="9" w:name="bookmark10"/>
      <w:r>
        <w:t>Komerční banka, a. s., se sídlem:</w:t>
      </w:r>
      <w:bookmarkEnd w:id="9"/>
    </w:p>
    <w:p w14:paraId="2E309473" w14:textId="77777777" w:rsidR="001A476E" w:rsidRDefault="0006446B">
      <w:pPr>
        <w:pStyle w:val="Heading410"/>
        <w:framePr w:w="4680" w:h="582" w:hRule="exact" w:wrap="none" w:vAnchor="page" w:hAnchor="page" w:x="1113" w:y="15688"/>
        <w:shd w:val="clear" w:color="auto" w:fill="auto"/>
        <w:ind w:left="480"/>
      </w:pPr>
      <w:bookmarkStart w:id="10" w:name="bookmark11"/>
      <w:r>
        <w:t>Praha 1, Na Příkopě 33 čp. 969, PSČ 114 07, IČO: 45317054</w:t>
      </w:r>
      <w:bookmarkEnd w:id="10"/>
    </w:p>
    <w:p w14:paraId="2E309474" w14:textId="77777777" w:rsidR="001A476E" w:rsidRDefault="0006446B">
      <w:pPr>
        <w:pStyle w:val="Bodytext40"/>
        <w:framePr w:w="4680" w:h="582" w:hRule="exact" w:wrap="none" w:vAnchor="page" w:hAnchor="page" w:x="1113" w:y="15688"/>
        <w:shd w:val="clear" w:color="auto" w:fill="auto"/>
        <w:ind w:left="480"/>
      </w:pPr>
      <w:r>
        <w:t xml:space="preserve">ZAPSANÁ V OBCHODNÍM REJSTŘÍKU VEDENÉM MĚSTSKÝM SOUDEM V PRAZE, ODDÍL </w:t>
      </w:r>
      <w:r>
        <w:t>B, VLOŽKA 1360</w:t>
      </w:r>
    </w:p>
    <w:p w14:paraId="2E309475" w14:textId="77777777" w:rsidR="001A476E" w:rsidRDefault="0006446B">
      <w:pPr>
        <w:pStyle w:val="Bodytext60"/>
        <w:framePr w:w="1819" w:h="478" w:hRule="exact" w:wrap="none" w:vAnchor="page" w:hAnchor="page" w:x="9043" w:y="15696"/>
        <w:shd w:val="clear" w:color="auto" w:fill="auto"/>
      </w:pPr>
      <w:r>
        <w:t>2/2</w:t>
      </w:r>
    </w:p>
    <w:p w14:paraId="2E309476" w14:textId="77777777" w:rsidR="001A476E" w:rsidRDefault="0006446B">
      <w:pPr>
        <w:pStyle w:val="Bodytext40"/>
        <w:framePr w:w="1819" w:h="478" w:hRule="exact" w:wrap="none" w:vAnchor="page" w:hAnchor="page" w:x="9043" w:y="15696"/>
        <w:shd w:val="clear" w:color="auto" w:fill="auto"/>
        <w:spacing w:line="134" w:lineRule="exact"/>
        <w:ind w:firstLine="0"/>
        <w:jc w:val="right"/>
      </w:pPr>
      <w:r>
        <w:t>DATUM ÚČINNOSTI ŠABLONY 28. 7. 2015 VER E PODMSU32.DOT 19.09.2023 10:58 DOP.</w:t>
      </w:r>
    </w:p>
    <w:p w14:paraId="2E309477" w14:textId="77777777" w:rsidR="001A476E" w:rsidRDefault="001A476E">
      <w:pPr>
        <w:rPr>
          <w:sz w:val="2"/>
          <w:szCs w:val="2"/>
        </w:rPr>
      </w:pPr>
      <w:bookmarkStart w:id="11" w:name="_GoBack"/>
      <w:bookmarkEnd w:id="11"/>
    </w:p>
    <w:sectPr w:rsidR="001A476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30947F" w14:textId="77777777" w:rsidR="00000000" w:rsidRDefault="0006446B">
      <w:r>
        <w:separator/>
      </w:r>
    </w:p>
  </w:endnote>
  <w:endnote w:type="continuationSeparator" w:id="0">
    <w:p w14:paraId="2E309481" w14:textId="77777777" w:rsidR="00000000" w:rsidRDefault="00064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30947B" w14:textId="77777777" w:rsidR="001A476E" w:rsidRDefault="001A476E"/>
  </w:footnote>
  <w:footnote w:type="continuationSeparator" w:id="0">
    <w:p w14:paraId="2E30947C" w14:textId="77777777" w:rsidR="001A476E" w:rsidRDefault="001A476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C3BE9"/>
    <w:multiLevelType w:val="multilevel"/>
    <w:tmpl w:val="2130728C"/>
    <w:lvl w:ilvl="0">
      <w:start w:val="1"/>
      <w:numFmt w:val="decimal"/>
      <w:lvlText w:val="5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A066B1"/>
    <w:multiLevelType w:val="multilevel"/>
    <w:tmpl w:val="BD6C5C70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4F1E4A"/>
    <w:multiLevelType w:val="multilevel"/>
    <w:tmpl w:val="89E0BC42"/>
    <w:lvl w:ilvl="0">
      <w:start w:val="1"/>
      <w:numFmt w:val="decimal"/>
      <w:lvlText w:val="4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8B166D9"/>
    <w:multiLevelType w:val="multilevel"/>
    <w:tmpl w:val="A48281C0"/>
    <w:lvl w:ilvl="0">
      <w:start w:val="1"/>
      <w:numFmt w:val="decimal"/>
      <w:lvlText w:val="1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DE46979"/>
    <w:multiLevelType w:val="multilevel"/>
    <w:tmpl w:val="358A6CAA"/>
    <w:lvl w:ilvl="0">
      <w:start w:val="1"/>
      <w:numFmt w:val="decimal"/>
      <w:lvlText w:val="3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D135FD4"/>
    <w:multiLevelType w:val="multilevel"/>
    <w:tmpl w:val="1B26C194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50958D9"/>
    <w:multiLevelType w:val="multilevel"/>
    <w:tmpl w:val="AFB42C68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BD7562B"/>
    <w:multiLevelType w:val="multilevel"/>
    <w:tmpl w:val="1450A1D2"/>
    <w:lvl w:ilvl="0">
      <w:start w:val="1"/>
      <w:numFmt w:val="decimal"/>
      <w:lvlText w:val="7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3E56B5A"/>
    <w:multiLevelType w:val="multilevel"/>
    <w:tmpl w:val="79949D2C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8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1A476E"/>
    <w:rsid w:val="0006446B"/>
    <w:rsid w:val="001A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E30942D"/>
  <w15:docId w15:val="{AEE3E6C7-EB4A-402E-9F97-1E8A10895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211">
    <w:name w:val="Heading #2|1"/>
    <w:basedOn w:val="Heading21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Heading31">
    <w:name w:val="Heading #3|1_"/>
    <w:basedOn w:val="Standardnpsmoodstavce"/>
    <w:link w:val="Heading31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2Bold">
    <w:name w:val="Body text|2 + 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Heading41">
    <w:name w:val="Heading #4|1_"/>
    <w:basedOn w:val="Standardnpsmoodstavce"/>
    <w:link w:val="Heading41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Bodytext6">
    <w:name w:val="Body text|6_"/>
    <w:basedOn w:val="Standardnpsmoodstavce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Heading210">
    <w:name w:val="Heading #2|1"/>
    <w:basedOn w:val="Normln"/>
    <w:link w:val="Heading21"/>
    <w:qFormat/>
    <w:pPr>
      <w:shd w:val="clear" w:color="auto" w:fill="FFFFFF"/>
      <w:spacing w:line="290" w:lineRule="exact"/>
      <w:jc w:val="right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customStyle="1" w:styleId="Heading310">
    <w:name w:val="Heading #3|1"/>
    <w:basedOn w:val="Normln"/>
    <w:link w:val="Heading31"/>
    <w:qFormat/>
    <w:pPr>
      <w:shd w:val="clear" w:color="auto" w:fill="FFFFFF"/>
      <w:spacing w:after="60" w:line="178" w:lineRule="exact"/>
      <w:ind w:hanging="480"/>
      <w:jc w:val="both"/>
      <w:outlineLvl w:val="2"/>
    </w:pPr>
    <w:rPr>
      <w:rFonts w:ascii="Arial" w:eastAsia="Arial" w:hAnsi="Arial" w:cs="Arial"/>
      <w:b/>
      <w:bCs/>
      <w:sz w:val="16"/>
      <w:szCs w:val="16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before="60" w:after="60" w:line="158" w:lineRule="exact"/>
      <w:ind w:hanging="480"/>
      <w:jc w:val="both"/>
    </w:pPr>
    <w:rPr>
      <w:rFonts w:ascii="Arial" w:eastAsia="Arial" w:hAnsi="Arial" w:cs="Arial"/>
      <w:sz w:val="14"/>
      <w:szCs w:val="14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before="160" w:after="60" w:line="178" w:lineRule="exact"/>
      <w:ind w:hanging="460"/>
      <w:jc w:val="both"/>
    </w:pPr>
    <w:rPr>
      <w:rFonts w:ascii="Arial" w:eastAsia="Arial" w:hAnsi="Arial" w:cs="Arial"/>
      <w:b/>
      <w:bCs/>
      <w:sz w:val="16"/>
      <w:szCs w:val="16"/>
    </w:rPr>
  </w:style>
  <w:style w:type="paragraph" w:customStyle="1" w:styleId="Heading410">
    <w:name w:val="Heading #4|1"/>
    <w:basedOn w:val="Normln"/>
    <w:link w:val="Heading41"/>
    <w:qFormat/>
    <w:pPr>
      <w:shd w:val="clear" w:color="auto" w:fill="FFFFFF"/>
      <w:spacing w:line="178" w:lineRule="exact"/>
      <w:ind w:hanging="480"/>
      <w:outlineLvl w:val="3"/>
    </w:pPr>
    <w:rPr>
      <w:rFonts w:ascii="Arial" w:eastAsia="Arial" w:hAnsi="Arial" w:cs="Arial"/>
      <w:sz w:val="16"/>
      <w:szCs w:val="16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line="90" w:lineRule="exact"/>
      <w:ind w:hanging="480"/>
    </w:pPr>
    <w:rPr>
      <w:rFonts w:ascii="Arial" w:eastAsia="Arial" w:hAnsi="Arial" w:cs="Arial"/>
      <w:sz w:val="8"/>
      <w:szCs w:val="8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line="134" w:lineRule="exact"/>
      <w:jc w:val="right"/>
    </w:pPr>
    <w:rPr>
      <w:rFonts w:ascii="Arial" w:eastAsia="Arial" w:hAnsi="Arial" w:cs="Arial"/>
      <w:sz w:val="15"/>
      <w:szCs w:val="15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line="446" w:lineRule="exact"/>
      <w:outlineLvl w:val="0"/>
    </w:pPr>
    <w:rPr>
      <w:rFonts w:ascii="Arial" w:eastAsia="Arial" w:hAnsi="Arial" w:cs="Arial"/>
      <w:b/>
      <w:bCs/>
      <w:sz w:val="40"/>
      <w:szCs w:val="40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line="134" w:lineRule="exact"/>
      <w:jc w:val="right"/>
    </w:pPr>
    <w:rPr>
      <w:rFonts w:ascii="Arial" w:eastAsia="Arial" w:hAnsi="Arial" w:cs="Arial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1138</Words>
  <Characters>6717</Characters>
  <Application>Microsoft Office Word</Application>
  <DocSecurity>0</DocSecurity>
  <Lines>55</Lines>
  <Paragraphs>15</Paragraphs>
  <ScaleCrop>false</ScaleCrop>
  <Company>Hudební divadlo Karlín</Company>
  <LinksUpToDate>false</LinksUpToDate>
  <CharactersWithSpaces>7840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Simona Wagenknechtová</cp:lastModifiedBy>
  <cp:revision>2</cp:revision>
  <dcterms:created xsi:type="dcterms:W3CDTF">2023-09-19T09:20:00Z</dcterms:created>
  <dcterms:modified xsi:type="dcterms:W3CDTF">2023-09-19T09:23:00Z</dcterms:modified>
</cp:coreProperties>
</file>