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3DF0E302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BD1DBD">
        <w:rPr>
          <w:rFonts w:ascii="Arial" w:hAnsi="Arial"/>
          <w:spacing w:val="0"/>
          <w:kern w:val="0"/>
          <w:sz w:val="24"/>
          <w:szCs w:val="24"/>
        </w:rPr>
        <w:t>6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1F0265F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BD511F" w:rsidRPr="00D234DF">
        <w:rPr>
          <w:rFonts w:ascii="Arial" w:hAnsi="Arial" w:cs="Arial"/>
          <w:b/>
          <w:bCs/>
          <w:sz w:val="20"/>
          <w:szCs w:val="22"/>
        </w:rPr>
        <w:t>HAVEL &amp; PARTNERS s.r.o., advokátní kancelář</w:t>
      </w:r>
    </w:p>
    <w:p w14:paraId="4BB3C5C8" w14:textId="77777777" w:rsidR="00BD511F" w:rsidRPr="00DA665B" w:rsidRDefault="00BD511F" w:rsidP="00BD511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Na Florenci 2116/15, 110 00 Praha 1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4AB763A5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304C3F">
        <w:rPr>
          <w:rFonts w:ascii="Arial" w:hAnsi="Arial" w:cs="Arial"/>
          <w:sz w:val="20"/>
          <w:szCs w:val="20"/>
        </w:rPr>
        <w:t>26454807</w:t>
      </w:r>
      <w:r w:rsidRPr="00304C3F">
        <w:rPr>
          <w:rFonts w:ascii="Arial" w:hAnsi="Arial" w:cs="Arial"/>
          <w:sz w:val="20"/>
          <w:szCs w:val="20"/>
        </w:rPr>
        <w:tab/>
      </w:r>
    </w:p>
    <w:p w14:paraId="7876908C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04C3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304C3F">
        <w:rPr>
          <w:rFonts w:ascii="Arial" w:hAnsi="Arial" w:cs="Arial"/>
          <w:sz w:val="20"/>
          <w:szCs w:val="20"/>
        </w:rPr>
        <w:t>26454807</w:t>
      </w:r>
    </w:p>
    <w:p w14:paraId="7794425E" w14:textId="6E0F560B" w:rsidR="00BD511F" w:rsidRPr="00DA665B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32AAB" w:rsidRPr="00B51EB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0DC30591" w14:textId="77777777" w:rsidR="00BD511F" w:rsidRPr="00DA665B" w:rsidRDefault="00BD511F" w:rsidP="00BD511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Bc. Petrem Kadlecem, jednatelem</w:t>
      </w:r>
    </w:p>
    <w:p w14:paraId="0DB93112" w14:textId="77777777" w:rsidR="00BD511F" w:rsidRPr="00DA665B" w:rsidRDefault="00BD511F" w:rsidP="00BD511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0C122624" w14:textId="13901F36" w:rsidR="00DA18DA" w:rsidRPr="00FF7D35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plnění </w:t>
      </w:r>
      <w:r w:rsidR="00084FDE" w:rsidRPr="005D11B2">
        <w:rPr>
          <w:rFonts w:ascii="Arial" w:hAnsi="Arial" w:cs="Arial"/>
          <w:sz w:val="20"/>
          <w:szCs w:val="20"/>
        </w:rPr>
        <w:t xml:space="preserve">spočívající </w:t>
      </w:r>
      <w:r w:rsidR="004A559E" w:rsidRPr="004A559E">
        <w:rPr>
          <w:rFonts w:ascii="Arial" w:hAnsi="Arial" w:cs="Arial"/>
          <w:sz w:val="20"/>
          <w:szCs w:val="20"/>
        </w:rPr>
        <w:t xml:space="preserve">v právním poradenství souvisejícím se zajištěním služeb podpory provozu a rozvoje </w:t>
      </w:r>
      <w:proofErr w:type="spellStart"/>
      <w:r w:rsidR="004A559E" w:rsidRPr="004A559E">
        <w:rPr>
          <w:rFonts w:ascii="Arial" w:hAnsi="Arial" w:cs="Arial"/>
          <w:sz w:val="20"/>
          <w:szCs w:val="20"/>
        </w:rPr>
        <w:t>OKaplikací</w:t>
      </w:r>
      <w:proofErr w:type="spellEnd"/>
      <w:r w:rsidR="004A559E" w:rsidRPr="004A559E">
        <w:rPr>
          <w:rFonts w:ascii="Arial" w:hAnsi="Arial" w:cs="Arial"/>
          <w:sz w:val="20"/>
          <w:szCs w:val="20"/>
        </w:rPr>
        <w:t xml:space="preserve"> do doby uzavření smlouvy na probíhající veřejnou zakázku zadávanou v jednacím řízení s uveřejněním, konzultacích o možnostech postupu formou jednacího řízení bez uveřejnění na přechodné období, průběžné právní podpoře Objednatele spočívající v poskytování konzultací, analýz a</w:t>
      </w:r>
      <w:r w:rsidR="0038356A">
        <w:rPr>
          <w:rFonts w:ascii="Arial" w:hAnsi="Arial" w:cs="Arial"/>
          <w:sz w:val="20"/>
          <w:szCs w:val="20"/>
        </w:rPr>
        <w:t> </w:t>
      </w:r>
      <w:r w:rsidR="004A559E" w:rsidRPr="004A559E">
        <w:rPr>
          <w:rFonts w:ascii="Arial" w:hAnsi="Arial" w:cs="Arial"/>
          <w:sz w:val="20"/>
          <w:szCs w:val="20"/>
        </w:rPr>
        <w:t xml:space="preserve">právních stanovisek souvisejících se zajištěním služeb podpory provozu a rozvoje </w:t>
      </w:r>
      <w:proofErr w:type="spellStart"/>
      <w:r w:rsidR="004A559E" w:rsidRPr="004A559E">
        <w:rPr>
          <w:rFonts w:ascii="Arial" w:hAnsi="Arial" w:cs="Arial"/>
          <w:sz w:val="20"/>
          <w:szCs w:val="20"/>
        </w:rPr>
        <w:t>OKaplikací</w:t>
      </w:r>
      <w:proofErr w:type="spellEnd"/>
      <w:r w:rsidR="004A559E" w:rsidRPr="004A559E">
        <w:rPr>
          <w:rFonts w:ascii="Arial" w:hAnsi="Arial" w:cs="Arial"/>
          <w:sz w:val="20"/>
          <w:szCs w:val="20"/>
        </w:rPr>
        <w:t xml:space="preserve"> a  přezkumem zákonnosti postupů Objednatele v zadávacích řízeních na podporu provozu a</w:t>
      </w:r>
      <w:r w:rsidR="0038356A">
        <w:rPr>
          <w:rFonts w:ascii="Arial" w:hAnsi="Arial" w:cs="Arial"/>
          <w:sz w:val="20"/>
          <w:szCs w:val="20"/>
        </w:rPr>
        <w:t> </w:t>
      </w:r>
      <w:r w:rsidR="004A559E" w:rsidRPr="004A559E">
        <w:rPr>
          <w:rFonts w:ascii="Arial" w:hAnsi="Arial" w:cs="Arial"/>
          <w:sz w:val="20"/>
          <w:szCs w:val="20"/>
        </w:rPr>
        <w:t xml:space="preserve">rozvoje </w:t>
      </w:r>
      <w:proofErr w:type="spellStart"/>
      <w:r w:rsidR="004A559E" w:rsidRPr="004A559E">
        <w:rPr>
          <w:rFonts w:ascii="Arial" w:hAnsi="Arial" w:cs="Arial"/>
          <w:sz w:val="20"/>
          <w:szCs w:val="20"/>
        </w:rPr>
        <w:t>OKaplikací</w:t>
      </w:r>
      <w:proofErr w:type="spellEnd"/>
      <w:r w:rsidR="004A559E" w:rsidRPr="004A559E">
        <w:rPr>
          <w:rFonts w:ascii="Arial" w:hAnsi="Arial" w:cs="Arial"/>
          <w:sz w:val="20"/>
          <w:szCs w:val="20"/>
        </w:rPr>
        <w:t xml:space="preserve"> ze strany Úřadu pro ochranu hospodářské soutěže, soudu, auditních orgánů apod.</w:t>
      </w:r>
      <w:r w:rsidR="00563FAF" w:rsidRPr="00563FAF">
        <w:rPr>
          <w:rFonts w:ascii="Arial" w:hAnsi="Arial" w:cs="Arial"/>
          <w:sz w:val="20"/>
          <w:szCs w:val="20"/>
        </w:rPr>
        <w:t xml:space="preserve"> </w:t>
      </w:r>
      <w:r w:rsidR="00563FAF" w:rsidRPr="005D11B2">
        <w:rPr>
          <w:rFonts w:ascii="Arial" w:hAnsi="Arial" w:cs="Arial"/>
          <w:sz w:val="20"/>
          <w:szCs w:val="20"/>
        </w:rPr>
        <w:t>(dále jen „</w:t>
      </w:r>
      <w:r w:rsidR="00563FAF" w:rsidRPr="005D11B2">
        <w:rPr>
          <w:rFonts w:ascii="Arial" w:hAnsi="Arial" w:cs="Arial"/>
          <w:b/>
          <w:sz w:val="20"/>
          <w:szCs w:val="20"/>
        </w:rPr>
        <w:t>Služby</w:t>
      </w:r>
      <w:r w:rsidR="00563FAF" w:rsidRPr="005D11B2">
        <w:rPr>
          <w:rFonts w:ascii="Arial" w:hAnsi="Arial" w:cs="Arial"/>
          <w:sz w:val="20"/>
          <w:szCs w:val="20"/>
        </w:rPr>
        <w:t>“)</w:t>
      </w:r>
      <w:r w:rsidR="00563FAF">
        <w:rPr>
          <w:rFonts w:ascii="Arial" w:hAnsi="Arial" w:cs="Arial"/>
          <w:sz w:val="20"/>
          <w:szCs w:val="20"/>
        </w:rPr>
        <w:t>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05B193B7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</w:rPr>
        <w:t>495 000,-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50228384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732AAB">
        <w:rPr>
          <w:rFonts w:ascii="Arial" w:hAnsi="Arial" w:cs="Arial"/>
          <w:sz w:val="20"/>
          <w:szCs w:val="22"/>
        </w:rPr>
        <w:t>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6F9CD46B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>3</w:t>
      </w:r>
      <w:r w:rsidR="000D4EDD">
        <w:rPr>
          <w:rFonts w:ascii="Arial" w:hAnsi="Arial" w:cs="Arial"/>
          <w:sz w:val="20"/>
          <w:szCs w:val="20"/>
        </w:rPr>
        <w:t>0</w:t>
      </w:r>
      <w:r w:rsidR="00E51EDC">
        <w:rPr>
          <w:rFonts w:ascii="Arial" w:hAnsi="Arial" w:cs="Arial"/>
          <w:sz w:val="20"/>
          <w:szCs w:val="20"/>
        </w:rPr>
        <w:t xml:space="preserve">. </w:t>
      </w:r>
      <w:r w:rsidR="000D4EDD">
        <w:rPr>
          <w:rFonts w:ascii="Arial" w:hAnsi="Arial" w:cs="Arial"/>
          <w:sz w:val="20"/>
          <w:szCs w:val="20"/>
        </w:rPr>
        <w:t>6</w:t>
      </w:r>
      <w:r w:rsidR="00E51EDC">
        <w:rPr>
          <w:rFonts w:ascii="Arial" w:hAnsi="Arial" w:cs="Arial"/>
          <w:sz w:val="20"/>
          <w:szCs w:val="20"/>
        </w:rPr>
        <w:t>. 202</w:t>
      </w:r>
      <w:r w:rsidR="0038356A">
        <w:rPr>
          <w:rFonts w:ascii="Arial" w:hAnsi="Arial" w:cs="Arial"/>
          <w:sz w:val="20"/>
          <w:szCs w:val="20"/>
        </w:rPr>
        <w:t>4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00A59">
        <w:rPr>
          <w:rFonts w:ascii="Arial" w:hAnsi="Arial" w:cs="Arial"/>
          <w:sz w:val="20"/>
          <w:szCs w:val="20"/>
        </w:rPr>
        <w:t>495 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lastRenderedPageBreak/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2B3E5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B5AA2E9" w14:textId="77777777" w:rsidR="00B0537C" w:rsidRPr="00EA1303" w:rsidRDefault="00B0537C" w:rsidP="00B0537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  <w:szCs w:val="22"/>
              </w:rPr>
              <w:t>HAVEL &amp; PARTNERS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19DF83EE" w:rsidR="001227A2" w:rsidRPr="00BB2C2E" w:rsidRDefault="00B0537C" w:rsidP="00B053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2B3E5E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232A75"/>
    <w:multiLevelType w:val="multilevel"/>
    <w:tmpl w:val="205A60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97983">
    <w:abstractNumId w:val="23"/>
  </w:num>
  <w:num w:numId="2" w16cid:durableId="18775475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361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8084">
    <w:abstractNumId w:val="39"/>
  </w:num>
  <w:num w:numId="5" w16cid:durableId="744379868">
    <w:abstractNumId w:val="16"/>
  </w:num>
  <w:num w:numId="6" w16cid:durableId="409011892">
    <w:abstractNumId w:val="12"/>
  </w:num>
  <w:num w:numId="7" w16cid:durableId="141234183">
    <w:abstractNumId w:val="37"/>
  </w:num>
  <w:num w:numId="8" w16cid:durableId="543519011">
    <w:abstractNumId w:val="51"/>
  </w:num>
  <w:num w:numId="9" w16cid:durableId="1172180266">
    <w:abstractNumId w:val="32"/>
  </w:num>
  <w:num w:numId="10" w16cid:durableId="1376006454">
    <w:abstractNumId w:val="24"/>
  </w:num>
  <w:num w:numId="11" w16cid:durableId="506215485">
    <w:abstractNumId w:val="21"/>
  </w:num>
  <w:num w:numId="12" w16cid:durableId="1377196918">
    <w:abstractNumId w:val="34"/>
  </w:num>
  <w:num w:numId="13" w16cid:durableId="1598178107">
    <w:abstractNumId w:val="33"/>
  </w:num>
  <w:num w:numId="14" w16cid:durableId="1228224507">
    <w:abstractNumId w:val="11"/>
  </w:num>
  <w:num w:numId="15" w16cid:durableId="358313431">
    <w:abstractNumId w:val="45"/>
  </w:num>
  <w:num w:numId="16" w16cid:durableId="683479176">
    <w:abstractNumId w:val="13"/>
  </w:num>
  <w:num w:numId="17" w16cid:durableId="1791171509">
    <w:abstractNumId w:val="9"/>
  </w:num>
  <w:num w:numId="18" w16cid:durableId="261039796">
    <w:abstractNumId w:val="4"/>
  </w:num>
  <w:num w:numId="19" w16cid:durableId="1807550705">
    <w:abstractNumId w:val="3"/>
  </w:num>
  <w:num w:numId="20" w16cid:durableId="1839153684">
    <w:abstractNumId w:val="31"/>
  </w:num>
  <w:num w:numId="21" w16cid:durableId="396711033">
    <w:abstractNumId w:val="38"/>
  </w:num>
  <w:num w:numId="22" w16cid:durableId="1310206536">
    <w:abstractNumId w:val="44"/>
  </w:num>
  <w:num w:numId="23" w16cid:durableId="19503832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7395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684723">
    <w:abstractNumId w:val="10"/>
  </w:num>
  <w:num w:numId="26" w16cid:durableId="404685748">
    <w:abstractNumId w:val="17"/>
  </w:num>
  <w:num w:numId="27" w16cid:durableId="659306954">
    <w:abstractNumId w:val="42"/>
  </w:num>
  <w:num w:numId="28" w16cid:durableId="1815946818">
    <w:abstractNumId w:val="49"/>
  </w:num>
  <w:num w:numId="29" w16cid:durableId="1656108241">
    <w:abstractNumId w:val="50"/>
  </w:num>
  <w:num w:numId="30" w16cid:durableId="1814833195">
    <w:abstractNumId w:val="25"/>
  </w:num>
  <w:num w:numId="31" w16cid:durableId="2828548">
    <w:abstractNumId w:val="36"/>
  </w:num>
  <w:num w:numId="32" w16cid:durableId="427582203">
    <w:abstractNumId w:val="47"/>
  </w:num>
  <w:num w:numId="33" w16cid:durableId="726487664">
    <w:abstractNumId w:val="35"/>
  </w:num>
  <w:num w:numId="34" w16cid:durableId="1009407296">
    <w:abstractNumId w:val="30"/>
  </w:num>
  <w:num w:numId="35" w16cid:durableId="276446840">
    <w:abstractNumId w:val="7"/>
  </w:num>
  <w:num w:numId="36" w16cid:durableId="1590302">
    <w:abstractNumId w:val="18"/>
  </w:num>
  <w:num w:numId="37" w16cid:durableId="1015154824">
    <w:abstractNumId w:val="1"/>
  </w:num>
  <w:num w:numId="38" w16cid:durableId="954405762">
    <w:abstractNumId w:val="0"/>
  </w:num>
  <w:num w:numId="39" w16cid:durableId="1234509447">
    <w:abstractNumId w:val="20"/>
  </w:num>
  <w:num w:numId="40" w16cid:durableId="914313908">
    <w:abstractNumId w:val="8"/>
  </w:num>
  <w:num w:numId="41" w16cid:durableId="1158769614">
    <w:abstractNumId w:val="27"/>
  </w:num>
  <w:num w:numId="42" w16cid:durableId="2141460585">
    <w:abstractNumId w:val="22"/>
  </w:num>
  <w:num w:numId="43" w16cid:durableId="591471091">
    <w:abstractNumId w:val="53"/>
  </w:num>
  <w:num w:numId="44" w16cid:durableId="1825077021">
    <w:abstractNumId w:val="15"/>
  </w:num>
  <w:num w:numId="45" w16cid:durableId="650527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172269">
    <w:abstractNumId w:val="6"/>
  </w:num>
  <w:num w:numId="47" w16cid:durableId="345445785">
    <w:abstractNumId w:val="28"/>
  </w:num>
  <w:num w:numId="48" w16cid:durableId="1183742943">
    <w:abstractNumId w:val="41"/>
  </w:num>
  <w:num w:numId="49" w16cid:durableId="1533107245">
    <w:abstractNumId w:val="2"/>
  </w:num>
  <w:num w:numId="50" w16cid:durableId="1403790500">
    <w:abstractNumId w:val="54"/>
  </w:num>
  <w:num w:numId="51" w16cid:durableId="2131589089">
    <w:abstractNumId w:val="43"/>
  </w:num>
  <w:num w:numId="52" w16cid:durableId="315110787">
    <w:abstractNumId w:val="26"/>
  </w:num>
  <w:num w:numId="53" w16cid:durableId="1239630288">
    <w:abstractNumId w:val="40"/>
  </w:num>
  <w:num w:numId="54" w16cid:durableId="1693219840">
    <w:abstractNumId w:val="23"/>
  </w:num>
  <w:num w:numId="55" w16cid:durableId="1793553060">
    <w:abstractNumId w:val="23"/>
  </w:num>
  <w:num w:numId="56" w16cid:durableId="1253467198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4EDD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3E5E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56A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559E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2AAB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1DBD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751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26</cp:revision>
  <cp:lastPrinted>2022-10-20T09:07:00Z</cp:lastPrinted>
  <dcterms:created xsi:type="dcterms:W3CDTF">2022-10-18T09:43:00Z</dcterms:created>
  <dcterms:modified xsi:type="dcterms:W3CDTF">2023-09-19T08:50:00Z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