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sídlo: Technologická 372/2, Pustkovec,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Mgr. Pavel Csank,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0C87A120" w14:textId="1D0DA1C7" w:rsidR="003D5F7C" w:rsidRPr="003D5F7C" w:rsidRDefault="00AB6CB7" w:rsidP="004078C5">
      <w:pPr>
        <w:pStyle w:val="Bezmezer"/>
        <w:spacing w:before="240"/>
        <w:rPr>
          <w:rFonts w:cstheme="minorHAnsi"/>
          <w:b/>
          <w:bCs/>
          <w:sz w:val="22"/>
          <w:szCs w:val="22"/>
        </w:rPr>
      </w:pPr>
      <w:r w:rsidRPr="00AB6CB7">
        <w:rPr>
          <w:rFonts w:ascii="Arial" w:hAnsi="Arial" w:cs="Arial"/>
          <w:b/>
          <w:bCs/>
          <w:color w:val="000000"/>
        </w:rPr>
        <w:br/>
      </w:r>
      <w:r w:rsidR="004078C5" w:rsidRPr="004078C5">
        <w:rPr>
          <w:rFonts w:cstheme="minorHAnsi"/>
          <w:b/>
          <w:sz w:val="22"/>
          <w:szCs w:val="22"/>
        </w:rPr>
        <w:t>Moravskoslezská Technologická Akademie, z.s.</w:t>
      </w:r>
    </w:p>
    <w:p w14:paraId="4A3CFCED" w14:textId="3E466C6C" w:rsidR="003D5F7C" w:rsidRPr="003D5F7C" w:rsidRDefault="003D5F7C" w:rsidP="003D5F7C">
      <w:pPr>
        <w:pStyle w:val="Bezmezer"/>
        <w:rPr>
          <w:rFonts w:cstheme="minorHAnsi"/>
          <w:sz w:val="22"/>
          <w:szCs w:val="22"/>
        </w:rPr>
      </w:pPr>
      <w:r w:rsidRPr="003D5F7C">
        <w:rPr>
          <w:rFonts w:cstheme="minorHAnsi"/>
          <w:sz w:val="22"/>
          <w:szCs w:val="22"/>
        </w:rPr>
        <w:t xml:space="preserve">sídlo: </w:t>
      </w:r>
      <w:r w:rsidR="004078C5" w:rsidRPr="004078C5">
        <w:rPr>
          <w:rFonts w:cstheme="minorHAnsi"/>
          <w:sz w:val="22"/>
          <w:szCs w:val="22"/>
        </w:rPr>
        <w:t>Kavalcova 814/1, 792 01 Bruntál</w:t>
      </w:r>
    </w:p>
    <w:p w14:paraId="20BFE1B2" w14:textId="506648D9" w:rsidR="003D5F7C" w:rsidRPr="003D5F7C" w:rsidRDefault="003D5F7C" w:rsidP="003D5F7C">
      <w:pPr>
        <w:pStyle w:val="Bezmezer"/>
        <w:rPr>
          <w:rFonts w:cstheme="minorHAnsi"/>
          <w:sz w:val="22"/>
          <w:szCs w:val="22"/>
        </w:rPr>
      </w:pPr>
      <w:r w:rsidRPr="003D5F7C">
        <w:rPr>
          <w:rFonts w:cstheme="minorHAnsi"/>
          <w:sz w:val="22"/>
          <w:szCs w:val="22"/>
        </w:rPr>
        <w:t xml:space="preserve">IČO: </w:t>
      </w:r>
      <w:r w:rsidR="004078C5">
        <w:rPr>
          <w:rFonts w:cstheme="minorHAnsi"/>
          <w:sz w:val="22"/>
          <w:szCs w:val="22"/>
        </w:rPr>
        <w:t>17445191</w:t>
      </w:r>
    </w:p>
    <w:p w14:paraId="1407EA57" w14:textId="5C2279B2" w:rsidR="003D5F7C" w:rsidRPr="003D5F7C" w:rsidRDefault="003D5F7C" w:rsidP="003D5F7C">
      <w:pPr>
        <w:pStyle w:val="Bezmezer"/>
        <w:rPr>
          <w:rFonts w:cstheme="minorHAnsi"/>
          <w:sz w:val="22"/>
          <w:szCs w:val="22"/>
        </w:rPr>
      </w:pPr>
      <w:r w:rsidRPr="003D5F7C">
        <w:rPr>
          <w:rFonts w:cstheme="minorHAnsi"/>
          <w:sz w:val="22"/>
          <w:szCs w:val="22"/>
        </w:rPr>
        <w:t xml:space="preserve">zapsána v obchodním rejstříku </w:t>
      </w:r>
      <w:r w:rsidR="004078C5" w:rsidRPr="004078C5">
        <w:rPr>
          <w:rFonts w:cstheme="minorHAnsi"/>
          <w:sz w:val="22"/>
          <w:szCs w:val="22"/>
        </w:rPr>
        <w:t>vedeném Krajským soudem v Ostravě, oddíl B, vložka 1686</w:t>
      </w:r>
    </w:p>
    <w:p w14:paraId="0EB5D710" w14:textId="347187D8" w:rsidR="003D5F7C" w:rsidRPr="003D5F7C" w:rsidRDefault="003D5F7C" w:rsidP="003D5F7C">
      <w:pPr>
        <w:pStyle w:val="Bezmezer"/>
        <w:rPr>
          <w:rFonts w:cstheme="minorHAnsi"/>
          <w:sz w:val="22"/>
          <w:szCs w:val="22"/>
        </w:rPr>
      </w:pPr>
      <w:r w:rsidRPr="003D5F7C">
        <w:rPr>
          <w:rFonts w:cstheme="minorHAnsi"/>
          <w:sz w:val="22"/>
          <w:szCs w:val="22"/>
        </w:rPr>
        <w:t xml:space="preserve">jednající </w:t>
      </w:r>
      <w:r w:rsidR="004078C5">
        <w:rPr>
          <w:rFonts w:cstheme="minorHAnsi"/>
          <w:b/>
          <w:bCs/>
          <w:sz w:val="22"/>
          <w:szCs w:val="22"/>
        </w:rPr>
        <w:t>Ing. Jan Meca, předseda představenstva</w:t>
      </w:r>
    </w:p>
    <w:p w14:paraId="08A18040" w14:textId="710830EA" w:rsidR="00785177" w:rsidRPr="00A76121" w:rsidRDefault="00785177" w:rsidP="003D5F7C">
      <w:pPr>
        <w:pStyle w:val="Bezmezer"/>
        <w:spacing w:before="240"/>
        <w:rPr>
          <w:rFonts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parc.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ú. Pustkovec,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r w:rsidR="00BC5729" w:rsidRPr="00A76121">
        <w:rPr>
          <w:rFonts w:asciiTheme="minorHAnsi" w:hAnsiTheme="minorHAnsi" w:cstheme="minorHAnsi"/>
          <w:sz w:val="22"/>
          <w:szCs w:val="22"/>
        </w:rPr>
        <w:t xml:space="preserve">Viva) a dále je vlastníkem pozemku parc.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k. ú. Pustkovec,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75C8D62E" w14:textId="1DEDAD3C" w:rsidR="00785177" w:rsidRPr="00932474"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 xml:space="preserve">do užívání třetí osobě, tj. uzavřít smlouvu o podnájmu prostor. </w:t>
      </w: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lastRenderedPageBreak/>
        <w:t>Předmět podnájmu</w:t>
      </w:r>
    </w:p>
    <w:p w14:paraId="48D3CC5E" w14:textId="26DC2E6D"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r w:rsidR="00553553">
        <w:rPr>
          <w:rFonts w:asciiTheme="minorHAnsi" w:hAnsiTheme="minorHAnsi" w:cstheme="minorHAnsi"/>
          <w:sz w:val="22"/>
          <w:szCs w:val="22"/>
        </w:rPr>
        <w:t>Trident</w:t>
      </w:r>
      <w:r w:rsidR="006B3A3D" w:rsidRPr="00A76121">
        <w:rPr>
          <w:rFonts w:asciiTheme="minorHAnsi" w:hAnsiTheme="minorHAnsi" w:cstheme="minorHAnsi"/>
          <w:sz w:val="22"/>
          <w:szCs w:val="22"/>
        </w:rPr>
        <w:t>:</w:t>
      </w:r>
    </w:p>
    <w:p w14:paraId="005415BB" w14:textId="67812ECC"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4078C5">
        <w:rPr>
          <w:rFonts w:asciiTheme="minorHAnsi" w:hAnsiTheme="minorHAnsi" w:cstheme="minorHAnsi"/>
          <w:b/>
          <w:sz w:val="22"/>
          <w:szCs w:val="22"/>
        </w:rPr>
        <w:t>37,24</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 jako místnost</w:t>
      </w:r>
      <w:r w:rsidR="00B61E05">
        <w:rPr>
          <w:rFonts w:asciiTheme="minorHAnsi" w:hAnsiTheme="minorHAnsi" w:cstheme="minorHAnsi"/>
          <w:sz w:val="22"/>
          <w:szCs w:val="22"/>
        </w:rPr>
        <w:t>i</w:t>
      </w:r>
      <w:r w:rsidR="00925308" w:rsidRPr="00A76121">
        <w:rPr>
          <w:rFonts w:asciiTheme="minorHAnsi" w:hAnsiTheme="minorHAnsi" w:cstheme="minorHAnsi"/>
          <w:sz w:val="22"/>
          <w:szCs w:val="22"/>
        </w:rPr>
        <w:t xml:space="preserve"> </w:t>
      </w:r>
      <w:r w:rsidR="00925308" w:rsidRPr="00A76121">
        <w:rPr>
          <w:rFonts w:asciiTheme="minorHAnsi" w:hAnsiTheme="minorHAnsi" w:cstheme="minorHAnsi"/>
          <w:b/>
          <w:sz w:val="22"/>
          <w:szCs w:val="22"/>
        </w:rPr>
        <w:t xml:space="preserve">č. </w:t>
      </w:r>
      <w:r w:rsidR="00CC41EF">
        <w:rPr>
          <w:rFonts w:asciiTheme="minorHAnsi" w:hAnsiTheme="minorHAnsi" w:cstheme="minorHAnsi"/>
          <w:b/>
          <w:sz w:val="22"/>
          <w:szCs w:val="22"/>
        </w:rPr>
        <w:t>2.</w:t>
      </w:r>
      <w:r w:rsidR="004078C5">
        <w:rPr>
          <w:rFonts w:asciiTheme="minorHAnsi" w:hAnsiTheme="minorHAnsi" w:cstheme="minorHAnsi"/>
          <w:b/>
          <w:sz w:val="22"/>
          <w:szCs w:val="22"/>
        </w:rPr>
        <w:t>13</w:t>
      </w:r>
      <w:r w:rsidR="00B61E05">
        <w:rPr>
          <w:rFonts w:asciiTheme="minorHAnsi" w:hAnsiTheme="minorHAnsi" w:cstheme="minorHAnsi"/>
          <w:b/>
          <w:sz w:val="22"/>
          <w:szCs w:val="22"/>
        </w:rPr>
        <w:t xml:space="preserve">, </w:t>
      </w:r>
      <w:r w:rsidR="00925308" w:rsidRPr="00A76121">
        <w:rPr>
          <w:rFonts w:asciiTheme="minorHAnsi" w:hAnsiTheme="minorHAnsi" w:cstheme="minorHAnsi"/>
          <w:b/>
          <w:sz w:val="22"/>
          <w:szCs w:val="22"/>
        </w:rPr>
        <w:t>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w:t>
      </w:r>
      <w:r w:rsidR="00676BDB">
        <w:rPr>
          <w:rFonts w:asciiTheme="minorHAnsi" w:hAnsiTheme="minorHAnsi" w:cstheme="minorHAnsi"/>
          <w:b/>
          <w:sz w:val="22"/>
          <w:szCs w:val="22"/>
        </w:rPr>
        <w:t>Trident</w:t>
      </w:r>
      <w:r w:rsidR="00925308" w:rsidRPr="00A76121">
        <w:rPr>
          <w:rFonts w:asciiTheme="minorHAnsi" w:hAnsiTheme="minorHAnsi" w:cstheme="minorHAnsi"/>
          <w:sz w:val="22"/>
          <w:szCs w:val="22"/>
        </w:rPr>
        <w:t>, přičemž přesná specifikace těchto prostor vyplývá z přiloženého půdorysného plánku, který je přílohou č. 1 a nedílnou součástí této Smlouvy.</w:t>
      </w:r>
    </w:p>
    <w:p w14:paraId="01084C8A" w14:textId="2C12024D" w:rsidR="00F75333" w:rsidRPr="00F75333" w:rsidRDefault="00F75333" w:rsidP="00F75333">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sz w:val="22"/>
          <w:szCs w:val="22"/>
        </w:rPr>
        <w:t>v</w:t>
      </w:r>
      <w:r w:rsidRPr="00956F2E">
        <w:rPr>
          <w:rFonts w:asciiTheme="minorHAnsi" w:hAnsiTheme="minorHAnsi" w:cstheme="minorHAnsi"/>
          <w:sz w:val="22"/>
          <w:szCs w:val="22"/>
        </w:rPr>
        <w:t xml:space="preserve">yhrazené </w:t>
      </w:r>
      <w:r w:rsidR="000C3141">
        <w:rPr>
          <w:rFonts w:asciiTheme="minorHAnsi" w:hAnsiTheme="minorHAnsi" w:cstheme="minorHAnsi"/>
          <w:sz w:val="22"/>
          <w:szCs w:val="22"/>
        </w:rPr>
        <w:t>garážové</w:t>
      </w:r>
      <w:r w:rsidRPr="00956F2E">
        <w:rPr>
          <w:rFonts w:asciiTheme="minorHAnsi" w:hAnsiTheme="minorHAnsi" w:cstheme="minorHAnsi"/>
          <w:sz w:val="22"/>
          <w:szCs w:val="22"/>
        </w:rPr>
        <w:t xml:space="preserve"> parkovací místo č.</w:t>
      </w:r>
      <w:r>
        <w:rPr>
          <w:rFonts w:asciiTheme="minorHAnsi" w:hAnsiTheme="minorHAnsi" w:cstheme="minorHAnsi"/>
          <w:sz w:val="22"/>
          <w:szCs w:val="22"/>
        </w:rPr>
        <w:t xml:space="preserve"> </w:t>
      </w:r>
      <w:r w:rsidR="00205544">
        <w:rPr>
          <w:rFonts w:asciiTheme="minorHAnsi" w:hAnsiTheme="minorHAnsi" w:cstheme="minorHAnsi"/>
          <w:sz w:val="22"/>
          <w:szCs w:val="22"/>
        </w:rPr>
        <w:t>1</w:t>
      </w:r>
      <w:r>
        <w:rPr>
          <w:rFonts w:asciiTheme="minorHAnsi" w:hAnsiTheme="minorHAnsi" w:cstheme="minorHAnsi"/>
          <w:sz w:val="22"/>
          <w:szCs w:val="22"/>
        </w:rPr>
        <w:t xml:space="preserve"> a</w:t>
      </w:r>
      <w:r w:rsidR="00205544">
        <w:rPr>
          <w:rFonts w:asciiTheme="minorHAnsi" w:hAnsiTheme="minorHAnsi" w:cstheme="minorHAnsi"/>
          <w:sz w:val="22"/>
          <w:szCs w:val="22"/>
        </w:rPr>
        <w:t xml:space="preserve"> 2</w:t>
      </w:r>
      <w:r w:rsidRPr="00956F2E">
        <w:rPr>
          <w:rFonts w:asciiTheme="minorHAnsi" w:hAnsiTheme="minorHAnsi" w:cstheme="minorHAnsi"/>
          <w:sz w:val="22"/>
          <w:szCs w:val="22"/>
        </w:rPr>
        <w:t xml:space="preserve"> </w:t>
      </w:r>
      <w:r>
        <w:rPr>
          <w:rFonts w:asciiTheme="minorHAnsi" w:hAnsiTheme="minorHAnsi" w:cstheme="minorHAnsi"/>
          <w:sz w:val="22"/>
          <w:szCs w:val="22"/>
        </w:rPr>
        <w:t>v</w:t>
      </w:r>
      <w:r w:rsidRPr="00956F2E">
        <w:rPr>
          <w:rFonts w:asciiTheme="minorHAnsi" w:hAnsiTheme="minorHAnsi" w:cstheme="minorHAnsi"/>
          <w:sz w:val="22"/>
          <w:szCs w:val="22"/>
        </w:rPr>
        <w:t xml:space="preserve"> budov</w:t>
      </w:r>
      <w:r>
        <w:rPr>
          <w:rFonts w:asciiTheme="minorHAnsi" w:hAnsiTheme="minorHAnsi" w:cstheme="minorHAnsi"/>
          <w:sz w:val="22"/>
          <w:szCs w:val="22"/>
        </w:rPr>
        <w:t>ě</w:t>
      </w:r>
      <w:r w:rsidRPr="00956F2E">
        <w:rPr>
          <w:rFonts w:asciiTheme="minorHAnsi" w:hAnsiTheme="minorHAnsi" w:cstheme="minorHAnsi"/>
          <w:sz w:val="22"/>
          <w:szCs w:val="22"/>
        </w:rPr>
        <w:t xml:space="preserve"> </w:t>
      </w:r>
      <w:r>
        <w:rPr>
          <w:rFonts w:asciiTheme="minorHAnsi" w:hAnsiTheme="minorHAnsi" w:cstheme="minorHAnsi"/>
          <w:sz w:val="22"/>
          <w:szCs w:val="22"/>
        </w:rPr>
        <w:t>VIVA</w:t>
      </w: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595AC520" w14:textId="77777777" w:rsidR="006C4AE0" w:rsidRDefault="006C4AE0" w:rsidP="006C4AE0">
      <w:pPr>
        <w:pStyle w:val="Odstavecseseznamem"/>
        <w:numPr>
          <w:ilvl w:val="0"/>
          <w:numId w:val="18"/>
        </w:numPr>
        <w:spacing w:before="240" w:line="240" w:lineRule="auto"/>
        <w:rPr>
          <w:rFonts w:asciiTheme="minorHAnsi" w:hAnsiTheme="minorHAnsi" w:cstheme="minorHAnsi"/>
          <w:b/>
          <w:bCs/>
          <w:sz w:val="22"/>
          <w:szCs w:val="22"/>
        </w:rPr>
      </w:pPr>
      <w:r w:rsidRPr="006C4AE0">
        <w:rPr>
          <w:rFonts w:asciiTheme="minorHAnsi" w:hAnsiTheme="minorHAnsi" w:cstheme="minorHAnsi"/>
          <w:b/>
          <w:bCs/>
          <w:sz w:val="22"/>
          <w:szCs w:val="22"/>
        </w:rPr>
        <w:t>podpory středním školám ve zvyšování kvality a inovování obsahu odborného vzdělávání v Moravskoslezském kraji a České republice</w:t>
      </w:r>
    </w:p>
    <w:p w14:paraId="0C9D51EE" w14:textId="02CD4FC1" w:rsidR="006C4AE0" w:rsidRPr="006C4AE0" w:rsidRDefault="006C4AE0" w:rsidP="006C4AE0">
      <w:pPr>
        <w:pStyle w:val="Odstavecseseznamem"/>
        <w:numPr>
          <w:ilvl w:val="0"/>
          <w:numId w:val="18"/>
        </w:numPr>
        <w:spacing w:before="240" w:line="240" w:lineRule="auto"/>
        <w:rPr>
          <w:rFonts w:asciiTheme="minorHAnsi" w:hAnsiTheme="minorHAnsi" w:cstheme="minorHAnsi"/>
          <w:b/>
          <w:bCs/>
          <w:sz w:val="22"/>
          <w:szCs w:val="22"/>
        </w:rPr>
      </w:pPr>
      <w:r w:rsidRPr="006C4AE0">
        <w:rPr>
          <w:rFonts w:asciiTheme="minorHAnsi" w:hAnsiTheme="minorHAnsi" w:cstheme="minorHAnsi"/>
          <w:b/>
          <w:bCs/>
          <w:sz w:val="22"/>
          <w:szCs w:val="22"/>
        </w:rPr>
        <w:t>budování partnerství a navazování spolupráce se subjekty působícími v oblasti vzdělávání, průmyslu a technologiích využitelných ve výuce s cílem zajistit transfer inovací do vzdělávání ve středních školách i mimo území České republiky.</w:t>
      </w:r>
    </w:p>
    <w:p w14:paraId="749DA52A" w14:textId="02FF0632"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w:t>
      </w:r>
      <w:r w:rsidRPr="00A76121">
        <w:rPr>
          <w:rFonts w:asciiTheme="minorHAnsi" w:hAnsiTheme="minorHAnsi" w:cstheme="minorHAnsi"/>
          <w:sz w:val="22"/>
          <w:szCs w:val="22"/>
        </w:rPr>
        <w:lastRenderedPageBreak/>
        <w:t xml:space="preserve">podnikání Podnájemce, a to: </w:t>
      </w:r>
    </w:p>
    <w:p w14:paraId="15909367" w14:textId="77777777" w:rsidR="006C4AE0" w:rsidRDefault="006C4AE0" w:rsidP="006C4AE0">
      <w:pPr>
        <w:pStyle w:val="Odstavecseseznamem"/>
        <w:numPr>
          <w:ilvl w:val="0"/>
          <w:numId w:val="18"/>
        </w:numPr>
        <w:spacing w:before="240" w:line="240" w:lineRule="auto"/>
        <w:rPr>
          <w:rFonts w:asciiTheme="minorHAnsi" w:hAnsiTheme="minorHAnsi" w:cstheme="minorHAnsi"/>
          <w:sz w:val="22"/>
          <w:szCs w:val="22"/>
        </w:rPr>
      </w:pPr>
      <w:r>
        <w:rPr>
          <w:rFonts w:asciiTheme="minorHAnsi" w:hAnsiTheme="minorHAnsi" w:cstheme="minorHAnsi"/>
          <w:sz w:val="22"/>
          <w:szCs w:val="22"/>
        </w:rPr>
        <w:t>v</w:t>
      </w:r>
      <w:r w:rsidRPr="006C4AE0">
        <w:rPr>
          <w:rFonts w:asciiTheme="minorHAnsi" w:hAnsiTheme="minorHAnsi" w:cstheme="minorHAnsi"/>
          <w:sz w:val="22"/>
          <w:szCs w:val="22"/>
        </w:rPr>
        <w:t>ývoj a inovace vzdělávacího obsahu především pro oblast středního školství</w:t>
      </w:r>
    </w:p>
    <w:p w14:paraId="5633282D" w14:textId="77777777" w:rsidR="006C4AE0" w:rsidRDefault="006C4AE0" w:rsidP="006C4AE0">
      <w:pPr>
        <w:pStyle w:val="Odstavecseseznamem"/>
        <w:numPr>
          <w:ilvl w:val="0"/>
          <w:numId w:val="18"/>
        </w:numPr>
        <w:spacing w:before="240" w:line="240" w:lineRule="auto"/>
        <w:rPr>
          <w:rFonts w:asciiTheme="minorHAnsi" w:hAnsiTheme="minorHAnsi" w:cstheme="minorHAnsi"/>
          <w:sz w:val="22"/>
          <w:szCs w:val="22"/>
        </w:rPr>
      </w:pPr>
      <w:r w:rsidRPr="006C4AE0">
        <w:rPr>
          <w:rFonts w:asciiTheme="minorHAnsi" w:hAnsiTheme="minorHAnsi" w:cstheme="minorHAnsi"/>
          <w:sz w:val="22"/>
          <w:szCs w:val="22"/>
        </w:rPr>
        <w:t>vzdělávání pracovníků ve školství se zaměřením na změny a inovace ve vzdělávání</w:t>
      </w:r>
    </w:p>
    <w:p w14:paraId="7E013515" w14:textId="77777777" w:rsidR="006C4AE0" w:rsidRDefault="006C4AE0" w:rsidP="006C4AE0">
      <w:pPr>
        <w:pStyle w:val="Odstavecseseznamem"/>
        <w:numPr>
          <w:ilvl w:val="0"/>
          <w:numId w:val="18"/>
        </w:numPr>
        <w:spacing w:before="240" w:line="240" w:lineRule="auto"/>
        <w:rPr>
          <w:rFonts w:asciiTheme="minorHAnsi" w:hAnsiTheme="minorHAnsi" w:cstheme="minorHAnsi"/>
          <w:sz w:val="22"/>
          <w:szCs w:val="22"/>
        </w:rPr>
      </w:pPr>
      <w:r w:rsidRPr="006C4AE0">
        <w:rPr>
          <w:rFonts w:asciiTheme="minorHAnsi" w:hAnsiTheme="minorHAnsi" w:cstheme="minorHAnsi"/>
          <w:sz w:val="22"/>
          <w:szCs w:val="22"/>
        </w:rPr>
        <w:t>pomoc školám při pořizování nových technologií a inovací do vzdělávání</w:t>
      </w:r>
    </w:p>
    <w:p w14:paraId="03A97153" w14:textId="5F8C5A09" w:rsidR="00785177" w:rsidRPr="006C4AE0" w:rsidRDefault="006C4AE0" w:rsidP="006C4AE0">
      <w:pPr>
        <w:pStyle w:val="Odstavecseseznamem"/>
        <w:numPr>
          <w:ilvl w:val="0"/>
          <w:numId w:val="18"/>
        </w:numPr>
        <w:spacing w:before="240" w:line="240" w:lineRule="auto"/>
        <w:rPr>
          <w:rFonts w:asciiTheme="minorHAnsi" w:hAnsiTheme="minorHAnsi" w:cstheme="minorHAnsi"/>
          <w:sz w:val="22"/>
          <w:szCs w:val="22"/>
        </w:rPr>
      </w:pPr>
      <w:r>
        <w:rPr>
          <w:rFonts w:asciiTheme="minorHAnsi" w:hAnsiTheme="minorHAnsi" w:cstheme="minorHAnsi"/>
          <w:sz w:val="22"/>
          <w:szCs w:val="22"/>
        </w:rPr>
        <w:t>p</w:t>
      </w:r>
      <w:r w:rsidRPr="006C4AE0">
        <w:rPr>
          <w:rFonts w:asciiTheme="minorHAnsi" w:hAnsiTheme="minorHAnsi" w:cstheme="minorHAnsi"/>
          <w:sz w:val="22"/>
          <w:szCs w:val="22"/>
        </w:rPr>
        <w:t>odpora výzkumu, vývoje, inovací a digitalizace pro výuku na školách v Moravskoslezském kraji.</w:t>
      </w:r>
    </w:p>
    <w:p w14:paraId="166D2B3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2EFF4D7A"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se sjednává na dobu </w:t>
      </w:r>
      <w:r w:rsidR="00724D3B">
        <w:rPr>
          <w:rFonts w:asciiTheme="minorHAnsi" w:hAnsiTheme="minorHAnsi" w:cstheme="minorHAnsi"/>
          <w:sz w:val="22"/>
          <w:szCs w:val="22"/>
        </w:rPr>
        <w:t>ne</w:t>
      </w:r>
      <w:r w:rsidRPr="00A76121">
        <w:rPr>
          <w:rFonts w:asciiTheme="minorHAnsi" w:hAnsiTheme="minorHAnsi" w:cstheme="minorHAnsi"/>
          <w:sz w:val="22"/>
          <w:szCs w:val="22"/>
        </w:rPr>
        <w:t>určitou,</w:t>
      </w:r>
      <w:r w:rsidR="00C82EED" w:rsidRPr="00A76121">
        <w:rPr>
          <w:rFonts w:asciiTheme="minorHAnsi" w:hAnsiTheme="minorHAnsi" w:cstheme="minorHAnsi"/>
          <w:sz w:val="22"/>
          <w:szCs w:val="22"/>
        </w:rPr>
        <w:t xml:space="preserve"> </w:t>
      </w:r>
      <w:r w:rsidR="00C82EED" w:rsidRPr="00C82EED">
        <w:rPr>
          <w:rFonts w:asciiTheme="minorHAnsi" w:hAnsiTheme="minorHAnsi" w:cstheme="minorHAnsi"/>
          <w:b/>
          <w:sz w:val="22"/>
          <w:szCs w:val="22"/>
        </w:rPr>
        <w:t>od</w:t>
      </w:r>
      <w:r w:rsidRPr="00A76121">
        <w:rPr>
          <w:rFonts w:asciiTheme="minorHAnsi" w:hAnsiTheme="minorHAnsi" w:cstheme="minorHAnsi"/>
          <w:sz w:val="22"/>
          <w:szCs w:val="22"/>
        </w:rPr>
        <w:t xml:space="preserve"> </w:t>
      </w:r>
      <w:r w:rsidR="00606BA6" w:rsidRPr="00A76121">
        <w:rPr>
          <w:rFonts w:asciiTheme="minorHAnsi" w:hAnsiTheme="minorHAnsi" w:cstheme="minorHAnsi"/>
          <w:b/>
          <w:sz w:val="22"/>
          <w:szCs w:val="22"/>
        </w:rPr>
        <w:t>1.</w:t>
      </w:r>
      <w:r w:rsidR="004078C5">
        <w:rPr>
          <w:rFonts w:asciiTheme="minorHAnsi" w:hAnsiTheme="minorHAnsi" w:cstheme="minorHAnsi"/>
          <w:b/>
          <w:sz w:val="22"/>
          <w:szCs w:val="22"/>
        </w:rPr>
        <w:t>9</w:t>
      </w:r>
      <w:r w:rsidR="00606BA6" w:rsidRPr="00A76121">
        <w:rPr>
          <w:rFonts w:asciiTheme="minorHAnsi" w:hAnsiTheme="minorHAnsi" w:cstheme="minorHAnsi"/>
          <w:b/>
          <w:sz w:val="22"/>
          <w:szCs w:val="22"/>
        </w:rPr>
        <w:t>.20</w:t>
      </w:r>
      <w:r w:rsidR="00165983">
        <w:rPr>
          <w:rFonts w:asciiTheme="minorHAnsi" w:hAnsiTheme="minorHAnsi" w:cstheme="minorHAnsi"/>
          <w:b/>
          <w:sz w:val="22"/>
          <w:szCs w:val="22"/>
        </w:rPr>
        <w:t>2</w:t>
      </w:r>
      <w:r w:rsidR="004078C5">
        <w:rPr>
          <w:rFonts w:asciiTheme="minorHAnsi" w:hAnsiTheme="minorHAnsi" w:cstheme="minorHAnsi"/>
          <w:b/>
          <w:sz w:val="22"/>
          <w:szCs w:val="22"/>
        </w:rPr>
        <w:t>3</w:t>
      </w:r>
      <w:r w:rsidR="00606BA6" w:rsidRPr="00A76121">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45507BD4"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B61E05">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B61E05">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28901E39" w14:textId="15EE96DC" w:rsidR="0037486D" w:rsidRPr="00932474"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31A21035"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77777777"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Změnu těchto skutečností je povinen Podnájemce Nájemci bezodkladně oznámit. Nájemce má právo v případě zrušení registrace k plátcovství daně z přidané hodnoty v České republice u Podnájemce ukončit tuto smlouvu v souladu s čl. IV odst. 3b.</w:t>
      </w:r>
    </w:p>
    <w:p w14:paraId="575D1B5E" w14:textId="5198F092" w:rsidR="00BB2196" w:rsidRPr="00712375"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 xml:space="preserve">stran ve výši </w:t>
      </w:r>
      <w:r w:rsidR="00CC41EF">
        <w:rPr>
          <w:rFonts w:asciiTheme="minorHAnsi" w:hAnsiTheme="minorHAnsi" w:cstheme="minorHAnsi"/>
          <w:b/>
          <w:bCs/>
          <w:sz w:val="22"/>
          <w:szCs w:val="22"/>
        </w:rPr>
        <w:t xml:space="preserve">2 </w:t>
      </w:r>
      <w:r w:rsidR="005865BC">
        <w:rPr>
          <w:rFonts w:asciiTheme="minorHAnsi" w:hAnsiTheme="minorHAnsi" w:cstheme="minorHAnsi"/>
          <w:b/>
          <w:bCs/>
          <w:sz w:val="22"/>
          <w:szCs w:val="22"/>
        </w:rPr>
        <w:t>8</w:t>
      </w:r>
      <w:r w:rsidR="00B77ECE">
        <w:rPr>
          <w:rFonts w:asciiTheme="minorHAnsi" w:hAnsiTheme="minorHAnsi" w:cstheme="minorHAnsi"/>
          <w:b/>
          <w:bCs/>
          <w:sz w:val="22"/>
          <w:szCs w:val="22"/>
        </w:rPr>
        <w:t>5</w:t>
      </w:r>
      <w:r w:rsidR="0038068E">
        <w:rPr>
          <w:rFonts w:asciiTheme="minorHAnsi" w:hAnsiTheme="minorHAnsi" w:cstheme="minorHAnsi"/>
          <w:b/>
          <w:bCs/>
          <w:sz w:val="22"/>
          <w:szCs w:val="22"/>
        </w:rPr>
        <w:t>7</w:t>
      </w:r>
      <w:r w:rsidR="00B6697C" w:rsidRPr="00AA6B7E">
        <w:rPr>
          <w:rFonts w:asciiTheme="minorHAnsi" w:hAnsiTheme="minorHAnsi" w:cstheme="minorHAnsi"/>
          <w:b/>
          <w:bCs/>
          <w:sz w:val="22"/>
          <w:szCs w:val="22"/>
        </w:rPr>
        <w:t>,-Kč/m2/rok</w:t>
      </w:r>
      <w:r w:rsidR="00344F7D" w:rsidRPr="00AA6B7E">
        <w:rPr>
          <w:rFonts w:asciiTheme="minorHAnsi" w:hAnsiTheme="minorHAnsi" w:cstheme="minorHAnsi"/>
          <w:b/>
          <w:bCs/>
          <w:sz w:val="22"/>
          <w:szCs w:val="22"/>
        </w:rPr>
        <w:t xml:space="preserve"> za</w:t>
      </w:r>
      <w:r w:rsidR="00706F23">
        <w:rPr>
          <w:rFonts w:asciiTheme="minorHAnsi" w:hAnsiTheme="minorHAnsi" w:cstheme="minorHAnsi"/>
          <w:b/>
          <w:bCs/>
          <w:sz w:val="22"/>
          <w:szCs w:val="22"/>
        </w:rPr>
        <w:t xml:space="preserve"> kancelářské prostory</w:t>
      </w:r>
      <w:r w:rsidR="00344F7D" w:rsidRPr="00AA6B7E">
        <w:rPr>
          <w:rFonts w:asciiTheme="minorHAnsi" w:hAnsiTheme="minorHAnsi" w:cstheme="minorHAnsi"/>
          <w:b/>
          <w:bCs/>
          <w:sz w:val="22"/>
          <w:szCs w:val="22"/>
        </w:rPr>
        <w:t xml:space="preserve"> </w:t>
      </w:r>
    </w:p>
    <w:p w14:paraId="2802E38A" w14:textId="11D299A5"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skladu a archívu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77777777"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5D0C51" w:rsidRPr="001C451E">
        <w:rPr>
          <w:rFonts w:asciiTheme="minorHAnsi" w:hAnsiTheme="minorHAnsi" w:cstheme="minorHAnsi"/>
          <w:sz w:val="22"/>
          <w:szCs w:val="22"/>
        </w:rPr>
        <w:t>2 600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77777777"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terasy se stanoví dohodou smluvních stran ve výši 200,-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7025E8C1"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w:t>
      </w:r>
      <w:r w:rsidR="00676BDB">
        <w:rPr>
          <w:rFonts w:asciiTheme="minorHAnsi" w:hAnsiTheme="minorHAnsi" w:cstheme="minorHAnsi"/>
          <w:sz w:val="22"/>
          <w:szCs w:val="22"/>
        </w:rPr>
        <w:t>4</w:t>
      </w:r>
      <w:r w:rsidR="007A7692">
        <w:rPr>
          <w:rFonts w:asciiTheme="minorHAnsi" w:hAnsiTheme="minorHAnsi" w:cstheme="minorHAnsi"/>
          <w:sz w:val="22"/>
          <w:szCs w:val="22"/>
        </w:rPr>
        <w:t>50</w:t>
      </w:r>
      <w:r w:rsidRPr="00A76121">
        <w:rPr>
          <w:rFonts w:asciiTheme="minorHAnsi" w:hAnsiTheme="minorHAnsi" w:cstheme="minorHAnsi"/>
          <w:sz w:val="22"/>
          <w:szCs w:val="22"/>
        </w:rPr>
        <w:t>,-Kč</w:t>
      </w:r>
      <w:r w:rsidRPr="003C0E62">
        <w:rPr>
          <w:rFonts w:asciiTheme="minorHAnsi" w:hAnsiTheme="minorHAnsi" w:cstheme="minorHAnsi"/>
          <w:bCs/>
          <w:sz w:val="22"/>
          <w:szCs w:val="22"/>
        </w:rPr>
        <w:t>/</w:t>
      </w:r>
      <w:r w:rsidRPr="00A76121">
        <w:rPr>
          <w:rFonts w:asciiTheme="minorHAnsi" w:hAnsiTheme="minorHAnsi" w:cstheme="minorHAnsi"/>
          <w:sz w:val="22"/>
          <w:szCs w:val="22"/>
        </w:rPr>
        <w:t xml:space="preserve">měsíc/garážové vyhrazené parkovací místo a </w:t>
      </w:r>
      <w:r w:rsidR="007A7692">
        <w:rPr>
          <w:rFonts w:asciiTheme="minorHAnsi" w:hAnsiTheme="minorHAnsi" w:cstheme="minorHAnsi"/>
          <w:sz w:val="22"/>
          <w:szCs w:val="22"/>
        </w:rPr>
        <w:t>950</w:t>
      </w:r>
      <w:r w:rsidRPr="00A76121">
        <w:rPr>
          <w:rFonts w:asciiTheme="minorHAnsi" w:hAnsiTheme="minorHAnsi" w:cstheme="minorHAnsi"/>
          <w:sz w:val="22"/>
          <w:szCs w:val="22"/>
        </w:rPr>
        <w:t>,-Kč/měsíc/venkovní vyhrazené parkovací místo. Takto stanovené nájemné nezahrnuje DPH, které je podnájemce povinen hradit spolu s nájemným ve výši odpovídající aktuálním platným právním předpisům.</w:t>
      </w:r>
    </w:p>
    <w:p w14:paraId="797521B0" w14:textId="45CB3504"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č.ú. </w:t>
      </w:r>
      <w:r w:rsidR="00B8030E">
        <w:rPr>
          <w:rFonts w:asciiTheme="minorHAnsi" w:hAnsiTheme="minorHAnsi" w:cstheme="minorHAnsi"/>
          <w:sz w:val="22"/>
          <w:szCs w:val="22"/>
        </w:rPr>
        <w:t>xxxxxxxxxxxx</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72F6B1E9"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4A1AE5">
        <w:rPr>
          <w:rFonts w:asciiTheme="minorHAnsi" w:hAnsiTheme="minorHAnsi" w:cstheme="minorHAnsi"/>
          <w:b/>
          <w:sz w:val="22"/>
          <w:szCs w:val="22"/>
        </w:rPr>
        <w:t>6 </w:t>
      </w:r>
      <w:r w:rsidR="00724D3B">
        <w:rPr>
          <w:rFonts w:asciiTheme="minorHAnsi" w:hAnsiTheme="minorHAnsi" w:cstheme="minorHAnsi"/>
          <w:b/>
          <w:sz w:val="22"/>
          <w:szCs w:val="22"/>
        </w:rPr>
        <w:t>700</w:t>
      </w:r>
      <w:r w:rsidR="009C0C73" w:rsidRPr="00F24FBE">
        <w:rPr>
          <w:rFonts w:asciiTheme="minorHAnsi" w:hAnsiTheme="minorHAnsi" w:cstheme="minorHAnsi"/>
          <w:b/>
          <w:sz w:val="22"/>
          <w:szCs w:val="22"/>
        </w:rPr>
        <w:t xml:space="preserve">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Další individuálně sjednané služby zprostředkované Nájemcem (např. úklid předmětu nájmu, datové služby apod.) budou refakturovány bez dalších příplatků či provizí.</w:t>
      </w:r>
    </w:p>
    <w:p w14:paraId="454F75F0" w14:textId="441D2B4B"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4A1AE5">
        <w:rPr>
          <w:rFonts w:asciiTheme="minorHAnsi" w:hAnsiTheme="minorHAnsi" w:cstheme="minorHAnsi"/>
          <w:b/>
          <w:sz w:val="22"/>
          <w:szCs w:val="22"/>
        </w:rPr>
        <w:t>1 </w:t>
      </w:r>
      <w:r w:rsidR="00724D3B">
        <w:rPr>
          <w:rFonts w:asciiTheme="minorHAnsi" w:hAnsiTheme="minorHAnsi" w:cstheme="minorHAnsi"/>
          <w:b/>
          <w:sz w:val="22"/>
          <w:szCs w:val="22"/>
        </w:rPr>
        <w:t>900</w:t>
      </w:r>
      <w:r w:rsidR="009C0C73" w:rsidRPr="00F24FBE">
        <w:rPr>
          <w:rFonts w:asciiTheme="minorHAnsi" w:hAnsiTheme="minorHAnsi" w:cstheme="minorHAnsi"/>
          <w:b/>
          <w:sz w:val="22"/>
          <w:szCs w:val="22"/>
        </w:rPr>
        <w:t xml:space="preserve">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1B76D512" w:rsidR="00185C75"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w:t>
      </w:r>
      <w:r w:rsidR="00724D3B">
        <w:rPr>
          <w:rFonts w:asciiTheme="minorHAnsi" w:hAnsiTheme="minorHAnsi" w:cstheme="minorHAnsi"/>
          <w:sz w:val="22"/>
          <w:szCs w:val="22"/>
        </w:rPr>
        <w:t>4</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66742236" w14:textId="77777777" w:rsidR="003C5555" w:rsidRPr="00C03FFB" w:rsidRDefault="003C5555" w:rsidP="003C5555">
      <w:pPr>
        <w:widowControl/>
        <w:numPr>
          <w:ilvl w:val="0"/>
          <w:numId w:val="4"/>
        </w:numPr>
        <w:adjustRightInd/>
        <w:spacing w:before="120"/>
        <w:ind w:left="708"/>
        <w:textAlignment w:val="auto"/>
        <w:rPr>
          <w:rFonts w:asciiTheme="minorHAnsi" w:hAnsiTheme="minorHAnsi" w:cstheme="minorHAnsi"/>
          <w:sz w:val="22"/>
          <w:szCs w:val="22"/>
        </w:rPr>
      </w:pPr>
      <w:r w:rsidRPr="00CE1639">
        <w:rPr>
          <w:rFonts w:asciiTheme="minorHAnsi" w:hAnsiTheme="minorHAnsi" w:cstheme="minorHAnsi"/>
          <w:sz w:val="22"/>
          <w:szCs w:val="22"/>
        </w:rP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w:t>
      </w:r>
      <w:r w:rsidRPr="00A76121">
        <w:rPr>
          <w:rFonts w:asciiTheme="minorHAnsi" w:hAnsiTheme="minorHAnsi" w:cstheme="minorHAnsi"/>
          <w:sz w:val="22"/>
          <w:szCs w:val="22"/>
        </w:rPr>
        <w:lastRenderedPageBreak/>
        <w:t>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r w:rsidR="00A76121" w:rsidRPr="00A76121">
        <w:rPr>
          <w:rFonts w:asciiTheme="minorHAnsi" w:hAnsiTheme="minorHAnsi" w:cstheme="minorHAnsi"/>
          <w:sz w:val="22"/>
          <w:szCs w:val="22"/>
        </w:rPr>
        <w:t>to</w:t>
      </w:r>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Budově Trident a Viva</w:t>
      </w:r>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Trident a Viva</w:t>
      </w:r>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w:t>
      </w:r>
      <w:r w:rsidRPr="00A76121">
        <w:rPr>
          <w:rStyle w:val="DeltaViewInsertion"/>
          <w:rFonts w:asciiTheme="minorHAnsi" w:hAnsiTheme="minorHAnsi" w:cstheme="minorHAnsi"/>
          <w:color w:val="auto"/>
          <w:w w:val="0"/>
          <w:sz w:val="22"/>
          <w:szCs w:val="22"/>
          <w:u w:val="none"/>
        </w:rPr>
        <w:lastRenderedPageBreak/>
        <w:t>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Viva</w:t>
      </w:r>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Budovou Viva</w:t>
      </w:r>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Případné umístění dalších firemních označení Podnájemce uvnitř Budovy</w:t>
      </w:r>
      <w:r w:rsidR="009C0C73" w:rsidRPr="00A76121">
        <w:rPr>
          <w:rFonts w:asciiTheme="minorHAnsi" w:hAnsiTheme="minorHAnsi" w:cstheme="minorHAnsi"/>
          <w:color w:val="000000"/>
          <w:sz w:val="22"/>
          <w:szCs w:val="22"/>
        </w:rPr>
        <w:t xml:space="preserve"> Viva</w:t>
      </w:r>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w:t>
      </w:r>
      <w:r w:rsidRPr="00A76121">
        <w:rPr>
          <w:rFonts w:asciiTheme="minorHAnsi" w:hAnsiTheme="minorHAnsi" w:cstheme="minorHAnsi"/>
          <w:color w:val="000000"/>
          <w:sz w:val="22"/>
          <w:szCs w:val="22"/>
        </w:rPr>
        <w:lastRenderedPageBreak/>
        <w:t xml:space="preserve">(viz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7ED3168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w:t>
      </w:r>
      <w:r w:rsidR="002C7749">
        <w:rPr>
          <w:rFonts w:asciiTheme="minorHAnsi" w:hAnsiTheme="minorHAnsi" w:cstheme="minorHAnsi"/>
          <w:color w:val="000000"/>
          <w:sz w:val="22"/>
          <w:szCs w:val="22"/>
        </w:rPr>
        <w:t>platnosti dnem podpisu oběma smluvními stranami.</w:t>
      </w:r>
    </w:p>
    <w:p w14:paraId="7C3BD91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1F03F73D" w14:textId="77777777" w:rsidR="00785177" w:rsidRPr="00A76121" w:rsidRDefault="00785177" w:rsidP="00785177">
      <w:pPr>
        <w:outlineLvl w:val="0"/>
        <w:rPr>
          <w:rFonts w:asciiTheme="minorHAnsi" w:hAnsiTheme="minorHAnsi" w:cstheme="minorHAnsi"/>
          <w:sz w:val="22"/>
          <w:szCs w:val="22"/>
        </w:rPr>
      </w:pPr>
    </w:p>
    <w:p w14:paraId="76309555" w14:textId="77777777" w:rsidR="00785177" w:rsidRPr="00A76121" w:rsidRDefault="00785177" w:rsidP="00785177">
      <w:pPr>
        <w:outlineLvl w:val="0"/>
        <w:rPr>
          <w:rFonts w:asciiTheme="minorHAnsi" w:hAnsiTheme="minorHAnsi" w:cstheme="minorHAnsi"/>
          <w:sz w:val="22"/>
          <w:szCs w:val="22"/>
        </w:rPr>
      </w:pP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5E094500" w:rsidR="00785177" w:rsidRPr="00A76121" w:rsidRDefault="007F09A9" w:rsidP="00AD77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A76121">
        <w:rPr>
          <w:rFonts w:asciiTheme="minorHAnsi" w:hAnsiTheme="minorHAnsi" w:cstheme="minorHAnsi"/>
          <w:sz w:val="22"/>
          <w:szCs w:val="22"/>
        </w:rPr>
        <w:t>V</w:t>
      </w:r>
      <w:r w:rsidR="00AD77FF">
        <w:rPr>
          <w:rFonts w:asciiTheme="minorHAnsi" w:hAnsiTheme="minorHAnsi" w:cstheme="minorHAnsi"/>
          <w:sz w:val="22"/>
          <w:szCs w:val="22"/>
        </w:rPr>
        <w:t> </w:t>
      </w:r>
      <w:r w:rsidRPr="00A76121">
        <w:rPr>
          <w:rFonts w:asciiTheme="minorHAnsi" w:hAnsiTheme="minorHAnsi" w:cstheme="minorHAnsi"/>
          <w:sz w:val="22"/>
          <w:szCs w:val="22"/>
        </w:rPr>
        <w:t>Ostravě</w:t>
      </w:r>
      <w:r w:rsidR="00AD77FF">
        <w:rPr>
          <w:rFonts w:asciiTheme="minorHAnsi" w:hAnsiTheme="minorHAnsi" w:cstheme="minorHAnsi"/>
          <w:sz w:val="22"/>
          <w:szCs w:val="22"/>
        </w:rPr>
        <w:t>,</w:t>
      </w:r>
      <w:r w:rsidRPr="00A76121">
        <w:rPr>
          <w:rFonts w:asciiTheme="minorHAnsi" w:hAnsiTheme="minorHAnsi" w:cstheme="minorHAnsi"/>
          <w:sz w:val="22"/>
          <w:szCs w:val="22"/>
        </w:rPr>
        <w:t xml:space="preserve"> dne</w:t>
      </w:r>
      <w:r w:rsidR="00AD77FF">
        <w:rPr>
          <w:rFonts w:asciiTheme="minorHAnsi" w:hAnsiTheme="minorHAnsi" w:cstheme="minorHAnsi"/>
          <w:sz w:val="22"/>
          <w:szCs w:val="22"/>
        </w:rPr>
        <w:t xml:space="preserve">                                                                          V……………,dne </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7777777" w:rsidR="00785177" w:rsidRPr="00A76121" w:rsidRDefault="00785177"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222CBA11" w14:textId="195DA611" w:rsidR="0023793C"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Mgr. Pavel Csank</w:t>
      </w:r>
      <w:r w:rsidR="00F65BA1">
        <w:rPr>
          <w:rFonts w:asciiTheme="minorHAnsi" w:hAnsiTheme="minorHAnsi" w:cstheme="minorHAnsi"/>
          <w:sz w:val="22"/>
          <w:szCs w:val="22"/>
        </w:rPr>
        <w:t>,</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004078C5">
        <w:rPr>
          <w:rFonts w:asciiTheme="minorHAnsi" w:hAnsiTheme="minorHAnsi" w:cstheme="minorHAnsi"/>
          <w:sz w:val="22"/>
          <w:szCs w:val="22"/>
        </w:rPr>
        <w:t>Ing. Jan Meca</w:t>
      </w:r>
      <w:r w:rsidR="000957F1">
        <w:rPr>
          <w:rFonts w:asciiTheme="minorHAnsi" w:hAnsiTheme="minorHAnsi" w:cstheme="minorHAnsi"/>
          <w:sz w:val="22"/>
          <w:szCs w:val="22"/>
        </w:rPr>
        <w:t>,</w:t>
      </w:r>
    </w:p>
    <w:p w14:paraId="7781FE12" w14:textId="50A4DC45"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0023793C">
        <w:rPr>
          <w:rFonts w:asciiTheme="minorHAnsi" w:hAnsiTheme="minorHAnsi" w:cstheme="minorHAnsi"/>
          <w:sz w:val="22"/>
          <w:szCs w:val="22"/>
        </w:rPr>
        <w:t xml:space="preserve">                                           </w:t>
      </w:r>
      <w:r w:rsidR="004078C5">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1EF5D363" w:rsidR="00785177" w:rsidRDefault="00785177" w:rsidP="00785177">
      <w:pPr>
        <w:rPr>
          <w:rFonts w:asciiTheme="minorHAnsi" w:hAnsiTheme="minorHAnsi" w:cstheme="minorHAnsi"/>
          <w:sz w:val="22"/>
          <w:szCs w:val="22"/>
        </w:rPr>
      </w:pPr>
    </w:p>
    <w:p w14:paraId="57BB3922" w14:textId="448BA1B9" w:rsidR="00676BDB" w:rsidRDefault="00676BDB" w:rsidP="00785177">
      <w:pPr>
        <w:rPr>
          <w:rFonts w:asciiTheme="minorHAnsi" w:hAnsiTheme="minorHAnsi" w:cstheme="minorHAnsi"/>
          <w:sz w:val="22"/>
          <w:szCs w:val="22"/>
        </w:rPr>
      </w:pPr>
    </w:p>
    <w:p w14:paraId="1E9F51DF" w14:textId="17910CBD" w:rsidR="00A83639" w:rsidRDefault="00A83639" w:rsidP="00140875">
      <w:pPr>
        <w:rPr>
          <w:rFonts w:asciiTheme="minorHAnsi" w:hAnsiTheme="minorHAnsi" w:cstheme="minorHAnsi"/>
          <w:sz w:val="22"/>
          <w:szCs w:val="22"/>
        </w:rPr>
      </w:pPr>
      <w:r>
        <w:rPr>
          <w:rFonts w:asciiTheme="minorHAnsi" w:hAnsiTheme="minorHAnsi" w:cstheme="minorHAnsi"/>
          <w:sz w:val="22"/>
          <w:szCs w:val="22"/>
        </w:rPr>
        <w:t xml:space="preserve">                                                             </w:t>
      </w:r>
    </w:p>
    <w:p w14:paraId="6E79D216" w14:textId="77777777" w:rsidR="00A83639" w:rsidRPr="00A76121" w:rsidRDefault="00A83639"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3C0D565D" w:rsidR="00C24CDF" w:rsidRPr="00A76121"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sectPr w:rsidR="00C24CDF"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BF61" w14:textId="77777777" w:rsidR="00452E04" w:rsidRDefault="00452E04" w:rsidP="00995F8A">
      <w:pPr>
        <w:spacing w:line="240" w:lineRule="auto"/>
      </w:pPr>
      <w:r>
        <w:separator/>
      </w:r>
    </w:p>
  </w:endnote>
  <w:endnote w:type="continuationSeparator" w:id="0">
    <w:p w14:paraId="3F936E03" w14:textId="77777777" w:rsidR="00452E04" w:rsidRDefault="00452E04"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E8E5" w14:textId="41E3C00C" w:rsidR="00AD77FF"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F66C" w14:textId="77777777" w:rsidR="00452E04" w:rsidRDefault="00452E04" w:rsidP="00995F8A">
      <w:pPr>
        <w:spacing w:line="240" w:lineRule="auto"/>
      </w:pPr>
      <w:r>
        <w:separator/>
      </w:r>
    </w:p>
  </w:footnote>
  <w:footnote w:type="continuationSeparator" w:id="0">
    <w:p w14:paraId="09E24D72" w14:textId="77777777" w:rsidR="00452E04" w:rsidRDefault="00452E04"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35D" w14:textId="1CBDF4F4" w:rsidR="00AD77FF" w:rsidRPr="0003074A" w:rsidRDefault="00195285" w:rsidP="003859C8">
    <w:pPr>
      <w:pStyle w:val="Zhlav"/>
      <w:jc w:val="right"/>
      <w:rPr>
        <w:rFonts w:asciiTheme="minorHAnsi" w:hAnsiTheme="minorHAnsi" w:cstheme="minorHAnsi"/>
        <w:b/>
        <w:color w:val="999999"/>
        <w:sz w:val="22"/>
        <w:szCs w:val="22"/>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6663" w14:textId="4032D22E" w:rsidR="00195285" w:rsidRPr="005376A2" w:rsidRDefault="00195285" w:rsidP="005376A2">
    <w:pPr>
      <w:pStyle w:val="Zhlav"/>
      <w:jc w:val="right"/>
      <w:rPr>
        <w:rFonts w:asciiTheme="minorHAnsi" w:hAnsiTheme="minorHAnsi" w:cstheme="minorHAnsi"/>
        <w:color w:val="FF0000"/>
      </w:rPr>
    </w:pPr>
    <w:r w:rsidRPr="005376A2">
      <w:rPr>
        <w:rFonts w:asciiTheme="minorHAnsi" w:hAnsiTheme="minorHAnsi" w:cstheme="minorHAnsi"/>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8" w15:restartNumberingAfterBreak="0">
    <w:nsid w:val="46951423"/>
    <w:multiLevelType w:val="hybridMultilevel"/>
    <w:tmpl w:val="928C957C"/>
    <w:lvl w:ilvl="0" w:tplc="476C72B8">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0"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2"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3"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16cid:durableId="1990284233">
    <w:abstractNumId w:val="2"/>
  </w:num>
  <w:num w:numId="2" w16cid:durableId="1312102455">
    <w:abstractNumId w:val="0"/>
  </w:num>
  <w:num w:numId="3" w16cid:durableId="727461324">
    <w:abstractNumId w:val="1"/>
  </w:num>
  <w:num w:numId="4" w16cid:durableId="443233532">
    <w:abstractNumId w:val="16"/>
  </w:num>
  <w:num w:numId="5" w16cid:durableId="1386415694">
    <w:abstractNumId w:val="12"/>
  </w:num>
  <w:num w:numId="6" w16cid:durableId="759791210">
    <w:abstractNumId w:val="5"/>
  </w:num>
  <w:num w:numId="7" w16cid:durableId="691687426">
    <w:abstractNumId w:val="18"/>
  </w:num>
  <w:num w:numId="8" w16cid:durableId="371926955">
    <w:abstractNumId w:val="17"/>
  </w:num>
  <w:num w:numId="9" w16cid:durableId="284386765">
    <w:abstractNumId w:val="11"/>
  </w:num>
  <w:num w:numId="10" w16cid:durableId="1681085068">
    <w:abstractNumId w:val="6"/>
  </w:num>
  <w:num w:numId="11" w16cid:durableId="1591085615">
    <w:abstractNumId w:val="10"/>
  </w:num>
  <w:num w:numId="12" w16cid:durableId="1796869391">
    <w:abstractNumId w:val="15"/>
  </w:num>
  <w:num w:numId="13" w16cid:durableId="1883328654">
    <w:abstractNumId w:val="3"/>
  </w:num>
  <w:num w:numId="14" w16cid:durableId="1021511858">
    <w:abstractNumId w:val="4"/>
  </w:num>
  <w:num w:numId="15" w16cid:durableId="1297949609">
    <w:abstractNumId w:val="13"/>
  </w:num>
  <w:num w:numId="16" w16cid:durableId="600793835">
    <w:abstractNumId w:val="14"/>
  </w:num>
  <w:num w:numId="17" w16cid:durableId="810026662">
    <w:abstractNumId w:val="7"/>
  </w:num>
  <w:num w:numId="18" w16cid:durableId="542132273">
    <w:abstractNumId w:val="9"/>
  </w:num>
  <w:num w:numId="19" w16cid:durableId="1059671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11817"/>
    <w:rsid w:val="0003074A"/>
    <w:rsid w:val="000542CF"/>
    <w:rsid w:val="00056FED"/>
    <w:rsid w:val="00060DEF"/>
    <w:rsid w:val="000850D8"/>
    <w:rsid w:val="000957F1"/>
    <w:rsid w:val="000C00CA"/>
    <w:rsid w:val="000C3141"/>
    <w:rsid w:val="000C4C99"/>
    <w:rsid w:val="000D75D5"/>
    <w:rsid w:val="000F0C3A"/>
    <w:rsid w:val="00116799"/>
    <w:rsid w:val="00135F6A"/>
    <w:rsid w:val="00140875"/>
    <w:rsid w:val="0014189B"/>
    <w:rsid w:val="001432EF"/>
    <w:rsid w:val="00165983"/>
    <w:rsid w:val="00185C75"/>
    <w:rsid w:val="00195285"/>
    <w:rsid w:val="001A46AE"/>
    <w:rsid w:val="001A4D20"/>
    <w:rsid w:val="001A7F7C"/>
    <w:rsid w:val="001B2E9A"/>
    <w:rsid w:val="001B63EC"/>
    <w:rsid w:val="001C451E"/>
    <w:rsid w:val="001E515C"/>
    <w:rsid w:val="00205544"/>
    <w:rsid w:val="00207BF4"/>
    <w:rsid w:val="0023793C"/>
    <w:rsid w:val="00251C99"/>
    <w:rsid w:val="0026598C"/>
    <w:rsid w:val="002727CB"/>
    <w:rsid w:val="00282FC8"/>
    <w:rsid w:val="00287120"/>
    <w:rsid w:val="00291C91"/>
    <w:rsid w:val="0029359E"/>
    <w:rsid w:val="002B4A3E"/>
    <w:rsid w:val="002C74EE"/>
    <w:rsid w:val="002C7749"/>
    <w:rsid w:val="002E14B9"/>
    <w:rsid w:val="002E55E1"/>
    <w:rsid w:val="00304793"/>
    <w:rsid w:val="00306CE4"/>
    <w:rsid w:val="00334B4D"/>
    <w:rsid w:val="0034131D"/>
    <w:rsid w:val="00344F7D"/>
    <w:rsid w:val="00347C53"/>
    <w:rsid w:val="0037486D"/>
    <w:rsid w:val="00377132"/>
    <w:rsid w:val="0038068E"/>
    <w:rsid w:val="0038195E"/>
    <w:rsid w:val="003874E0"/>
    <w:rsid w:val="003879FF"/>
    <w:rsid w:val="003B4E78"/>
    <w:rsid w:val="003C0E62"/>
    <w:rsid w:val="003C5555"/>
    <w:rsid w:val="003C63FC"/>
    <w:rsid w:val="003C73C2"/>
    <w:rsid w:val="003D4B51"/>
    <w:rsid w:val="003D5F7C"/>
    <w:rsid w:val="003F2B7A"/>
    <w:rsid w:val="004078C5"/>
    <w:rsid w:val="00452A5E"/>
    <w:rsid w:val="00452E04"/>
    <w:rsid w:val="0047417A"/>
    <w:rsid w:val="004838A7"/>
    <w:rsid w:val="0049128B"/>
    <w:rsid w:val="0049192E"/>
    <w:rsid w:val="004A1AE5"/>
    <w:rsid w:val="004C06A2"/>
    <w:rsid w:val="004D2753"/>
    <w:rsid w:val="00500B0C"/>
    <w:rsid w:val="00517722"/>
    <w:rsid w:val="00535AC6"/>
    <w:rsid w:val="005376A2"/>
    <w:rsid w:val="00553553"/>
    <w:rsid w:val="00562CB3"/>
    <w:rsid w:val="00570778"/>
    <w:rsid w:val="005865BC"/>
    <w:rsid w:val="00596E32"/>
    <w:rsid w:val="005A4F68"/>
    <w:rsid w:val="005A5E65"/>
    <w:rsid w:val="005B14F6"/>
    <w:rsid w:val="005B3FE1"/>
    <w:rsid w:val="005D0C51"/>
    <w:rsid w:val="005E690B"/>
    <w:rsid w:val="005E7BB5"/>
    <w:rsid w:val="005F5CD1"/>
    <w:rsid w:val="00606BA6"/>
    <w:rsid w:val="00631394"/>
    <w:rsid w:val="00662A40"/>
    <w:rsid w:val="0066588A"/>
    <w:rsid w:val="00676BDB"/>
    <w:rsid w:val="006A612F"/>
    <w:rsid w:val="006B3A3D"/>
    <w:rsid w:val="006B531E"/>
    <w:rsid w:val="006C4AE0"/>
    <w:rsid w:val="006C50E1"/>
    <w:rsid w:val="006C515A"/>
    <w:rsid w:val="006E4B17"/>
    <w:rsid w:val="006E64B1"/>
    <w:rsid w:val="006E7FB9"/>
    <w:rsid w:val="00706F23"/>
    <w:rsid w:val="00707610"/>
    <w:rsid w:val="00712375"/>
    <w:rsid w:val="007160A3"/>
    <w:rsid w:val="007160AF"/>
    <w:rsid w:val="00717CA7"/>
    <w:rsid w:val="00724D3B"/>
    <w:rsid w:val="007262BE"/>
    <w:rsid w:val="00784A59"/>
    <w:rsid w:val="00785177"/>
    <w:rsid w:val="0078786F"/>
    <w:rsid w:val="007A353B"/>
    <w:rsid w:val="007A7692"/>
    <w:rsid w:val="007B159D"/>
    <w:rsid w:val="007B73BB"/>
    <w:rsid w:val="007C444D"/>
    <w:rsid w:val="007D7254"/>
    <w:rsid w:val="007F09A9"/>
    <w:rsid w:val="007F09C1"/>
    <w:rsid w:val="00825680"/>
    <w:rsid w:val="00843049"/>
    <w:rsid w:val="0086007B"/>
    <w:rsid w:val="0086629F"/>
    <w:rsid w:val="008A1132"/>
    <w:rsid w:val="008C470A"/>
    <w:rsid w:val="008F1292"/>
    <w:rsid w:val="0090523C"/>
    <w:rsid w:val="00905B7D"/>
    <w:rsid w:val="00925308"/>
    <w:rsid w:val="00932474"/>
    <w:rsid w:val="00946A66"/>
    <w:rsid w:val="009525C5"/>
    <w:rsid w:val="00972AED"/>
    <w:rsid w:val="0099258D"/>
    <w:rsid w:val="00995F8A"/>
    <w:rsid w:val="009A23A6"/>
    <w:rsid w:val="009C0C73"/>
    <w:rsid w:val="00A0001F"/>
    <w:rsid w:val="00A57950"/>
    <w:rsid w:val="00A76121"/>
    <w:rsid w:val="00A778E0"/>
    <w:rsid w:val="00A83639"/>
    <w:rsid w:val="00A92C3B"/>
    <w:rsid w:val="00AA5306"/>
    <w:rsid w:val="00AA6B7E"/>
    <w:rsid w:val="00AB6CB7"/>
    <w:rsid w:val="00AC02C3"/>
    <w:rsid w:val="00AC27BB"/>
    <w:rsid w:val="00AD0ACC"/>
    <w:rsid w:val="00AD77FF"/>
    <w:rsid w:val="00AE110C"/>
    <w:rsid w:val="00B17D43"/>
    <w:rsid w:val="00B20698"/>
    <w:rsid w:val="00B26B4C"/>
    <w:rsid w:val="00B42D6E"/>
    <w:rsid w:val="00B5633C"/>
    <w:rsid w:val="00B60F61"/>
    <w:rsid w:val="00B61E05"/>
    <w:rsid w:val="00B6697C"/>
    <w:rsid w:val="00B77ECE"/>
    <w:rsid w:val="00B8030E"/>
    <w:rsid w:val="00B91891"/>
    <w:rsid w:val="00B96AEF"/>
    <w:rsid w:val="00BB2196"/>
    <w:rsid w:val="00BC5729"/>
    <w:rsid w:val="00BE4623"/>
    <w:rsid w:val="00C24CDF"/>
    <w:rsid w:val="00C45FAF"/>
    <w:rsid w:val="00C82EED"/>
    <w:rsid w:val="00CA1A26"/>
    <w:rsid w:val="00CA228D"/>
    <w:rsid w:val="00CA3E2B"/>
    <w:rsid w:val="00CB2FB8"/>
    <w:rsid w:val="00CC41EF"/>
    <w:rsid w:val="00CE4E6C"/>
    <w:rsid w:val="00CF5551"/>
    <w:rsid w:val="00D362D3"/>
    <w:rsid w:val="00D47788"/>
    <w:rsid w:val="00D53C11"/>
    <w:rsid w:val="00D76D4A"/>
    <w:rsid w:val="00D92262"/>
    <w:rsid w:val="00D93AF4"/>
    <w:rsid w:val="00DD7D3F"/>
    <w:rsid w:val="00DF4C85"/>
    <w:rsid w:val="00E1769C"/>
    <w:rsid w:val="00E25CE4"/>
    <w:rsid w:val="00E36D80"/>
    <w:rsid w:val="00E500A1"/>
    <w:rsid w:val="00E5201B"/>
    <w:rsid w:val="00E721B1"/>
    <w:rsid w:val="00E94A3B"/>
    <w:rsid w:val="00E97B6A"/>
    <w:rsid w:val="00EA1E8C"/>
    <w:rsid w:val="00EC31D3"/>
    <w:rsid w:val="00EC6657"/>
    <w:rsid w:val="00EE3515"/>
    <w:rsid w:val="00F00895"/>
    <w:rsid w:val="00F043F9"/>
    <w:rsid w:val="00F15D5A"/>
    <w:rsid w:val="00F24FBE"/>
    <w:rsid w:val="00F34804"/>
    <w:rsid w:val="00F418A3"/>
    <w:rsid w:val="00F41C6E"/>
    <w:rsid w:val="00F65BA1"/>
    <w:rsid w:val="00F67843"/>
    <w:rsid w:val="00F7533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327">
      <w:bodyDiv w:val="1"/>
      <w:marLeft w:val="0"/>
      <w:marRight w:val="0"/>
      <w:marTop w:val="0"/>
      <w:marBottom w:val="0"/>
      <w:divBdr>
        <w:top w:val="none" w:sz="0" w:space="0" w:color="auto"/>
        <w:left w:val="none" w:sz="0" w:space="0" w:color="auto"/>
        <w:bottom w:val="none" w:sz="0" w:space="0" w:color="auto"/>
        <w:right w:val="none" w:sz="0" w:space="0" w:color="auto"/>
      </w:divBdr>
    </w:div>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6311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customXml/itemProps2.xml><?xml version="1.0" encoding="utf-8"?>
<ds:datastoreItem xmlns:ds="http://schemas.openxmlformats.org/officeDocument/2006/customXml" ds:itemID="{3BE687E2-AB29-4212-BFD8-A158E2557D48}">
  <ds:schemaRefs>
    <ds:schemaRef ds:uri="http://purl.org/dc/elements/1.1/"/>
    <ds:schemaRef ds:uri="ec525e86-8927-4333-a3eb-489ba06f53d4"/>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EEE7F0D-B490-4705-BDC2-6B6892AABF01}">
  <ds:schemaRefs>
    <ds:schemaRef ds:uri="http://schemas.microsoft.com/sharepoint/v3/contenttype/forms"/>
  </ds:schemaRefs>
</ds:datastoreItem>
</file>

<file path=customXml/itemProps4.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2741</Words>
  <Characters>16178</Characters>
  <Application>Microsoft Office Word</Application>
  <DocSecurity>0</DocSecurity>
  <Lines>134</Lines>
  <Paragraphs>37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13</cp:revision>
  <cp:lastPrinted>2023-09-13T06:35:00Z</cp:lastPrinted>
  <dcterms:created xsi:type="dcterms:W3CDTF">2023-07-13T06:27:00Z</dcterms:created>
  <dcterms:modified xsi:type="dcterms:W3CDTF">2023-09-18T20:11:00Z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